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FE41B" w14:textId="6B95644E" w:rsidR="00107C2E" w:rsidRPr="000D7E4E" w:rsidRDefault="00E56F22" w:rsidP="00107C2E">
      <w:pPr>
        <w:spacing w:line="288" w:lineRule="auto"/>
        <w:rPr>
          <w:rFonts w:ascii="Arial" w:hAnsi="Arial" w:cs="Arial"/>
        </w:rPr>
      </w:pPr>
      <w:bookmarkStart w:id="0" w:name="_Toc126147374"/>
      <w:bookmarkStart w:id="1" w:name="_Toc126301040"/>
      <w:r>
        <w:rPr>
          <w:noProof/>
          <w:lang w:val="es-CO" w:eastAsia="es-CO"/>
        </w:rPr>
        <w:drawing>
          <wp:anchor distT="0" distB="0" distL="114300" distR="114300" simplePos="0" relativeHeight="251664384" behindDoc="0" locked="0" layoutInCell="1" allowOverlap="1" wp14:anchorId="52418226" wp14:editId="362ADEBF">
            <wp:simplePos x="0" y="0"/>
            <wp:positionH relativeFrom="column">
              <wp:posOffset>850265</wp:posOffset>
            </wp:positionH>
            <wp:positionV relativeFrom="paragraph">
              <wp:posOffset>-996950</wp:posOffset>
            </wp:positionV>
            <wp:extent cx="5796280" cy="5009515"/>
            <wp:effectExtent l="0" t="0" r="0" b="0"/>
            <wp:wrapNone/>
            <wp:docPr id="105" name="Imagen 8" descr="Ministerio de Hacienda y Crédit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Hacienda y Crédito Públ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280" cy="5009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61312" behindDoc="0" locked="0" layoutInCell="1" allowOverlap="1" wp14:anchorId="25B0114A" wp14:editId="6E941DCB">
                <wp:simplePos x="0" y="0"/>
                <wp:positionH relativeFrom="column">
                  <wp:posOffset>-1061085</wp:posOffset>
                </wp:positionH>
                <wp:positionV relativeFrom="paragraph">
                  <wp:posOffset>-881380</wp:posOffset>
                </wp:positionV>
                <wp:extent cx="1911350" cy="10687050"/>
                <wp:effectExtent l="0" t="0" r="0" b="0"/>
                <wp:wrapNone/>
                <wp:docPr id="1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11350" cy="10687050"/>
                        </a:xfrm>
                        <a:prstGeom prst="rect">
                          <a:avLst/>
                        </a:prstGeom>
                        <a:solidFill>
                          <a:srgbClr val="138156"/>
                        </a:solidFill>
                        <a:ln w="635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E804560" id="Rectángulo 3" o:spid="_x0000_s1026" style="position:absolute;margin-left:-83.55pt;margin-top:-69.4pt;width:150.5pt;height:8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Ol6QEAALADAAAOAAAAZHJzL2Uyb0RvYy54bWysU0Fu2zAQvBfoHwjea0kx4jqC5RxipD0E&#10;bdC0D6ApSiJKcgkuY9nP6Vv6sS4pxUmbW1AdCC13NbM7O9pcH61hBxVQg2t4tSg5U05Cq13f8B/f&#10;bz+sOcMoXCsMONXwk0J+vX3/bjP6Wl3AAKZVgRGIw3r0DR9i9HVRoByUFbgArxwlOwhWRApDX7RB&#10;jIRuTXFRlqtihND6AFIh0u1uSvJtxu86JePXrkMVmWk49RbzGfK5T2ex3Yi6D8IPWs5tiDd0YYV2&#10;RHqG2oko2GPQr6CslgEQuriQYAvoOi1VnoGmqcp/pnkYhFd5FhIH/Vkm/H+w8svhPjDd0u6uOHPC&#10;0o6+kWq/f7n+0QBbJoVGjzUVPvj7kGZEfwfyJ1Ki+CuTApxrjl2wrDPafybkrAzNyo5Z+NNZeHWM&#10;TNJldVVVy0vaj6RcVa7WH0uKEoGoE1Ji9QHjJwWWpZeGB2oy44rDHcap9KkkNwlGt7famByEfn9j&#10;AjsIskG1XFeXqxkdX5YZx8aGr6ZOBLmxMyJSU9aTPuh6zoTpyeYyhkztIBEQ99TdTuAwUWTUyVtW&#10;RzK40bbh6zI9M7Fx6TOVLToP8KxfettDe6LVhGhuYDKvcHIA8m6ifxKfbJFVmi2cfPcyzit6/tG2&#10;fwAAAP//AwBQSwMEFAAGAAgAAAAhALWiZYLhAAAADgEAAA8AAABkcnMvZG93bnJldi54bWxMj81O&#10;wzAQhO9IvIO1SFxQ6/yUUkKcCiF6qoQg8ABOvCQR9jqy3SZ9e5wT3Ga0n2Znyv1sNDuj84MlAek6&#10;AYbUWjVQJ+Dr87DaAfNBkpLaEgq4oId9dX1VykLZiT7wXIeOxRDyhRTQhzAWnPu2RyP92o5I8fZt&#10;nZEhWtdx5eQUw43mWZJsuZEDxQ+9HPGlx/anPhkB00Uf32VSp9kwYnB055q310aI25v5+QlYwDn8&#10;wbDUj9Whip0aeyLlmRawSrcPaWQXle/iioXJ80dgTRT3m00GvCr5/xnVLwAAAP//AwBQSwECLQAU&#10;AAYACAAAACEAtoM4kv4AAADhAQAAEwAAAAAAAAAAAAAAAAAAAAAAW0NvbnRlbnRfVHlwZXNdLnht&#10;bFBLAQItABQABgAIAAAAIQA4/SH/1gAAAJQBAAALAAAAAAAAAAAAAAAAAC8BAABfcmVscy8ucmVs&#10;c1BLAQItABQABgAIAAAAIQD7vbOl6QEAALADAAAOAAAAAAAAAAAAAAAAAC4CAABkcnMvZTJvRG9j&#10;LnhtbFBLAQItABQABgAIAAAAIQC1omWC4QAAAA4BAAAPAAAAAAAAAAAAAAAAAEMEAABkcnMvZG93&#10;bnJldi54bWxQSwUGAAAAAAQABADzAAAAUQUAAAAA&#10;" fillcolor="#138156" stroked="f" strokeweight=".5pt">
                <v:path arrowok="t"/>
              </v:rect>
            </w:pict>
          </mc:Fallback>
        </mc:AlternateContent>
      </w:r>
      <w:r w:rsidR="00F511B3">
        <w:rPr>
          <w:rFonts w:ascii="Arial" w:hAnsi="Arial" w:cs="Arial"/>
        </w:rPr>
        <w:t xml:space="preserve">Fondo </w:t>
      </w:r>
      <w:r w:rsidR="00107C2E" w:rsidRPr="000D7E4E">
        <w:rPr>
          <w:rFonts w:ascii="Arial" w:hAnsi="Arial" w:cs="Arial"/>
        </w:rPr>
        <w:tab/>
      </w:r>
    </w:p>
    <w:p w14:paraId="008E95C3" w14:textId="677FEF28" w:rsidR="00107C2E" w:rsidRPr="000D7E4E" w:rsidRDefault="00E56F22" w:rsidP="00107C2E">
      <w:pPr>
        <w:spacing w:line="288" w:lineRule="auto"/>
        <w:rPr>
          <w:rFonts w:ascii="Arial" w:hAnsi="Arial" w:cs="Arial"/>
        </w:rPr>
      </w:pPr>
      <w:r>
        <w:rPr>
          <w:noProof/>
          <w:lang w:val="es-CO" w:eastAsia="es-CO"/>
        </w:rPr>
        <mc:AlternateContent>
          <mc:Choice Requires="wps">
            <w:drawing>
              <wp:anchor distT="0" distB="0" distL="114300" distR="114300" simplePos="0" relativeHeight="251662336" behindDoc="0" locked="0" layoutInCell="1" allowOverlap="1" wp14:anchorId="4347F3C0" wp14:editId="3A5EE218">
                <wp:simplePos x="0" y="0"/>
                <wp:positionH relativeFrom="column">
                  <wp:posOffset>3587115</wp:posOffset>
                </wp:positionH>
                <wp:positionV relativeFrom="paragraph">
                  <wp:posOffset>-1080135</wp:posOffset>
                </wp:positionV>
                <wp:extent cx="3099435" cy="2513330"/>
                <wp:effectExtent l="0" t="0" r="0" b="0"/>
                <wp:wrapNone/>
                <wp:docPr id="1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25133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FA87D7A" w14:textId="77777777" w:rsidR="00EF3D59" w:rsidRPr="00107C2E" w:rsidRDefault="00EF3D59" w:rsidP="00107C2E">
                            <w:pPr>
                              <w:pStyle w:val="Sinespaciado"/>
                              <w:jc w:val="center"/>
                              <w:rPr>
                                <w:rFonts w:ascii="Century Gothic" w:hAnsi="Century Gothic"/>
                                <w:b/>
                                <w:bCs/>
                                <w:color w:val="FFFFFF"/>
                                <w:sz w:val="32"/>
                                <w:szCs w:val="32"/>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347F3C0" id="Rectangle 367" o:spid="_x0000_s1026" style="position:absolute;margin-left:282.45pt;margin-top:-85.05pt;width:244.05pt;height:19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p6wEAAK0DAAAOAAAAZHJzL2Uyb0RvYy54bWysU9Fu0zAUfUfiHyy/0yQN7bqo6TRtGkIa&#10;MDH2AY7jNBaJr7l2m5Sv59ppC2VviBfLN74+Pufck/XN2Hdsr9BpMCXPZilnykiotdmW/OXbw7sV&#10;Z84LU4sOjCr5QTl+s3n7Zj3YQs2hha5WyAjEuGKwJW+9t0WSONmqXrgZWGXosAHshacSt0mNYiD0&#10;vkvmabpMBsDaIkjlHH29nw75JuI3jZL+S9M45VlXcuLm44pxrcKabNai2KKwrZZHGuIfWPRCG3r0&#10;DHUvvGA71K+gei0RHDR+JqFPoGm0VFEDqcnSv9Q8t8KqqIXMcfZsk/t/sPLz/gmZrml2NCkjeprR&#10;V3JNmG2nWL68Cg4N1hXU+GyfMGh09hHkd8cM3LXUp24RYWiVqIlXFvqTiwuhcHSVVcMnqAlf7DxE&#10;s8YG+wBINrAxzuRwnokaPZP0MU+vr9/nC84knc0XWZ7ncWqJKE7XLTr/QUHPwqbkSPQjvNg/Oh/o&#10;iOLUEl4z8KC77kQzMJsU+rEaj2IrqA9EGGHKC+WbNi3gT84GykrJ3Y+dQMVZ99GQ6Hy5uFqGdMUq&#10;W81XK6rwoqouKmEkwZW84mza3vkplDuLetvSa1mUYOCWzGp0lBGMnJgdLaZMRHXH/IbQ/VnHrt9/&#10;2eYXAAAA//8DAFBLAwQUAAYACAAAACEAUJbah+MAAAANAQAADwAAAGRycy9kb3ducmV2LnhtbEyP&#10;wU7DMBBE70j8g7VI3Fo7gbQ0xKkQVQ8gVail3LexSVLitYndNPw97gmOq32aeVMsR9OxQfe+tSQh&#10;mQpgmiqrWqol7N/XkwdgPiAp7CxpCT/aw7K8viowV/ZMWz3sQs1iCPkcJTQhuJxzXzXaoJ9apyn+&#10;Pm1vMMSzr7nq8RzDTcdTIWbcYEuxoUGnnxtdfe1ORgLfDO5jfVyI/dat3l7c6/E7w5WUtzfj0yOw&#10;oMfwB8NFP6pDGZ0O9kTKs05CNrtfRFTCJJmLBNgFEdld3HeQkKbZHHhZ8P8ryl8AAAD//wMAUEsB&#10;Ai0AFAAGAAgAAAAhALaDOJL+AAAA4QEAABMAAAAAAAAAAAAAAAAAAAAAAFtDb250ZW50X1R5cGVz&#10;XS54bWxQSwECLQAUAAYACAAAACEAOP0h/9YAAACUAQAACwAAAAAAAAAAAAAAAAAvAQAAX3JlbHMv&#10;LnJlbHNQSwECLQAUAAYACAAAACEAlP7SqesBAACtAwAADgAAAAAAAAAAAAAAAAAuAgAAZHJzL2Uy&#10;b0RvYy54bWxQSwECLQAUAAYACAAAACEAUJbah+MAAAANAQAADwAAAAAAAAAAAAAAAABFBAAAZHJz&#10;L2Rvd25yZXYueG1sUEsFBgAAAAAEAAQA8wAAAFUFAAAAAA==&#10;" filled="f" stroked="f" strokecolor="white" strokeweight="1pt">
                <v:fill opacity="52428f"/>
                <v:shadow color="#d8d8d8" offset="3pt,3pt"/>
                <v:textbox inset="28.8pt,14.4pt,14.4pt,14.4pt">
                  <w:txbxContent>
                    <w:p w14:paraId="7FA87D7A" w14:textId="77777777" w:rsidR="00EF3D59" w:rsidRPr="00107C2E" w:rsidRDefault="00EF3D59" w:rsidP="00107C2E">
                      <w:pPr>
                        <w:pStyle w:val="Sinespaciado"/>
                        <w:jc w:val="center"/>
                        <w:rPr>
                          <w:rFonts w:ascii="Century Gothic" w:hAnsi="Century Gothic"/>
                          <w:b/>
                          <w:bCs/>
                          <w:color w:val="FFFFFF"/>
                          <w:sz w:val="32"/>
                          <w:szCs w:val="32"/>
                        </w:rPr>
                      </w:pPr>
                    </w:p>
                  </w:txbxContent>
                </v:textbox>
              </v:rect>
            </w:pict>
          </mc:Fallback>
        </mc:AlternateContent>
      </w:r>
    </w:p>
    <w:p w14:paraId="791404EC" w14:textId="77777777" w:rsidR="00107C2E" w:rsidRPr="000D7E4E" w:rsidRDefault="00107C2E" w:rsidP="00107C2E">
      <w:pPr>
        <w:spacing w:line="288" w:lineRule="auto"/>
        <w:rPr>
          <w:rFonts w:ascii="Arial" w:hAnsi="Arial" w:cs="Arial"/>
          <w:noProof/>
          <w:lang w:eastAsia="es-CO"/>
        </w:rPr>
      </w:pPr>
    </w:p>
    <w:p w14:paraId="100DBC96" w14:textId="77777777" w:rsidR="00107C2E" w:rsidRPr="000D7E4E" w:rsidRDefault="00107C2E" w:rsidP="00107C2E">
      <w:pPr>
        <w:spacing w:line="288" w:lineRule="auto"/>
        <w:rPr>
          <w:rFonts w:ascii="Arial" w:hAnsi="Arial" w:cs="Arial"/>
        </w:rPr>
      </w:pPr>
    </w:p>
    <w:p w14:paraId="7A088641" w14:textId="77777777" w:rsidR="00107C2E" w:rsidRPr="000D7E4E" w:rsidRDefault="00107C2E" w:rsidP="00107C2E">
      <w:pPr>
        <w:spacing w:line="288" w:lineRule="auto"/>
        <w:rPr>
          <w:rFonts w:ascii="Arial" w:hAnsi="Arial" w:cs="Arial"/>
        </w:rPr>
      </w:pPr>
    </w:p>
    <w:p w14:paraId="34135B8F" w14:textId="77777777" w:rsidR="00107C2E" w:rsidRPr="000D7E4E" w:rsidRDefault="00107C2E" w:rsidP="00107C2E">
      <w:pPr>
        <w:spacing w:line="288" w:lineRule="auto"/>
        <w:rPr>
          <w:rFonts w:ascii="Arial" w:hAnsi="Arial" w:cs="Arial"/>
        </w:rPr>
      </w:pPr>
    </w:p>
    <w:p w14:paraId="65AC3ECF" w14:textId="72ADB5F3" w:rsidR="00107C2E" w:rsidRPr="000D7E4E" w:rsidRDefault="00107C2E" w:rsidP="00107C2E">
      <w:pPr>
        <w:spacing w:line="288" w:lineRule="auto"/>
        <w:rPr>
          <w:rFonts w:ascii="Arial" w:hAnsi="Arial" w:cs="Arial"/>
        </w:rPr>
      </w:pPr>
    </w:p>
    <w:p w14:paraId="1BF27E71" w14:textId="77777777" w:rsidR="00107C2E" w:rsidRPr="000D7E4E" w:rsidRDefault="00107C2E" w:rsidP="00107C2E">
      <w:pPr>
        <w:spacing w:line="288" w:lineRule="auto"/>
        <w:rPr>
          <w:rFonts w:ascii="Arial" w:hAnsi="Arial" w:cs="Arial"/>
        </w:rPr>
      </w:pPr>
    </w:p>
    <w:p w14:paraId="40E97677" w14:textId="77777777" w:rsidR="00107C2E" w:rsidRPr="000D7E4E" w:rsidRDefault="00107C2E" w:rsidP="00107C2E">
      <w:pPr>
        <w:spacing w:line="288" w:lineRule="auto"/>
        <w:rPr>
          <w:rFonts w:ascii="Arial" w:hAnsi="Arial" w:cs="Arial"/>
        </w:rPr>
      </w:pPr>
    </w:p>
    <w:p w14:paraId="57727CA9" w14:textId="77777777" w:rsidR="00107C2E" w:rsidRPr="000D7E4E" w:rsidRDefault="00107C2E" w:rsidP="00107C2E">
      <w:pPr>
        <w:spacing w:line="288" w:lineRule="auto"/>
        <w:rPr>
          <w:rFonts w:ascii="Arial" w:hAnsi="Arial" w:cs="Arial"/>
        </w:rPr>
      </w:pPr>
    </w:p>
    <w:p w14:paraId="5E253988" w14:textId="77777777" w:rsidR="00107C2E" w:rsidRPr="000D7E4E" w:rsidRDefault="00107C2E" w:rsidP="00107C2E">
      <w:pPr>
        <w:spacing w:line="288" w:lineRule="auto"/>
        <w:rPr>
          <w:rFonts w:ascii="Arial" w:hAnsi="Arial" w:cs="Arial"/>
        </w:rPr>
      </w:pPr>
    </w:p>
    <w:p w14:paraId="551D03F3" w14:textId="77777777" w:rsidR="00107C2E" w:rsidRPr="000D7E4E" w:rsidRDefault="00107C2E" w:rsidP="00107C2E">
      <w:pPr>
        <w:spacing w:line="288" w:lineRule="auto"/>
        <w:rPr>
          <w:rFonts w:ascii="Arial" w:hAnsi="Arial" w:cs="Arial"/>
        </w:rPr>
      </w:pPr>
    </w:p>
    <w:p w14:paraId="552D708B" w14:textId="77777777" w:rsidR="00107C2E" w:rsidRPr="000D7E4E" w:rsidRDefault="00107C2E" w:rsidP="00107C2E">
      <w:pPr>
        <w:spacing w:line="288" w:lineRule="auto"/>
        <w:rPr>
          <w:rFonts w:ascii="Arial" w:hAnsi="Arial" w:cs="Arial"/>
        </w:rPr>
      </w:pPr>
    </w:p>
    <w:p w14:paraId="4B437A95" w14:textId="77777777" w:rsidR="00107C2E" w:rsidRPr="000D7E4E" w:rsidRDefault="00107C2E" w:rsidP="00107C2E">
      <w:pPr>
        <w:spacing w:line="288" w:lineRule="auto"/>
        <w:rPr>
          <w:rFonts w:ascii="Arial" w:hAnsi="Arial" w:cs="Arial"/>
        </w:rPr>
      </w:pPr>
    </w:p>
    <w:p w14:paraId="2143A165" w14:textId="4AEFFDF7" w:rsidR="000829BA" w:rsidRPr="00290062" w:rsidRDefault="00E870B0" w:rsidP="00A606C2">
      <w:pPr>
        <w:rPr>
          <w:rFonts w:ascii="Arial Narrow" w:hAnsi="Arial Narrow" w:cs="Arial"/>
          <w:lang w:val="es-MX"/>
        </w:rPr>
      </w:pPr>
      <w:r>
        <w:rPr>
          <w:rFonts w:ascii="Cambria" w:hAnsi="Cambria"/>
          <w:noProof/>
          <w:color w:val="365F91"/>
          <w:sz w:val="28"/>
          <w:szCs w:val="28"/>
          <w:lang w:val="es-CO" w:eastAsia="es-CO"/>
        </w:rPr>
        <mc:AlternateContent>
          <mc:Choice Requires="wps">
            <w:drawing>
              <wp:anchor distT="0" distB="0" distL="114300" distR="114300" simplePos="0" relativeHeight="251666432" behindDoc="1" locked="0" layoutInCell="1" allowOverlap="1" wp14:anchorId="3DFB934C" wp14:editId="72928B44">
                <wp:simplePos x="0" y="0"/>
                <wp:positionH relativeFrom="column">
                  <wp:posOffset>-97497</wp:posOffset>
                </wp:positionH>
                <wp:positionV relativeFrom="paragraph">
                  <wp:posOffset>1559124</wp:posOffset>
                </wp:positionV>
                <wp:extent cx="6751623" cy="10060305"/>
                <wp:effectExtent l="0" t="0" r="0" b="0"/>
                <wp:wrapNone/>
                <wp:docPr id="1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1623" cy="10060305"/>
                        </a:xfrm>
                        <a:prstGeom prst="rect">
                          <a:avLst/>
                        </a:prstGeom>
                        <a:solidFill>
                          <a:srgbClr val="DBE6FC"/>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3E08B" id="Rectángulo 2" o:spid="_x0000_s1026" style="position:absolute;margin-left:-7.7pt;margin-top:122.75pt;width:531.6pt;height:79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TKjwIAAA0FAAAOAAAAZHJzL2Uyb0RvYy54bWysVNuO0zAQfUfiHyy/d3PZ9JJo09Vuu0VI&#10;C6xY+ADXcRILxza223QX8TF8Cz/G2GlLCzwgRB9cT2Y8PnPmjK+ud51AW2YsV7LEyUWMEZNUVVw2&#10;Jf74YTWaYWQdkRURSrISPzGLr+cvX1z1umCpapWomEGQRNqi1yVundNFFFnaso7YC6WZBGetTEcc&#10;mKaJKkN6yN6JKI3jSdQrU2mjKLMWvi4HJ56H/HXNqHtX15Y5JEoM2FxYTVjXfo3mV6RoDNEtp3sY&#10;5B9QdIRLuPSYakkcQRvDf0vVcWqUVbW7oKqLVF1zykINUE0S/1LNY0s0C7UAOVYfabL/Ly19u30w&#10;iFfQuylGknTQo/fA2vdvstkIhVLPUK9tAYGP+sH4Gq2+V/STRVItWiIbdmOM6ltGKsCV+Pjo7IA3&#10;LBxF6/6NqiA/2TgVyNrVpvMJgQa0Cz15OvaE7Ryi8HEyHSeT9BIjCr4EOh5fxuNwCSkO57Wx7hVT&#10;HfKbEhvAH/KT7b11Hg8pDiEBvxK8WnEhgmGa9UIYtCWgkOXt3WS12Ge3p2FC+mCp/LEh4/AFYMId&#10;3ucBh45/yZM0i2/TfLSazKajbJWNR/k0no3iJL/NJ3GWZ8vVVw8wyYqWVxWT91yyg/qS7O+6u5+D&#10;QTdBf6gHui7HIHMiGphG6kyg4awQe1pvHH5/qrfjDuZS8K7Es2MQKXyX72QFDJDCES6GfXReSSAc&#10;6Dj8B4KCJrwMBjmtVfUEkjAK+gWA4QWBTavMM0Y9TGOJ7ecNMQwj8VqCrPIky/z4BiMbT1MwzKln&#10;feohkkKqgQA0GAs3DP1GG960cFcSqJHqBsRY86ASL9QB117CMHOhhv374If61A5RP1+x+Q8AAAD/&#10;/wMAUEsDBBQABgAIAAAAIQCOUQOF4gAAAA0BAAAPAAAAZHJzL2Rvd25yZXYueG1sTI/BToNAEIbv&#10;Jr7DZky8tUsJWIosTbVpogcPVu15gSmQsrOEXVr69k5PepvJfPnn+7P1ZDpxxsG1lhQs5gEIpNJW&#10;LdUKvr92swSE85oq3VlCBVd0sM7v7zKdVvZCn3je+1pwCLlUK2i871MpXdmg0W5ueyS+He1gtOd1&#10;qGU16AuHm06GQfAkjW6JPzS6x9cGy9N+NApe6viAb+662X68j0V7Ov5sl7RT6vFh2jyD8Dj5Pxhu&#10;+qwOOTsVdqTKiU7BbBFHjCoIozgGcSOCaMltCp6ScJWAzDP5v0X+CwAA//8DAFBLAQItABQABgAI&#10;AAAAIQC2gziS/gAAAOEBAAATAAAAAAAAAAAAAAAAAAAAAABbQ29udGVudF9UeXBlc10ueG1sUEsB&#10;Ai0AFAAGAAgAAAAhADj9If/WAAAAlAEAAAsAAAAAAAAAAAAAAAAALwEAAF9yZWxzLy5yZWxzUEsB&#10;Ai0AFAAGAAgAAAAhAAvnVMqPAgAADQUAAA4AAAAAAAAAAAAAAAAALgIAAGRycy9lMm9Eb2MueG1s&#10;UEsBAi0AFAAGAAgAAAAhAI5RA4XiAAAADQEAAA8AAAAAAAAAAAAAAAAA6QQAAGRycy9kb3ducmV2&#10;LnhtbFBLBQYAAAAABAAEAPMAAAD4BQAAAAA=&#10;" fillcolor="#dbe6fc" stroked="f" strokeweight=".5pt"/>
            </w:pict>
          </mc:Fallback>
        </mc:AlternateContent>
      </w:r>
      <w:r w:rsidR="00E56F22">
        <w:rPr>
          <w:rFonts w:ascii="Cambria" w:hAnsi="Cambria"/>
          <w:noProof/>
          <w:color w:val="365F91"/>
          <w:sz w:val="28"/>
          <w:szCs w:val="28"/>
          <w:lang w:val="es-CO" w:eastAsia="es-CO"/>
        </w:rPr>
        <w:drawing>
          <wp:anchor distT="0" distB="0" distL="114300" distR="114300" simplePos="0" relativeHeight="251663360" behindDoc="0" locked="0" layoutInCell="1" allowOverlap="1" wp14:anchorId="7ABFE861" wp14:editId="2F42D6D6">
            <wp:simplePos x="0" y="0"/>
            <wp:positionH relativeFrom="margin">
              <wp:posOffset>1624330</wp:posOffset>
            </wp:positionH>
            <wp:positionV relativeFrom="page">
              <wp:posOffset>8946515</wp:posOffset>
            </wp:positionV>
            <wp:extent cx="4469130" cy="773430"/>
            <wp:effectExtent l="0" t="0" r="0" b="0"/>
            <wp:wrapNone/>
            <wp:docPr id="101" name="Imagen 3"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apelería-Institucional---Plantilla"/>
                    <pic:cNvPicPr>
                      <a:picLocks noChangeAspect="1" noChangeArrowheads="1"/>
                    </pic:cNvPicPr>
                  </pic:nvPicPr>
                  <pic:blipFill>
                    <a:blip r:embed="rId13">
                      <a:extLst>
                        <a:ext uri="{28A0092B-C50C-407E-A947-70E740481C1C}">
                          <a14:useLocalDpi xmlns:a14="http://schemas.microsoft.com/office/drawing/2010/main" val="0"/>
                        </a:ext>
                      </a:extLst>
                    </a:blip>
                    <a:srcRect t="7996" r="58737" b="86485"/>
                    <a:stretch>
                      <a:fillRect/>
                    </a:stretch>
                  </pic:blipFill>
                  <pic:spPr bwMode="auto">
                    <a:xfrm>
                      <a:off x="0" y="0"/>
                      <a:ext cx="44691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F22">
        <w:rPr>
          <w:rFonts w:ascii="Cambria" w:hAnsi="Cambria"/>
          <w:noProof/>
          <w:color w:val="365F91"/>
          <w:sz w:val="28"/>
          <w:szCs w:val="28"/>
          <w:lang w:val="es-CO" w:eastAsia="es-CO"/>
        </w:rPr>
        <mc:AlternateContent>
          <mc:Choice Requires="wps">
            <w:drawing>
              <wp:anchor distT="0" distB="0" distL="114300" distR="114300" simplePos="0" relativeHeight="251665408" behindDoc="0" locked="0" layoutInCell="0" allowOverlap="1" wp14:anchorId="3238A47D" wp14:editId="46282993">
                <wp:simplePos x="0" y="0"/>
                <wp:positionH relativeFrom="page">
                  <wp:posOffset>1930400</wp:posOffset>
                </wp:positionH>
                <wp:positionV relativeFrom="page">
                  <wp:posOffset>5497830</wp:posOffset>
                </wp:positionV>
                <wp:extent cx="5796280" cy="3048635"/>
                <wp:effectExtent l="38100" t="38100" r="13970" b="1841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3048635"/>
                        </a:xfrm>
                        <a:prstGeom prst="rect">
                          <a:avLst/>
                        </a:prstGeom>
                        <a:solidFill>
                          <a:srgbClr val="3366CC"/>
                        </a:solidFill>
                        <a:ln w="73025" cmpd="dbl">
                          <a:solidFill>
                            <a:sysClr val="window" lastClr="FFFFFF"/>
                          </a:solidFill>
                          <a:miter lim="800000"/>
                          <a:headEnd/>
                          <a:tailEnd/>
                        </a:ln>
                      </wps:spPr>
                      <wps:txbx>
                        <w:txbxContent>
                          <w:p w14:paraId="58CE7EF1" w14:textId="77777777" w:rsidR="00EF3D59" w:rsidRPr="00BD0FD2" w:rsidRDefault="00EF3D59" w:rsidP="00BE63EB">
                            <w:pPr>
                              <w:jc w:val="center"/>
                              <w:rPr>
                                <w:rFonts w:ascii="Century Schoolbook" w:hAnsi="Century Schoolbook"/>
                                <w:b/>
                                <w:color w:val="FFFFFF"/>
                                <w:sz w:val="48"/>
                                <w:szCs w:val="48"/>
                                <w:lang w:val="es-CO"/>
                              </w:rPr>
                            </w:pPr>
                            <w:r w:rsidRPr="00BD0FD2">
                              <w:rPr>
                                <w:rFonts w:ascii="Century Schoolbook" w:hAnsi="Century Schoolbook"/>
                                <w:b/>
                                <w:color w:val="FFFFFF"/>
                                <w:sz w:val="48"/>
                                <w:szCs w:val="48"/>
                                <w:lang w:val="es-CO"/>
                              </w:rPr>
                              <w:t>Apo3. Apoyo a la Gestión Financiera</w:t>
                            </w:r>
                          </w:p>
                          <w:p w14:paraId="04E8C4BD" w14:textId="77777777" w:rsidR="00EF3D59" w:rsidRPr="00BD0FD2" w:rsidRDefault="00EF3D59" w:rsidP="00BE63EB">
                            <w:pPr>
                              <w:jc w:val="center"/>
                              <w:rPr>
                                <w:rFonts w:ascii="Century Schoolbook" w:hAnsi="Century Schoolbook"/>
                                <w:b/>
                                <w:color w:val="FFFFFF"/>
                                <w:sz w:val="48"/>
                                <w:szCs w:val="48"/>
                                <w:lang w:val="es-CO"/>
                              </w:rPr>
                            </w:pPr>
                          </w:p>
                          <w:p w14:paraId="639D4D9F" w14:textId="77777777" w:rsidR="00BD0FD2" w:rsidRPr="00BD0FD2" w:rsidRDefault="00EF3D59" w:rsidP="00BE63EB">
                            <w:pPr>
                              <w:jc w:val="center"/>
                              <w:rPr>
                                <w:rFonts w:ascii="Century Schoolbook" w:hAnsi="Century Schoolbook"/>
                                <w:b/>
                                <w:color w:val="FFFFFF"/>
                                <w:sz w:val="48"/>
                                <w:szCs w:val="48"/>
                                <w:lang w:val="es-CO"/>
                              </w:rPr>
                            </w:pPr>
                            <w:r w:rsidRPr="00BD0FD2">
                              <w:rPr>
                                <w:rFonts w:ascii="Century Schoolbook" w:hAnsi="Century Schoolbook"/>
                                <w:b/>
                                <w:color w:val="FFFFFF"/>
                                <w:sz w:val="48"/>
                                <w:szCs w:val="48"/>
                                <w:lang w:val="es-CO"/>
                              </w:rPr>
                              <w:t>Apo3.Man.3                                                 Manual Operativo para la Gestión Contable</w:t>
                            </w:r>
                            <w:r w:rsidR="00BD0FD2" w:rsidRPr="00BD0FD2">
                              <w:rPr>
                                <w:rFonts w:ascii="Century Schoolbook" w:hAnsi="Century Schoolbook"/>
                                <w:b/>
                                <w:color w:val="FFFFFF"/>
                                <w:sz w:val="48"/>
                                <w:szCs w:val="48"/>
                                <w:lang w:val="es-CO"/>
                              </w:rPr>
                              <w:t xml:space="preserve"> </w:t>
                            </w:r>
                          </w:p>
                          <w:p w14:paraId="70D02A53" w14:textId="06F0EC13" w:rsidR="00EF3D59" w:rsidRPr="003C433E" w:rsidRDefault="00BD0FD2" w:rsidP="00BE63EB">
                            <w:pPr>
                              <w:jc w:val="center"/>
                              <w:rPr>
                                <w:rFonts w:ascii="Century Schoolbook" w:hAnsi="Century Schoolbook"/>
                                <w:b/>
                                <w:color w:val="FFFFFF"/>
                                <w:sz w:val="44"/>
                                <w:szCs w:val="44"/>
                                <w:lang w:val="es-CO"/>
                              </w:rPr>
                            </w:pPr>
                            <w:r w:rsidRPr="003C433E">
                              <w:rPr>
                                <w:rFonts w:ascii="Century Schoolbook" w:hAnsi="Century Schoolbook"/>
                                <w:b/>
                                <w:color w:val="FFFFFF"/>
                                <w:sz w:val="44"/>
                                <w:szCs w:val="44"/>
                                <w:lang w:val="es-CO"/>
                              </w:rPr>
                              <w:t>MHCP – Gestión General</w:t>
                            </w:r>
                          </w:p>
                          <w:p w14:paraId="7CF49DAC" w14:textId="77777777" w:rsidR="00EF3D59" w:rsidRPr="00A97B06" w:rsidRDefault="00EF3D59" w:rsidP="00BE63EB">
                            <w:pPr>
                              <w:jc w:val="center"/>
                              <w:rPr>
                                <w:rFonts w:ascii="Century Schoolbook" w:hAnsi="Century Schoolbook"/>
                                <w:b/>
                                <w:color w:val="FFFFFF"/>
                                <w:sz w:val="50"/>
                                <w:szCs w:val="50"/>
                                <w:lang w:val="es-CO"/>
                              </w:rPr>
                            </w:pPr>
                          </w:p>
                          <w:p w14:paraId="4F51C280" w14:textId="77777777" w:rsidR="00EF3D59" w:rsidRPr="00B73D28" w:rsidRDefault="00EF3D59" w:rsidP="00BE63EB">
                            <w:pPr>
                              <w:pStyle w:val="Sinespaciado"/>
                              <w:jc w:val="center"/>
                              <w:rPr>
                                <w:rFonts w:ascii="Century Schoolbook" w:hAnsi="Century Schoolbook"/>
                                <w:b/>
                                <w:color w:val="FFFFFF"/>
                                <w:sz w:val="64"/>
                                <w:szCs w:val="64"/>
                                <w:lang w:val="es-CO"/>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8A47D" id="Rectángulo 16" o:spid="_x0000_s1027" style="position:absolute;margin-left:152pt;margin-top:432.9pt;width:456.4pt;height:24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FtTQIAAHQEAAAOAAAAZHJzL2Uyb0RvYy54bWysVFGO0zAQ/UfiDpb/adJ0my3RpqtVlyKk&#10;BVYsHMCxncTCsc3YbVpuw1m4GGO32+0CX4h8WB7P+M3Me55cXe8GTbYSvLKmptNJTok03Aplupp+&#10;+bx+taDEB2YE09bImu6lp9fLly+uRlfJwvZWCwkEQYyvRlfTPgRXZZnnvRyYn1gnDTpbCwMLaEKX&#10;CWAjog86K/K8zEYLwoHl0ns8vT046TLht63k4WPbehmIrinWFtIKaW3imi2vWNUBc73ixzLYP1Qx&#10;MGUw6QnqlgVGNqD+gBoUB+ttGybcDpltW8Vl6gG7mea/dfPQMydTL0iOdyea/P+D5R+290CUqOms&#10;LCgxbECRPiFtP3+YbqMtmZaRo9H5CkMf3D3ELr27s/yrJ8auemY6eQNgx14ygZVNY3z27EI0PF4l&#10;zfjeCkzANsEmunYtDBEQiSC7pMr+pIrcBcLxcH75uiwWKB5H3yy/WJSzecrBqsfrDnx4K+1A4qam&#10;gPUneLa98yGWw6rHkFS+1UqsldbJgK5ZaSBbhk9kNivL1eqI7s/DtCFjTS9neTHHSgaHjIlGpyzP&#10;4vzen9DwnQo7UqKZD3hY03X6/gY/qIBzoNVQ00UevxjEqsjpGyPSPjClD3tsR5sjyZHXgz5h1+yS&#10;kkmByHljxR5ZB3t49jimuOktfKdkxCdfU/9tw0Bige9MVG5RLCLPIVkX88sCDXjmas5dzHAEqykP&#10;QMnBWIXDbG0cqK7HbNPEkLE3qHirkhZPlR1bwKedJDqOYZydcztFPf0slr8AAAD//wMAUEsDBBQA&#10;BgAIAAAAIQC32WU54QAAAA0BAAAPAAAAZHJzL2Rvd25yZXYueG1sTI9BT4NAEIXvJv6HzZh4s0tb&#10;ihVZGlLjwQuJ6KHHhR2ByM4Sdtuiv97pyd7ey7y8eV+2m+0gTjj53pGC5SICgdQ401Or4PPj9WEL&#10;wgdNRg+OUMEPetjltzeZTo070zueqtAKLiGfagVdCGMqpW86tNov3IjEty83WR3YTq00kz5zuR3k&#10;KooSaXVP/KHTI+47bL6ro1WA5Ystfw8YN1NVvvkDFfXjvlDq/m4unkEEnMN/GC7zeTrkvKl2RzJe&#10;DArWUcwsQcE22TDDJbFaJqxqVut48wQyz+Q1Rf4HAAD//wMAUEsBAi0AFAAGAAgAAAAhALaDOJL+&#10;AAAA4QEAABMAAAAAAAAAAAAAAAAAAAAAAFtDb250ZW50X1R5cGVzXS54bWxQSwECLQAUAAYACAAA&#10;ACEAOP0h/9YAAACUAQAACwAAAAAAAAAAAAAAAAAvAQAAX3JlbHMvLnJlbHNQSwECLQAUAAYACAAA&#10;ACEAQZLhbU0CAAB0BAAADgAAAAAAAAAAAAAAAAAuAgAAZHJzL2Uyb0RvYy54bWxQSwECLQAUAAYA&#10;CAAAACEAt9llOeEAAAANAQAADwAAAAAAAAAAAAAAAACnBAAAZHJzL2Rvd25yZXYueG1sUEsFBgAA&#10;AAAEAAQA8wAAALUFAAAAAA==&#10;" o:allowincell="f" fillcolor="#36c" strokecolor="window" strokeweight="5.75pt">
                <v:stroke linestyle="thinThin"/>
                <v:textbox inset="14.4pt,,14.4pt">
                  <w:txbxContent>
                    <w:p w14:paraId="58CE7EF1" w14:textId="77777777" w:rsidR="00EF3D59" w:rsidRPr="00BD0FD2" w:rsidRDefault="00EF3D59" w:rsidP="00BE63EB">
                      <w:pPr>
                        <w:jc w:val="center"/>
                        <w:rPr>
                          <w:rFonts w:ascii="Century Schoolbook" w:hAnsi="Century Schoolbook"/>
                          <w:b/>
                          <w:color w:val="FFFFFF"/>
                          <w:sz w:val="48"/>
                          <w:szCs w:val="48"/>
                          <w:lang w:val="es-CO"/>
                        </w:rPr>
                      </w:pPr>
                      <w:r w:rsidRPr="00BD0FD2">
                        <w:rPr>
                          <w:rFonts w:ascii="Century Schoolbook" w:hAnsi="Century Schoolbook"/>
                          <w:b/>
                          <w:color w:val="FFFFFF"/>
                          <w:sz w:val="48"/>
                          <w:szCs w:val="48"/>
                          <w:lang w:val="es-CO"/>
                        </w:rPr>
                        <w:t>Apo3. Apoyo a la Gestión Financiera</w:t>
                      </w:r>
                    </w:p>
                    <w:p w14:paraId="04E8C4BD" w14:textId="77777777" w:rsidR="00EF3D59" w:rsidRPr="00BD0FD2" w:rsidRDefault="00EF3D59" w:rsidP="00BE63EB">
                      <w:pPr>
                        <w:jc w:val="center"/>
                        <w:rPr>
                          <w:rFonts w:ascii="Century Schoolbook" w:hAnsi="Century Schoolbook"/>
                          <w:b/>
                          <w:color w:val="FFFFFF"/>
                          <w:sz w:val="48"/>
                          <w:szCs w:val="48"/>
                          <w:lang w:val="es-CO"/>
                        </w:rPr>
                      </w:pPr>
                    </w:p>
                    <w:p w14:paraId="639D4D9F" w14:textId="77777777" w:rsidR="00BD0FD2" w:rsidRPr="00BD0FD2" w:rsidRDefault="00EF3D59" w:rsidP="00BE63EB">
                      <w:pPr>
                        <w:jc w:val="center"/>
                        <w:rPr>
                          <w:rFonts w:ascii="Century Schoolbook" w:hAnsi="Century Schoolbook"/>
                          <w:b/>
                          <w:color w:val="FFFFFF"/>
                          <w:sz w:val="48"/>
                          <w:szCs w:val="48"/>
                          <w:lang w:val="es-CO"/>
                        </w:rPr>
                      </w:pPr>
                      <w:r w:rsidRPr="00BD0FD2">
                        <w:rPr>
                          <w:rFonts w:ascii="Century Schoolbook" w:hAnsi="Century Schoolbook"/>
                          <w:b/>
                          <w:color w:val="FFFFFF"/>
                          <w:sz w:val="48"/>
                          <w:szCs w:val="48"/>
                          <w:lang w:val="es-CO"/>
                        </w:rPr>
                        <w:t>Apo3.Man.3                                                 Manual Operativo para la Gestión Contable</w:t>
                      </w:r>
                      <w:r w:rsidR="00BD0FD2" w:rsidRPr="00BD0FD2">
                        <w:rPr>
                          <w:rFonts w:ascii="Century Schoolbook" w:hAnsi="Century Schoolbook"/>
                          <w:b/>
                          <w:color w:val="FFFFFF"/>
                          <w:sz w:val="48"/>
                          <w:szCs w:val="48"/>
                          <w:lang w:val="es-CO"/>
                        </w:rPr>
                        <w:t xml:space="preserve"> </w:t>
                      </w:r>
                    </w:p>
                    <w:p w14:paraId="70D02A53" w14:textId="06F0EC13" w:rsidR="00EF3D59" w:rsidRPr="003C433E" w:rsidRDefault="00BD0FD2" w:rsidP="00BE63EB">
                      <w:pPr>
                        <w:jc w:val="center"/>
                        <w:rPr>
                          <w:rFonts w:ascii="Century Schoolbook" w:hAnsi="Century Schoolbook"/>
                          <w:b/>
                          <w:color w:val="FFFFFF"/>
                          <w:sz w:val="44"/>
                          <w:szCs w:val="44"/>
                          <w:lang w:val="es-CO"/>
                        </w:rPr>
                      </w:pPr>
                      <w:r w:rsidRPr="003C433E">
                        <w:rPr>
                          <w:rFonts w:ascii="Century Schoolbook" w:hAnsi="Century Schoolbook"/>
                          <w:b/>
                          <w:color w:val="FFFFFF"/>
                          <w:sz w:val="44"/>
                          <w:szCs w:val="44"/>
                          <w:lang w:val="es-CO"/>
                        </w:rPr>
                        <w:t>MHCP – Gestión General</w:t>
                      </w:r>
                    </w:p>
                    <w:p w14:paraId="7CF49DAC" w14:textId="77777777" w:rsidR="00EF3D59" w:rsidRPr="00A97B06" w:rsidRDefault="00EF3D59" w:rsidP="00BE63EB">
                      <w:pPr>
                        <w:jc w:val="center"/>
                        <w:rPr>
                          <w:rFonts w:ascii="Century Schoolbook" w:hAnsi="Century Schoolbook"/>
                          <w:b/>
                          <w:color w:val="FFFFFF"/>
                          <w:sz w:val="50"/>
                          <w:szCs w:val="50"/>
                          <w:lang w:val="es-CO"/>
                        </w:rPr>
                      </w:pPr>
                    </w:p>
                    <w:p w14:paraId="4F51C280" w14:textId="77777777" w:rsidR="00EF3D59" w:rsidRPr="00B73D28" w:rsidRDefault="00EF3D59" w:rsidP="00BE63EB">
                      <w:pPr>
                        <w:pStyle w:val="Sinespaciado"/>
                        <w:jc w:val="center"/>
                        <w:rPr>
                          <w:rFonts w:ascii="Century Schoolbook" w:hAnsi="Century Schoolbook"/>
                          <w:b/>
                          <w:color w:val="FFFFFF"/>
                          <w:sz w:val="64"/>
                          <w:szCs w:val="64"/>
                          <w:lang w:val="es-CO"/>
                        </w:rPr>
                      </w:pPr>
                    </w:p>
                  </w:txbxContent>
                </v:textbox>
                <w10:wrap anchorx="page" anchory="page"/>
              </v:rect>
            </w:pict>
          </mc:Fallback>
        </mc:AlternateContent>
      </w:r>
      <w:r w:rsidR="00107C2E" w:rsidRPr="000D7E4E">
        <w:rPr>
          <w:rFonts w:ascii="Arial" w:hAnsi="Arial" w:cs="Arial"/>
        </w:rPr>
        <w:br w:type="page"/>
      </w:r>
      <w:r w:rsidR="00E56F22" w:rsidRPr="00290062">
        <w:rPr>
          <w:rFonts w:ascii="Arial Narrow" w:hAnsi="Arial Narrow"/>
          <w:noProof/>
          <w:lang w:val="es-CO" w:eastAsia="es-CO"/>
        </w:rPr>
        <mc:AlternateContent>
          <mc:Choice Requires="wps">
            <w:drawing>
              <wp:anchor distT="0" distB="0" distL="114300" distR="114300" simplePos="0" relativeHeight="251655168" behindDoc="0" locked="0" layoutInCell="1" allowOverlap="1" wp14:anchorId="420D7D2A" wp14:editId="1A878CC0">
                <wp:simplePos x="0" y="0"/>
                <wp:positionH relativeFrom="column">
                  <wp:posOffset>-842010</wp:posOffset>
                </wp:positionH>
                <wp:positionV relativeFrom="paragraph">
                  <wp:posOffset>-774700</wp:posOffset>
                </wp:positionV>
                <wp:extent cx="240665" cy="23749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solidFill>
                          <a:sysClr val="window" lastClr="FFFFFF"/>
                        </a:solidFill>
                        <a:ln w="6350">
                          <a:noFill/>
                        </a:ln>
                        <a:effectLst/>
                      </wps:spPr>
                      <wps:txbx>
                        <w:txbxContent>
                          <w:p w14:paraId="174FA12E" w14:textId="77777777" w:rsidR="00EF3D59" w:rsidRDefault="00EF3D59" w:rsidP="00A22F3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0D7D2A" id="_x0000_t202" coordsize="21600,21600" o:spt="202" path="m,l,21600r21600,l21600,xe">
                <v:stroke joinstyle="miter"/>
                <v:path gradientshapeok="t" o:connecttype="rect"/>
              </v:shapetype>
              <v:shape id="21 Cuadro de texto" o:spid="_x0000_s1028" type="#_x0000_t202" style="position:absolute;margin-left:-66.3pt;margin-top:-61pt;width:18.95pt;height:18.7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dmYQIAAL4EAAAOAAAAZHJzL2Uyb0RvYy54bWysVF1v2jAUfZ+0/2D5fQ2klK5RQ8WomCah&#10;tlI79dk4Tonm+Fq2IWG/fscOtKzb0zQejO17fL/Oubm+6VvNdsr5hkzJx2cjzpSRVDXmpeTfn5af&#10;PnPmgzCV0GRUyffK85vZxw/XnS1UThvSlXIMTowvOlvyTQi2yDIvN6oV/oysMjDW5FoRcHQvWeVE&#10;B++tzvLRaJp15CrrSCrvcXs7GPks+a9rJcN9XXsVmC45cgtpdWldxzWbXYvixQm7aeQhDfEPWbSi&#10;MQj66upWBMG2rvnDVdtIR57qcCapzaiuG6lSDahmPHpXzeNGWJVqQXO8fW2T/39u5d3uwbGmKnk+&#10;5syIFhzlY7bYisoRqxQLqg8U29RZXwD9aIEP/RfqQXcq2dsVyR8ekOwEMzzwQMe29LVr4z8KZngI&#10;Jvav3UcAJnGZT0bT6QVnEqb8/HJyldjJ3h5b58NXRS2Lm5I7kJsSELuVDzG8KI6QGMuTbqplo3U6&#10;7P1CO7YT0AHkU1HHmRY+4LLky/SLRcLFb8+0YV3Jp+cXoxTJUPQ34LSJflXS2CF+LH+oOO5Cv+6H&#10;zh7bt6Zqj+45GmTorVw2KGWFPB6Eg+7QF8xSuMdSa0JkOuw425D7+bf7iIccYOWsg45LbjBoKO6b&#10;gUyuxpNJlH06TC4ucxzcqWV9ajHbdkFoEJSA3NI24oM+bmtH7TMGbh5jwiSMROSSh+N2EYbZwsBK&#10;NZ8nEIRuRViZRyuPkok0PfXPwtkDl1Fld3TUuyjeUTpgE492vg1gIfEduzz09KA9DEni8DDQcQpP&#10;zwn19tmZ/QIAAP//AwBQSwMEFAAGAAgAAAAhAFLhE5rgAAAADQEAAA8AAABkcnMvZG93bnJldi54&#10;bWxMj8FugzAQRO+V+g/WVuqNGGhEU4KJqkq9RFxKk7tjO0CD1xQbQv++m1N7m9E+zc4Uu8X2bDaj&#10;7xwKSFYxMIPK6Q4bAYfP92gDzAeJWvYOjYAf42FX3t8VMtfuih9mrkPDKAR9LgW0IQw55161xkq/&#10;coNBup3daGUgOzZcj/JK4bbnaRxn3MoO6UMrB/PWGnWpJyvgsq+0SviX3lfTfKyPh+9KYSbE48Py&#10;ugUWzBL+YLjVp+pQUqeTm1B71guIkqc0I/am0pRmERO9rJ+BnUhs1hnwsuD/V5S/AAAA//8DAFBL&#10;AQItABQABgAIAAAAIQC2gziS/gAAAOEBAAATAAAAAAAAAAAAAAAAAAAAAABbQ29udGVudF9UeXBl&#10;c10ueG1sUEsBAi0AFAAGAAgAAAAhADj9If/WAAAAlAEAAAsAAAAAAAAAAAAAAAAALwEAAF9yZWxz&#10;Ly5yZWxzUEsBAi0AFAAGAAgAAAAhAOV+N2ZhAgAAvgQAAA4AAAAAAAAAAAAAAAAALgIAAGRycy9l&#10;Mm9Eb2MueG1sUEsBAi0AFAAGAAgAAAAhAFLhE5rgAAAADQEAAA8AAAAAAAAAAAAAAAAAuwQAAGRy&#10;cy9kb3ducmV2LnhtbFBLBQYAAAAABAAEAPMAAADIBQAAAAA=&#10;" fillcolor="window" stroked="f" strokeweight=".5pt">
                <v:textbox style="mso-fit-shape-to-text:t">
                  <w:txbxContent>
                    <w:p w14:paraId="174FA12E" w14:textId="77777777" w:rsidR="00EF3D59" w:rsidRDefault="00EF3D59" w:rsidP="00A22F35"/>
                  </w:txbxContent>
                </v:textbox>
              </v:shape>
            </w:pict>
          </mc:Fallback>
        </mc:AlternateContent>
      </w:r>
    </w:p>
    <w:p w14:paraId="3A935438" w14:textId="77777777" w:rsidR="001B042C" w:rsidRPr="00290062" w:rsidRDefault="000D7126" w:rsidP="00A606C2">
      <w:pPr>
        <w:jc w:val="center"/>
        <w:rPr>
          <w:rFonts w:ascii="Arial Narrow" w:hAnsi="Arial Narrow"/>
          <w:b/>
          <w:sz w:val="22"/>
        </w:rPr>
      </w:pPr>
      <w:r w:rsidRPr="00290062">
        <w:rPr>
          <w:rFonts w:ascii="Arial Narrow" w:hAnsi="Arial Narrow"/>
          <w:b/>
          <w:sz w:val="22"/>
        </w:rPr>
        <w:lastRenderedPageBreak/>
        <w:t>CONTENIDO</w:t>
      </w:r>
    </w:p>
    <w:p w14:paraId="4112A87C" w14:textId="77777777" w:rsidR="006A76D6" w:rsidRPr="00290062" w:rsidRDefault="006A76D6" w:rsidP="00A606C2">
      <w:pPr>
        <w:rPr>
          <w:rFonts w:ascii="Arial Narrow" w:hAnsi="Arial Narrow"/>
          <w:lang w:eastAsia="es-CO"/>
        </w:rPr>
      </w:pPr>
    </w:p>
    <w:p w14:paraId="6A217B9A" w14:textId="4DDFD28C" w:rsidR="00906382" w:rsidRDefault="0024759A">
      <w:pPr>
        <w:pStyle w:val="TDC1"/>
        <w:rPr>
          <w:rFonts w:asciiTheme="minorHAnsi" w:eastAsiaTheme="minorEastAsia" w:hAnsiTheme="minorHAnsi" w:cstheme="minorBidi"/>
          <w:b w:val="0"/>
          <w:noProof/>
          <w:sz w:val="22"/>
          <w:szCs w:val="22"/>
          <w:lang w:val="es-CO" w:eastAsia="es-CO"/>
        </w:rPr>
      </w:pPr>
      <w:r w:rsidRPr="00062EEE">
        <w:fldChar w:fldCharType="begin"/>
      </w:r>
      <w:r w:rsidRPr="00062EEE">
        <w:instrText xml:space="preserve"> TOC \o "1-3" \h \z \u </w:instrText>
      </w:r>
      <w:r w:rsidRPr="00062EEE">
        <w:fldChar w:fldCharType="separate"/>
      </w:r>
      <w:hyperlink w:anchor="_Toc59377807" w:history="1">
        <w:r w:rsidR="00906382" w:rsidRPr="00614B4E">
          <w:rPr>
            <w:rStyle w:val="Hipervnculo"/>
            <w:noProof/>
          </w:rPr>
          <w:t>1.</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rPr>
          <w:t>INTRODUCCIÓN</w:t>
        </w:r>
        <w:r w:rsidR="00906382">
          <w:rPr>
            <w:noProof/>
            <w:webHidden/>
          </w:rPr>
          <w:tab/>
        </w:r>
        <w:r w:rsidR="00906382">
          <w:rPr>
            <w:noProof/>
            <w:webHidden/>
          </w:rPr>
          <w:fldChar w:fldCharType="begin"/>
        </w:r>
        <w:r w:rsidR="00906382">
          <w:rPr>
            <w:noProof/>
            <w:webHidden/>
          </w:rPr>
          <w:instrText xml:space="preserve"> PAGEREF _Toc59377807 \h </w:instrText>
        </w:r>
        <w:r w:rsidR="00906382">
          <w:rPr>
            <w:noProof/>
            <w:webHidden/>
          </w:rPr>
        </w:r>
        <w:r w:rsidR="00906382">
          <w:rPr>
            <w:noProof/>
            <w:webHidden/>
          </w:rPr>
          <w:fldChar w:fldCharType="separate"/>
        </w:r>
        <w:r w:rsidR="00906382">
          <w:rPr>
            <w:noProof/>
            <w:webHidden/>
          </w:rPr>
          <w:t>5</w:t>
        </w:r>
        <w:r w:rsidR="00906382">
          <w:rPr>
            <w:noProof/>
            <w:webHidden/>
          </w:rPr>
          <w:fldChar w:fldCharType="end"/>
        </w:r>
      </w:hyperlink>
    </w:p>
    <w:p w14:paraId="218FBBE2" w14:textId="114B3ACA" w:rsidR="00906382" w:rsidRDefault="00521D6E">
      <w:pPr>
        <w:pStyle w:val="TDC1"/>
        <w:rPr>
          <w:rFonts w:asciiTheme="minorHAnsi" w:eastAsiaTheme="minorEastAsia" w:hAnsiTheme="minorHAnsi" w:cstheme="minorBidi"/>
          <w:b w:val="0"/>
          <w:noProof/>
          <w:sz w:val="22"/>
          <w:szCs w:val="22"/>
          <w:lang w:val="es-CO" w:eastAsia="es-CO"/>
        </w:rPr>
      </w:pPr>
      <w:hyperlink w:anchor="_Toc59377808" w:history="1">
        <w:r w:rsidR="00906382" w:rsidRPr="00614B4E">
          <w:rPr>
            <w:rStyle w:val="Hipervnculo"/>
            <w:noProof/>
          </w:rPr>
          <w:t>2.</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rPr>
          <w:t>OBJETIVO</w:t>
        </w:r>
        <w:r w:rsidR="00906382">
          <w:rPr>
            <w:noProof/>
            <w:webHidden/>
          </w:rPr>
          <w:tab/>
        </w:r>
        <w:r w:rsidR="00906382">
          <w:rPr>
            <w:noProof/>
            <w:webHidden/>
          </w:rPr>
          <w:fldChar w:fldCharType="begin"/>
        </w:r>
        <w:r w:rsidR="00906382">
          <w:rPr>
            <w:noProof/>
            <w:webHidden/>
          </w:rPr>
          <w:instrText xml:space="preserve"> PAGEREF _Toc59377808 \h </w:instrText>
        </w:r>
        <w:r w:rsidR="00906382">
          <w:rPr>
            <w:noProof/>
            <w:webHidden/>
          </w:rPr>
        </w:r>
        <w:r w:rsidR="00906382">
          <w:rPr>
            <w:noProof/>
            <w:webHidden/>
          </w:rPr>
          <w:fldChar w:fldCharType="separate"/>
        </w:r>
        <w:r w:rsidR="00906382">
          <w:rPr>
            <w:noProof/>
            <w:webHidden/>
          </w:rPr>
          <w:t>5</w:t>
        </w:r>
        <w:r w:rsidR="00906382">
          <w:rPr>
            <w:noProof/>
            <w:webHidden/>
          </w:rPr>
          <w:fldChar w:fldCharType="end"/>
        </w:r>
      </w:hyperlink>
    </w:p>
    <w:p w14:paraId="22278706" w14:textId="6415058E" w:rsidR="00906382" w:rsidRDefault="00521D6E">
      <w:pPr>
        <w:pStyle w:val="TDC1"/>
        <w:rPr>
          <w:rFonts w:asciiTheme="minorHAnsi" w:eastAsiaTheme="minorEastAsia" w:hAnsiTheme="minorHAnsi" w:cstheme="minorBidi"/>
          <w:b w:val="0"/>
          <w:noProof/>
          <w:sz w:val="22"/>
          <w:szCs w:val="22"/>
          <w:lang w:val="es-CO" w:eastAsia="es-CO"/>
        </w:rPr>
      </w:pPr>
      <w:hyperlink w:anchor="_Toc59377809" w:history="1">
        <w:r w:rsidR="00906382" w:rsidRPr="00614B4E">
          <w:rPr>
            <w:rStyle w:val="Hipervnculo"/>
            <w:noProof/>
          </w:rPr>
          <w:t>3.</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rPr>
          <w:t>ALCANCE</w:t>
        </w:r>
        <w:r w:rsidR="00906382">
          <w:rPr>
            <w:noProof/>
            <w:webHidden/>
          </w:rPr>
          <w:tab/>
        </w:r>
        <w:r w:rsidR="00906382">
          <w:rPr>
            <w:noProof/>
            <w:webHidden/>
          </w:rPr>
          <w:fldChar w:fldCharType="begin"/>
        </w:r>
        <w:r w:rsidR="00906382">
          <w:rPr>
            <w:noProof/>
            <w:webHidden/>
          </w:rPr>
          <w:instrText xml:space="preserve"> PAGEREF _Toc59377809 \h </w:instrText>
        </w:r>
        <w:r w:rsidR="00906382">
          <w:rPr>
            <w:noProof/>
            <w:webHidden/>
          </w:rPr>
        </w:r>
        <w:r w:rsidR="00906382">
          <w:rPr>
            <w:noProof/>
            <w:webHidden/>
          </w:rPr>
          <w:fldChar w:fldCharType="separate"/>
        </w:r>
        <w:r w:rsidR="00906382">
          <w:rPr>
            <w:noProof/>
            <w:webHidden/>
          </w:rPr>
          <w:t>5</w:t>
        </w:r>
        <w:r w:rsidR="00906382">
          <w:rPr>
            <w:noProof/>
            <w:webHidden/>
          </w:rPr>
          <w:fldChar w:fldCharType="end"/>
        </w:r>
      </w:hyperlink>
    </w:p>
    <w:p w14:paraId="6173B450" w14:textId="47317C1D" w:rsidR="00906382" w:rsidRDefault="00521D6E">
      <w:pPr>
        <w:pStyle w:val="TDC1"/>
        <w:rPr>
          <w:rFonts w:asciiTheme="minorHAnsi" w:eastAsiaTheme="minorEastAsia" w:hAnsiTheme="minorHAnsi" w:cstheme="minorBidi"/>
          <w:b w:val="0"/>
          <w:noProof/>
          <w:sz w:val="22"/>
          <w:szCs w:val="22"/>
          <w:lang w:val="es-CO" w:eastAsia="es-CO"/>
        </w:rPr>
      </w:pPr>
      <w:hyperlink w:anchor="_Toc59377810" w:history="1">
        <w:r w:rsidR="00906382" w:rsidRPr="00614B4E">
          <w:rPr>
            <w:rStyle w:val="Hipervnculo"/>
            <w:noProof/>
          </w:rPr>
          <w:t>4.</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rPr>
          <w:t>PRODUCTOS ESPERADOS</w:t>
        </w:r>
        <w:r w:rsidR="00906382">
          <w:rPr>
            <w:noProof/>
            <w:webHidden/>
          </w:rPr>
          <w:tab/>
        </w:r>
        <w:r w:rsidR="00906382">
          <w:rPr>
            <w:noProof/>
            <w:webHidden/>
          </w:rPr>
          <w:fldChar w:fldCharType="begin"/>
        </w:r>
        <w:r w:rsidR="00906382">
          <w:rPr>
            <w:noProof/>
            <w:webHidden/>
          </w:rPr>
          <w:instrText xml:space="preserve"> PAGEREF _Toc59377810 \h </w:instrText>
        </w:r>
        <w:r w:rsidR="00906382">
          <w:rPr>
            <w:noProof/>
            <w:webHidden/>
          </w:rPr>
        </w:r>
        <w:r w:rsidR="00906382">
          <w:rPr>
            <w:noProof/>
            <w:webHidden/>
          </w:rPr>
          <w:fldChar w:fldCharType="separate"/>
        </w:r>
        <w:r w:rsidR="00906382">
          <w:rPr>
            <w:noProof/>
            <w:webHidden/>
          </w:rPr>
          <w:t>6</w:t>
        </w:r>
        <w:r w:rsidR="00906382">
          <w:rPr>
            <w:noProof/>
            <w:webHidden/>
          </w:rPr>
          <w:fldChar w:fldCharType="end"/>
        </w:r>
      </w:hyperlink>
    </w:p>
    <w:p w14:paraId="2ED957AD" w14:textId="45FD9315" w:rsidR="00906382" w:rsidRDefault="00521D6E">
      <w:pPr>
        <w:pStyle w:val="TDC1"/>
        <w:rPr>
          <w:rFonts w:asciiTheme="minorHAnsi" w:eastAsiaTheme="minorEastAsia" w:hAnsiTheme="minorHAnsi" w:cstheme="minorBidi"/>
          <w:b w:val="0"/>
          <w:noProof/>
          <w:sz w:val="22"/>
          <w:szCs w:val="22"/>
          <w:lang w:val="es-CO" w:eastAsia="es-CO"/>
        </w:rPr>
      </w:pPr>
      <w:hyperlink w:anchor="_Toc59377811" w:history="1">
        <w:r w:rsidR="00906382" w:rsidRPr="00614B4E">
          <w:rPr>
            <w:rStyle w:val="Hipervnculo"/>
            <w:noProof/>
          </w:rPr>
          <w:t>5.</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lang w:val="es-ES_tradnl"/>
            <w14:shadow w14:blurRad="50800" w14:dist="38100" w14:dir="2700000" w14:sx="100000" w14:sy="100000" w14:kx="0" w14:ky="0" w14:algn="tl">
              <w14:srgbClr w14:val="000000">
                <w14:alpha w14:val="60000"/>
              </w14:srgbClr>
            </w14:shadow>
          </w:rPr>
          <w:t>TÉRMINOS Y DEFINICIONES</w:t>
        </w:r>
        <w:r w:rsidR="00906382">
          <w:rPr>
            <w:noProof/>
            <w:webHidden/>
          </w:rPr>
          <w:tab/>
        </w:r>
        <w:r w:rsidR="00906382">
          <w:rPr>
            <w:noProof/>
            <w:webHidden/>
          </w:rPr>
          <w:fldChar w:fldCharType="begin"/>
        </w:r>
        <w:r w:rsidR="00906382">
          <w:rPr>
            <w:noProof/>
            <w:webHidden/>
          </w:rPr>
          <w:instrText xml:space="preserve"> PAGEREF _Toc59377811 \h </w:instrText>
        </w:r>
        <w:r w:rsidR="00906382">
          <w:rPr>
            <w:noProof/>
            <w:webHidden/>
          </w:rPr>
        </w:r>
        <w:r w:rsidR="00906382">
          <w:rPr>
            <w:noProof/>
            <w:webHidden/>
          </w:rPr>
          <w:fldChar w:fldCharType="separate"/>
        </w:r>
        <w:r w:rsidR="00906382">
          <w:rPr>
            <w:noProof/>
            <w:webHidden/>
          </w:rPr>
          <w:t>6</w:t>
        </w:r>
        <w:r w:rsidR="00906382">
          <w:rPr>
            <w:noProof/>
            <w:webHidden/>
          </w:rPr>
          <w:fldChar w:fldCharType="end"/>
        </w:r>
      </w:hyperlink>
    </w:p>
    <w:p w14:paraId="63054FED" w14:textId="1085411F" w:rsidR="00906382" w:rsidRDefault="00521D6E">
      <w:pPr>
        <w:pStyle w:val="TDC1"/>
        <w:rPr>
          <w:rFonts w:asciiTheme="minorHAnsi" w:eastAsiaTheme="minorEastAsia" w:hAnsiTheme="minorHAnsi" w:cstheme="minorBidi"/>
          <w:b w:val="0"/>
          <w:noProof/>
          <w:sz w:val="22"/>
          <w:szCs w:val="22"/>
          <w:lang w:val="es-CO" w:eastAsia="es-CO"/>
        </w:rPr>
      </w:pPr>
      <w:hyperlink w:anchor="_Toc59377812" w:history="1">
        <w:r w:rsidR="00906382" w:rsidRPr="00614B4E">
          <w:rPr>
            <w:rStyle w:val="Hipervnculo"/>
            <w:noProof/>
          </w:rPr>
          <w:t>6.</w:t>
        </w:r>
        <w:r w:rsidR="00906382">
          <w:rPr>
            <w:rFonts w:asciiTheme="minorHAnsi" w:eastAsiaTheme="minorEastAsia" w:hAnsiTheme="minorHAnsi" w:cstheme="minorBidi"/>
            <w:b w:val="0"/>
            <w:noProof/>
            <w:sz w:val="22"/>
            <w:szCs w:val="22"/>
            <w:lang w:val="es-CO" w:eastAsia="es-CO"/>
          </w:rPr>
          <w:tab/>
        </w:r>
        <w:r w:rsidR="00906382" w:rsidRPr="00614B4E">
          <w:rPr>
            <w:rStyle w:val="Hipervnculo"/>
            <w:noProof/>
          </w:rPr>
          <w:t>GENERALIDADES</w:t>
        </w:r>
        <w:r w:rsidR="00906382">
          <w:rPr>
            <w:noProof/>
            <w:webHidden/>
          </w:rPr>
          <w:tab/>
        </w:r>
        <w:r w:rsidR="00906382">
          <w:rPr>
            <w:noProof/>
            <w:webHidden/>
          </w:rPr>
          <w:fldChar w:fldCharType="begin"/>
        </w:r>
        <w:r w:rsidR="00906382">
          <w:rPr>
            <w:noProof/>
            <w:webHidden/>
          </w:rPr>
          <w:instrText xml:space="preserve"> PAGEREF _Toc59377812 \h </w:instrText>
        </w:r>
        <w:r w:rsidR="00906382">
          <w:rPr>
            <w:noProof/>
            <w:webHidden/>
          </w:rPr>
        </w:r>
        <w:r w:rsidR="00906382">
          <w:rPr>
            <w:noProof/>
            <w:webHidden/>
          </w:rPr>
          <w:fldChar w:fldCharType="separate"/>
        </w:r>
        <w:r w:rsidR="00906382">
          <w:rPr>
            <w:noProof/>
            <w:webHidden/>
          </w:rPr>
          <w:t>6</w:t>
        </w:r>
        <w:r w:rsidR="00906382">
          <w:rPr>
            <w:noProof/>
            <w:webHidden/>
          </w:rPr>
          <w:fldChar w:fldCharType="end"/>
        </w:r>
      </w:hyperlink>
    </w:p>
    <w:p w14:paraId="5DD82D42" w14:textId="480F0E01" w:rsidR="00906382" w:rsidRDefault="00521D6E">
      <w:pPr>
        <w:pStyle w:val="TDC2"/>
        <w:rPr>
          <w:rFonts w:asciiTheme="minorHAnsi" w:eastAsiaTheme="minorEastAsia" w:hAnsiTheme="minorHAnsi" w:cstheme="minorBidi"/>
          <w:b w:val="0"/>
          <w:noProof/>
          <w:sz w:val="22"/>
          <w:szCs w:val="22"/>
          <w:lang w:val="es-CO" w:eastAsia="es-CO"/>
        </w:rPr>
      </w:pPr>
      <w:hyperlink w:anchor="_Toc59377813" w:history="1">
        <w:r w:rsidR="00906382" w:rsidRPr="00614B4E">
          <w:rPr>
            <w:rStyle w:val="Hipervnculo"/>
            <w:rFonts w:cs="Arial"/>
            <w:noProof/>
          </w:rPr>
          <w:t>6.1</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ESTRUCTURA ORGANIZACIONAL Y NORMATIVIDAD CONTABLE APLICABLE AL MINISTERIO DE HACIENDA Y CRÉDITO PÚBLICO</w:t>
        </w:r>
        <w:r w:rsidR="00906382">
          <w:rPr>
            <w:noProof/>
            <w:webHidden/>
          </w:rPr>
          <w:tab/>
        </w:r>
        <w:r w:rsidR="00906382">
          <w:rPr>
            <w:noProof/>
            <w:webHidden/>
          </w:rPr>
          <w:fldChar w:fldCharType="begin"/>
        </w:r>
        <w:r w:rsidR="00906382">
          <w:rPr>
            <w:noProof/>
            <w:webHidden/>
          </w:rPr>
          <w:instrText xml:space="preserve"> PAGEREF _Toc59377813 \h </w:instrText>
        </w:r>
        <w:r w:rsidR="00906382">
          <w:rPr>
            <w:noProof/>
            <w:webHidden/>
          </w:rPr>
        </w:r>
        <w:r w:rsidR="00906382">
          <w:rPr>
            <w:noProof/>
            <w:webHidden/>
          </w:rPr>
          <w:fldChar w:fldCharType="separate"/>
        </w:r>
        <w:r w:rsidR="00906382">
          <w:rPr>
            <w:noProof/>
            <w:webHidden/>
          </w:rPr>
          <w:t>6</w:t>
        </w:r>
        <w:r w:rsidR="00906382">
          <w:rPr>
            <w:noProof/>
            <w:webHidden/>
          </w:rPr>
          <w:fldChar w:fldCharType="end"/>
        </w:r>
      </w:hyperlink>
    </w:p>
    <w:p w14:paraId="494D27F9" w14:textId="46B34A80" w:rsidR="00906382" w:rsidRDefault="00521D6E">
      <w:pPr>
        <w:pStyle w:val="TDC3"/>
        <w:rPr>
          <w:rFonts w:asciiTheme="minorHAnsi" w:eastAsiaTheme="minorEastAsia" w:hAnsiTheme="minorHAnsi" w:cstheme="minorBidi"/>
          <w:noProof/>
          <w:sz w:val="22"/>
          <w:szCs w:val="22"/>
          <w:lang w:val="es-CO" w:eastAsia="es-CO"/>
        </w:rPr>
      </w:pPr>
      <w:hyperlink w:anchor="_Toc59377814" w:history="1">
        <w:r w:rsidR="00906382" w:rsidRPr="00614B4E">
          <w:rPr>
            <w:rStyle w:val="Hipervnculo"/>
            <w:rFonts w:cs="Arial"/>
            <w:b/>
            <w:noProof/>
          </w:rPr>
          <w:t>6.1.1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Régimen Jurídico y Estructura Orgánica del Ministerio de Hacienda y Crédito Público</w:t>
        </w:r>
        <w:r w:rsidR="00906382">
          <w:rPr>
            <w:noProof/>
            <w:webHidden/>
          </w:rPr>
          <w:tab/>
        </w:r>
        <w:r w:rsidR="00906382">
          <w:rPr>
            <w:noProof/>
            <w:webHidden/>
          </w:rPr>
          <w:fldChar w:fldCharType="begin"/>
        </w:r>
        <w:r w:rsidR="00906382">
          <w:rPr>
            <w:noProof/>
            <w:webHidden/>
          </w:rPr>
          <w:instrText xml:space="preserve"> PAGEREF _Toc59377814 \h </w:instrText>
        </w:r>
        <w:r w:rsidR="00906382">
          <w:rPr>
            <w:noProof/>
            <w:webHidden/>
          </w:rPr>
        </w:r>
        <w:r w:rsidR="00906382">
          <w:rPr>
            <w:noProof/>
            <w:webHidden/>
          </w:rPr>
          <w:fldChar w:fldCharType="separate"/>
        </w:r>
        <w:r w:rsidR="00906382">
          <w:rPr>
            <w:noProof/>
            <w:webHidden/>
          </w:rPr>
          <w:t>6</w:t>
        </w:r>
        <w:r w:rsidR="00906382">
          <w:rPr>
            <w:noProof/>
            <w:webHidden/>
          </w:rPr>
          <w:fldChar w:fldCharType="end"/>
        </w:r>
      </w:hyperlink>
    </w:p>
    <w:p w14:paraId="300363FC" w14:textId="6B811E48" w:rsidR="00906382" w:rsidRDefault="00521D6E">
      <w:pPr>
        <w:pStyle w:val="TDC3"/>
        <w:rPr>
          <w:rFonts w:asciiTheme="minorHAnsi" w:eastAsiaTheme="minorEastAsia" w:hAnsiTheme="minorHAnsi" w:cstheme="minorBidi"/>
          <w:noProof/>
          <w:sz w:val="22"/>
          <w:szCs w:val="22"/>
          <w:lang w:val="es-CO" w:eastAsia="es-CO"/>
        </w:rPr>
      </w:pPr>
      <w:hyperlink w:anchor="_Toc59377815" w:history="1">
        <w:r w:rsidR="00906382" w:rsidRPr="00614B4E">
          <w:rPr>
            <w:rStyle w:val="Hipervnculo"/>
            <w:rFonts w:cs="Arial"/>
            <w:b/>
            <w:noProof/>
          </w:rPr>
          <w:t>6.1.2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Aplicación del Régimen de Contabilidad Pública y demás normas expedidas por la Contaduría General de la Nación</w:t>
        </w:r>
        <w:r w:rsidR="00906382">
          <w:rPr>
            <w:noProof/>
            <w:webHidden/>
          </w:rPr>
          <w:tab/>
        </w:r>
        <w:r w:rsidR="00906382">
          <w:rPr>
            <w:noProof/>
            <w:webHidden/>
          </w:rPr>
          <w:fldChar w:fldCharType="begin"/>
        </w:r>
        <w:r w:rsidR="00906382">
          <w:rPr>
            <w:noProof/>
            <w:webHidden/>
          </w:rPr>
          <w:instrText xml:space="preserve"> PAGEREF _Toc59377815 \h </w:instrText>
        </w:r>
        <w:r w:rsidR="00906382">
          <w:rPr>
            <w:noProof/>
            <w:webHidden/>
          </w:rPr>
        </w:r>
        <w:r w:rsidR="00906382">
          <w:rPr>
            <w:noProof/>
            <w:webHidden/>
          </w:rPr>
          <w:fldChar w:fldCharType="separate"/>
        </w:r>
        <w:r w:rsidR="00906382">
          <w:rPr>
            <w:noProof/>
            <w:webHidden/>
          </w:rPr>
          <w:t>8</w:t>
        </w:r>
        <w:r w:rsidR="00906382">
          <w:rPr>
            <w:noProof/>
            <w:webHidden/>
          </w:rPr>
          <w:fldChar w:fldCharType="end"/>
        </w:r>
      </w:hyperlink>
    </w:p>
    <w:p w14:paraId="0D1F7CF0" w14:textId="50A0929C" w:rsidR="00906382" w:rsidRDefault="00521D6E">
      <w:pPr>
        <w:pStyle w:val="TDC3"/>
        <w:rPr>
          <w:rFonts w:asciiTheme="minorHAnsi" w:eastAsiaTheme="minorEastAsia" w:hAnsiTheme="minorHAnsi" w:cstheme="minorBidi"/>
          <w:noProof/>
          <w:sz w:val="22"/>
          <w:szCs w:val="22"/>
          <w:lang w:val="es-CO" w:eastAsia="es-CO"/>
        </w:rPr>
      </w:pPr>
      <w:hyperlink w:anchor="_Toc59377816" w:history="1">
        <w:r w:rsidR="00906382" w:rsidRPr="00614B4E">
          <w:rPr>
            <w:rStyle w:val="Hipervnculo"/>
            <w:rFonts w:cs="Arial"/>
            <w:b/>
            <w:noProof/>
          </w:rPr>
          <w:t>6.1.3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Información referida al proceso de agregación y/o consolidación de información contable pública</w:t>
        </w:r>
        <w:r w:rsidR="00906382">
          <w:rPr>
            <w:noProof/>
            <w:webHidden/>
          </w:rPr>
          <w:tab/>
        </w:r>
        <w:r w:rsidR="00906382">
          <w:rPr>
            <w:noProof/>
            <w:webHidden/>
          </w:rPr>
          <w:fldChar w:fldCharType="begin"/>
        </w:r>
        <w:r w:rsidR="00906382">
          <w:rPr>
            <w:noProof/>
            <w:webHidden/>
          </w:rPr>
          <w:instrText xml:space="preserve"> PAGEREF _Toc59377816 \h </w:instrText>
        </w:r>
        <w:r w:rsidR="00906382">
          <w:rPr>
            <w:noProof/>
            <w:webHidden/>
          </w:rPr>
        </w:r>
        <w:r w:rsidR="00906382">
          <w:rPr>
            <w:noProof/>
            <w:webHidden/>
          </w:rPr>
          <w:fldChar w:fldCharType="separate"/>
        </w:r>
        <w:r w:rsidR="00906382">
          <w:rPr>
            <w:noProof/>
            <w:webHidden/>
          </w:rPr>
          <w:t>9</w:t>
        </w:r>
        <w:r w:rsidR="00906382">
          <w:rPr>
            <w:noProof/>
            <w:webHidden/>
          </w:rPr>
          <w:fldChar w:fldCharType="end"/>
        </w:r>
      </w:hyperlink>
    </w:p>
    <w:p w14:paraId="0C08B41F" w14:textId="01505BD9" w:rsidR="00906382" w:rsidRDefault="00521D6E">
      <w:pPr>
        <w:pStyle w:val="TDC2"/>
        <w:rPr>
          <w:rFonts w:asciiTheme="minorHAnsi" w:eastAsiaTheme="minorEastAsia" w:hAnsiTheme="minorHAnsi" w:cstheme="minorBidi"/>
          <w:b w:val="0"/>
          <w:noProof/>
          <w:sz w:val="22"/>
          <w:szCs w:val="22"/>
          <w:lang w:val="es-CO" w:eastAsia="es-CO"/>
        </w:rPr>
      </w:pPr>
      <w:hyperlink w:anchor="_Toc59377817" w:history="1">
        <w:r w:rsidR="00906382" w:rsidRPr="00614B4E">
          <w:rPr>
            <w:rStyle w:val="Hipervnculo"/>
            <w:rFonts w:cs="Arial"/>
            <w:noProof/>
          </w:rPr>
          <w:t>6.2</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EVALUACIÓN DE PERTINENCIA DE CREACIÓN DEL COMITÉ TÉCNICO DE SOSTENIBILIDAD CONTABLE</w:t>
        </w:r>
        <w:r w:rsidR="00906382">
          <w:rPr>
            <w:noProof/>
            <w:webHidden/>
          </w:rPr>
          <w:tab/>
        </w:r>
        <w:r w:rsidR="00906382">
          <w:rPr>
            <w:noProof/>
            <w:webHidden/>
          </w:rPr>
          <w:fldChar w:fldCharType="begin"/>
        </w:r>
        <w:r w:rsidR="00906382">
          <w:rPr>
            <w:noProof/>
            <w:webHidden/>
          </w:rPr>
          <w:instrText xml:space="preserve"> PAGEREF _Toc59377817 \h </w:instrText>
        </w:r>
        <w:r w:rsidR="00906382">
          <w:rPr>
            <w:noProof/>
            <w:webHidden/>
          </w:rPr>
        </w:r>
        <w:r w:rsidR="00906382">
          <w:rPr>
            <w:noProof/>
            <w:webHidden/>
          </w:rPr>
          <w:fldChar w:fldCharType="separate"/>
        </w:r>
        <w:r w:rsidR="00906382">
          <w:rPr>
            <w:noProof/>
            <w:webHidden/>
          </w:rPr>
          <w:t>10</w:t>
        </w:r>
        <w:r w:rsidR="00906382">
          <w:rPr>
            <w:noProof/>
            <w:webHidden/>
          </w:rPr>
          <w:fldChar w:fldCharType="end"/>
        </w:r>
      </w:hyperlink>
    </w:p>
    <w:p w14:paraId="44F2ADD4" w14:textId="0B113F4C" w:rsidR="00906382" w:rsidRDefault="00521D6E">
      <w:pPr>
        <w:pStyle w:val="TDC3"/>
        <w:rPr>
          <w:rFonts w:asciiTheme="minorHAnsi" w:eastAsiaTheme="minorEastAsia" w:hAnsiTheme="minorHAnsi" w:cstheme="minorBidi"/>
          <w:noProof/>
          <w:sz w:val="22"/>
          <w:szCs w:val="22"/>
          <w:lang w:val="es-CO" w:eastAsia="es-CO"/>
        </w:rPr>
      </w:pPr>
      <w:hyperlink w:anchor="_Toc59377818" w:history="1">
        <w:r w:rsidR="00906382" w:rsidRPr="00614B4E">
          <w:rPr>
            <w:rStyle w:val="Hipervnculo"/>
            <w:rFonts w:cs="Arial"/>
            <w:b/>
            <w:noProof/>
          </w:rPr>
          <w:t>6.2.1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Fundamento legal</w:t>
        </w:r>
        <w:r w:rsidR="00906382">
          <w:rPr>
            <w:noProof/>
            <w:webHidden/>
          </w:rPr>
          <w:tab/>
        </w:r>
        <w:r w:rsidR="00906382">
          <w:rPr>
            <w:noProof/>
            <w:webHidden/>
          </w:rPr>
          <w:fldChar w:fldCharType="begin"/>
        </w:r>
        <w:r w:rsidR="00906382">
          <w:rPr>
            <w:noProof/>
            <w:webHidden/>
          </w:rPr>
          <w:instrText xml:space="preserve"> PAGEREF _Toc59377818 \h </w:instrText>
        </w:r>
        <w:r w:rsidR="00906382">
          <w:rPr>
            <w:noProof/>
            <w:webHidden/>
          </w:rPr>
        </w:r>
        <w:r w:rsidR="00906382">
          <w:rPr>
            <w:noProof/>
            <w:webHidden/>
          </w:rPr>
          <w:fldChar w:fldCharType="separate"/>
        </w:r>
        <w:r w:rsidR="00906382">
          <w:rPr>
            <w:noProof/>
            <w:webHidden/>
          </w:rPr>
          <w:t>10</w:t>
        </w:r>
        <w:r w:rsidR="00906382">
          <w:rPr>
            <w:noProof/>
            <w:webHidden/>
          </w:rPr>
          <w:fldChar w:fldCharType="end"/>
        </w:r>
      </w:hyperlink>
    </w:p>
    <w:p w14:paraId="2D036A12" w14:textId="7BC5C79E" w:rsidR="00906382" w:rsidRDefault="00521D6E">
      <w:pPr>
        <w:pStyle w:val="TDC3"/>
        <w:rPr>
          <w:rFonts w:asciiTheme="minorHAnsi" w:eastAsiaTheme="minorEastAsia" w:hAnsiTheme="minorHAnsi" w:cstheme="minorBidi"/>
          <w:noProof/>
          <w:sz w:val="22"/>
          <w:szCs w:val="22"/>
          <w:lang w:val="es-CO" w:eastAsia="es-CO"/>
        </w:rPr>
      </w:pPr>
      <w:hyperlink w:anchor="_Toc59377819" w:history="1">
        <w:r w:rsidR="00906382" w:rsidRPr="00614B4E">
          <w:rPr>
            <w:rStyle w:val="Hipervnculo"/>
            <w:rFonts w:cs="Arial"/>
            <w:b/>
            <w:noProof/>
          </w:rPr>
          <w:t>6.2.2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Definición</w:t>
        </w:r>
        <w:r w:rsidR="00906382">
          <w:rPr>
            <w:noProof/>
            <w:webHidden/>
          </w:rPr>
          <w:tab/>
        </w:r>
        <w:r w:rsidR="00906382">
          <w:rPr>
            <w:noProof/>
            <w:webHidden/>
          </w:rPr>
          <w:fldChar w:fldCharType="begin"/>
        </w:r>
        <w:r w:rsidR="00906382">
          <w:rPr>
            <w:noProof/>
            <w:webHidden/>
          </w:rPr>
          <w:instrText xml:space="preserve"> PAGEREF _Toc59377819 \h </w:instrText>
        </w:r>
        <w:r w:rsidR="00906382">
          <w:rPr>
            <w:noProof/>
            <w:webHidden/>
          </w:rPr>
        </w:r>
        <w:r w:rsidR="00906382">
          <w:rPr>
            <w:noProof/>
            <w:webHidden/>
          </w:rPr>
          <w:fldChar w:fldCharType="separate"/>
        </w:r>
        <w:r w:rsidR="00906382">
          <w:rPr>
            <w:noProof/>
            <w:webHidden/>
          </w:rPr>
          <w:t>11</w:t>
        </w:r>
        <w:r w:rsidR="00906382">
          <w:rPr>
            <w:noProof/>
            <w:webHidden/>
          </w:rPr>
          <w:fldChar w:fldCharType="end"/>
        </w:r>
      </w:hyperlink>
    </w:p>
    <w:p w14:paraId="7708F606" w14:textId="757C7A60" w:rsidR="00906382" w:rsidRDefault="00521D6E">
      <w:pPr>
        <w:pStyle w:val="TDC3"/>
        <w:rPr>
          <w:rFonts w:asciiTheme="minorHAnsi" w:eastAsiaTheme="minorEastAsia" w:hAnsiTheme="minorHAnsi" w:cstheme="minorBidi"/>
          <w:noProof/>
          <w:sz w:val="22"/>
          <w:szCs w:val="22"/>
          <w:lang w:val="es-CO" w:eastAsia="es-CO"/>
        </w:rPr>
      </w:pPr>
      <w:hyperlink w:anchor="_Toc59377820" w:history="1">
        <w:r w:rsidR="00906382" w:rsidRPr="00614B4E">
          <w:rPr>
            <w:rStyle w:val="Hipervnculo"/>
            <w:rFonts w:cs="Arial"/>
            <w:b/>
            <w:noProof/>
          </w:rPr>
          <w:t>6.2.3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Funciones del comité</w:t>
        </w:r>
        <w:r w:rsidR="00906382">
          <w:rPr>
            <w:noProof/>
            <w:webHidden/>
          </w:rPr>
          <w:tab/>
        </w:r>
        <w:r w:rsidR="00906382">
          <w:rPr>
            <w:noProof/>
            <w:webHidden/>
          </w:rPr>
          <w:fldChar w:fldCharType="begin"/>
        </w:r>
        <w:r w:rsidR="00906382">
          <w:rPr>
            <w:noProof/>
            <w:webHidden/>
          </w:rPr>
          <w:instrText xml:space="preserve"> PAGEREF _Toc59377820 \h </w:instrText>
        </w:r>
        <w:r w:rsidR="00906382">
          <w:rPr>
            <w:noProof/>
            <w:webHidden/>
          </w:rPr>
        </w:r>
        <w:r w:rsidR="00906382">
          <w:rPr>
            <w:noProof/>
            <w:webHidden/>
          </w:rPr>
          <w:fldChar w:fldCharType="separate"/>
        </w:r>
        <w:r w:rsidR="00906382">
          <w:rPr>
            <w:noProof/>
            <w:webHidden/>
          </w:rPr>
          <w:t>11</w:t>
        </w:r>
        <w:r w:rsidR="00906382">
          <w:rPr>
            <w:noProof/>
            <w:webHidden/>
          </w:rPr>
          <w:fldChar w:fldCharType="end"/>
        </w:r>
      </w:hyperlink>
    </w:p>
    <w:p w14:paraId="2DD33AF1" w14:textId="5711F5A3" w:rsidR="00906382" w:rsidRDefault="00521D6E">
      <w:pPr>
        <w:pStyle w:val="TDC3"/>
        <w:rPr>
          <w:rFonts w:asciiTheme="minorHAnsi" w:eastAsiaTheme="minorEastAsia" w:hAnsiTheme="minorHAnsi" w:cstheme="minorBidi"/>
          <w:noProof/>
          <w:sz w:val="22"/>
          <w:szCs w:val="22"/>
          <w:lang w:val="es-CO" w:eastAsia="es-CO"/>
        </w:rPr>
      </w:pPr>
      <w:hyperlink w:anchor="_Toc59377821" w:history="1">
        <w:r w:rsidR="00906382" w:rsidRPr="00614B4E">
          <w:rPr>
            <w:rStyle w:val="Hipervnculo"/>
            <w:rFonts w:cs="Arial"/>
            <w:b/>
            <w:noProof/>
          </w:rPr>
          <w:t>6.2.4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Consideraciones</w:t>
        </w:r>
        <w:r w:rsidR="00906382">
          <w:rPr>
            <w:noProof/>
            <w:webHidden/>
          </w:rPr>
          <w:tab/>
        </w:r>
        <w:r w:rsidR="00906382">
          <w:rPr>
            <w:noProof/>
            <w:webHidden/>
          </w:rPr>
          <w:fldChar w:fldCharType="begin"/>
        </w:r>
        <w:r w:rsidR="00906382">
          <w:rPr>
            <w:noProof/>
            <w:webHidden/>
          </w:rPr>
          <w:instrText xml:space="preserve"> PAGEREF _Toc59377821 \h </w:instrText>
        </w:r>
        <w:r w:rsidR="00906382">
          <w:rPr>
            <w:noProof/>
            <w:webHidden/>
          </w:rPr>
        </w:r>
        <w:r w:rsidR="00906382">
          <w:rPr>
            <w:noProof/>
            <w:webHidden/>
          </w:rPr>
          <w:fldChar w:fldCharType="separate"/>
        </w:r>
        <w:r w:rsidR="00906382">
          <w:rPr>
            <w:noProof/>
            <w:webHidden/>
          </w:rPr>
          <w:t>12</w:t>
        </w:r>
        <w:r w:rsidR="00906382">
          <w:rPr>
            <w:noProof/>
            <w:webHidden/>
          </w:rPr>
          <w:fldChar w:fldCharType="end"/>
        </w:r>
      </w:hyperlink>
    </w:p>
    <w:p w14:paraId="1B8905A5" w14:textId="29F788D1" w:rsidR="00906382" w:rsidRDefault="00521D6E">
      <w:pPr>
        <w:pStyle w:val="TDC3"/>
        <w:rPr>
          <w:rFonts w:asciiTheme="minorHAnsi" w:eastAsiaTheme="minorEastAsia" w:hAnsiTheme="minorHAnsi" w:cstheme="minorBidi"/>
          <w:noProof/>
          <w:sz w:val="22"/>
          <w:szCs w:val="22"/>
          <w:lang w:val="es-CO" w:eastAsia="es-CO"/>
        </w:rPr>
      </w:pPr>
      <w:hyperlink w:anchor="_Toc59377822" w:history="1">
        <w:r w:rsidR="00906382" w:rsidRPr="00614B4E">
          <w:rPr>
            <w:rStyle w:val="Hipervnculo"/>
            <w:rFonts w:cs="Arial"/>
            <w:b/>
            <w:noProof/>
          </w:rPr>
          <w:t>6.2.5</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Recomendación</w:t>
        </w:r>
        <w:r w:rsidR="00906382">
          <w:rPr>
            <w:noProof/>
            <w:webHidden/>
          </w:rPr>
          <w:tab/>
        </w:r>
        <w:r w:rsidR="00906382">
          <w:rPr>
            <w:noProof/>
            <w:webHidden/>
          </w:rPr>
          <w:fldChar w:fldCharType="begin"/>
        </w:r>
        <w:r w:rsidR="00906382">
          <w:rPr>
            <w:noProof/>
            <w:webHidden/>
          </w:rPr>
          <w:instrText xml:space="preserve"> PAGEREF _Toc59377822 \h </w:instrText>
        </w:r>
        <w:r w:rsidR="00906382">
          <w:rPr>
            <w:noProof/>
            <w:webHidden/>
          </w:rPr>
        </w:r>
        <w:r w:rsidR="00906382">
          <w:rPr>
            <w:noProof/>
            <w:webHidden/>
          </w:rPr>
          <w:fldChar w:fldCharType="separate"/>
        </w:r>
        <w:r w:rsidR="00906382">
          <w:rPr>
            <w:noProof/>
            <w:webHidden/>
          </w:rPr>
          <w:t>16</w:t>
        </w:r>
        <w:r w:rsidR="00906382">
          <w:rPr>
            <w:noProof/>
            <w:webHidden/>
          </w:rPr>
          <w:fldChar w:fldCharType="end"/>
        </w:r>
      </w:hyperlink>
    </w:p>
    <w:p w14:paraId="72AA5977" w14:textId="5714C4BF" w:rsidR="00906382" w:rsidRDefault="00521D6E">
      <w:pPr>
        <w:pStyle w:val="TDC2"/>
        <w:rPr>
          <w:rFonts w:asciiTheme="minorHAnsi" w:eastAsiaTheme="minorEastAsia" w:hAnsiTheme="minorHAnsi" w:cstheme="minorBidi"/>
          <w:b w:val="0"/>
          <w:noProof/>
          <w:sz w:val="22"/>
          <w:szCs w:val="22"/>
          <w:lang w:val="es-CO" w:eastAsia="es-CO"/>
        </w:rPr>
      </w:pPr>
      <w:hyperlink w:anchor="_Toc59377823" w:history="1">
        <w:r w:rsidR="00906382" w:rsidRPr="00614B4E">
          <w:rPr>
            <w:rStyle w:val="Hipervnculo"/>
            <w:rFonts w:cs="Arial"/>
            <w:noProof/>
          </w:rPr>
          <w:t>6.3</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CONTROLES</w:t>
        </w:r>
        <w:r w:rsidR="00906382">
          <w:rPr>
            <w:noProof/>
            <w:webHidden/>
          </w:rPr>
          <w:tab/>
        </w:r>
        <w:r w:rsidR="00906382">
          <w:rPr>
            <w:noProof/>
            <w:webHidden/>
          </w:rPr>
          <w:fldChar w:fldCharType="begin"/>
        </w:r>
        <w:r w:rsidR="00906382">
          <w:rPr>
            <w:noProof/>
            <w:webHidden/>
          </w:rPr>
          <w:instrText xml:space="preserve"> PAGEREF _Toc59377823 \h </w:instrText>
        </w:r>
        <w:r w:rsidR="00906382">
          <w:rPr>
            <w:noProof/>
            <w:webHidden/>
          </w:rPr>
        </w:r>
        <w:r w:rsidR="00906382">
          <w:rPr>
            <w:noProof/>
            <w:webHidden/>
          </w:rPr>
          <w:fldChar w:fldCharType="separate"/>
        </w:r>
        <w:r w:rsidR="00906382">
          <w:rPr>
            <w:noProof/>
            <w:webHidden/>
          </w:rPr>
          <w:t>16</w:t>
        </w:r>
        <w:r w:rsidR="00906382">
          <w:rPr>
            <w:noProof/>
            <w:webHidden/>
          </w:rPr>
          <w:fldChar w:fldCharType="end"/>
        </w:r>
      </w:hyperlink>
    </w:p>
    <w:p w14:paraId="0C3711DC" w14:textId="77F9EDA3" w:rsidR="00906382" w:rsidRDefault="00521D6E">
      <w:pPr>
        <w:pStyle w:val="TDC2"/>
        <w:rPr>
          <w:rFonts w:asciiTheme="minorHAnsi" w:eastAsiaTheme="minorEastAsia" w:hAnsiTheme="minorHAnsi" w:cstheme="minorBidi"/>
          <w:b w:val="0"/>
          <w:noProof/>
          <w:sz w:val="22"/>
          <w:szCs w:val="22"/>
          <w:lang w:val="es-CO" w:eastAsia="es-CO"/>
        </w:rPr>
      </w:pPr>
      <w:hyperlink w:anchor="_Toc59377824" w:history="1">
        <w:r w:rsidR="00906382" w:rsidRPr="00614B4E">
          <w:rPr>
            <w:rStyle w:val="Hipervnculo"/>
            <w:rFonts w:cs="Arial"/>
            <w:noProof/>
          </w:rPr>
          <w:t>6.4</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ESTRUCTURA DEL ÁREA CONTABLE Y GESTIÓN POR PROCESOS</w:t>
        </w:r>
        <w:r w:rsidR="00906382">
          <w:rPr>
            <w:noProof/>
            <w:webHidden/>
          </w:rPr>
          <w:tab/>
        </w:r>
        <w:r w:rsidR="00906382">
          <w:rPr>
            <w:noProof/>
            <w:webHidden/>
          </w:rPr>
          <w:fldChar w:fldCharType="begin"/>
        </w:r>
        <w:r w:rsidR="00906382">
          <w:rPr>
            <w:noProof/>
            <w:webHidden/>
          </w:rPr>
          <w:instrText xml:space="preserve"> PAGEREF _Toc59377824 \h </w:instrText>
        </w:r>
        <w:r w:rsidR="00906382">
          <w:rPr>
            <w:noProof/>
            <w:webHidden/>
          </w:rPr>
        </w:r>
        <w:r w:rsidR="00906382">
          <w:rPr>
            <w:noProof/>
            <w:webHidden/>
          </w:rPr>
          <w:fldChar w:fldCharType="separate"/>
        </w:r>
        <w:r w:rsidR="00906382">
          <w:rPr>
            <w:noProof/>
            <w:webHidden/>
          </w:rPr>
          <w:t>17</w:t>
        </w:r>
        <w:r w:rsidR="00906382">
          <w:rPr>
            <w:noProof/>
            <w:webHidden/>
          </w:rPr>
          <w:fldChar w:fldCharType="end"/>
        </w:r>
      </w:hyperlink>
    </w:p>
    <w:p w14:paraId="37B4E07E" w14:textId="0733E366" w:rsidR="00906382" w:rsidRDefault="00521D6E">
      <w:pPr>
        <w:pStyle w:val="TDC2"/>
        <w:rPr>
          <w:rFonts w:asciiTheme="minorHAnsi" w:eastAsiaTheme="minorEastAsia" w:hAnsiTheme="minorHAnsi" w:cstheme="minorBidi"/>
          <w:b w:val="0"/>
          <w:noProof/>
          <w:sz w:val="22"/>
          <w:szCs w:val="22"/>
          <w:lang w:val="es-CO" w:eastAsia="es-CO"/>
        </w:rPr>
      </w:pPr>
      <w:hyperlink w:anchor="_Toc59377825" w:history="1">
        <w:r w:rsidR="00906382" w:rsidRPr="00614B4E">
          <w:rPr>
            <w:rStyle w:val="Hipervnculo"/>
            <w:rFonts w:cs="Arial"/>
            <w:noProof/>
          </w:rPr>
          <w:t>6.5</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REGISTRO DE INFORMACIÓN EN EL SISTEMA INTEGRADO DE INFORMACIÓN FINANCIERA- SIIF NACIÓN</w:t>
        </w:r>
        <w:r w:rsidR="00906382">
          <w:rPr>
            <w:noProof/>
            <w:webHidden/>
          </w:rPr>
          <w:tab/>
        </w:r>
        <w:r w:rsidR="00906382">
          <w:rPr>
            <w:noProof/>
            <w:webHidden/>
          </w:rPr>
          <w:fldChar w:fldCharType="begin"/>
        </w:r>
        <w:r w:rsidR="00906382">
          <w:rPr>
            <w:noProof/>
            <w:webHidden/>
          </w:rPr>
          <w:instrText xml:space="preserve"> PAGEREF _Toc59377825 \h </w:instrText>
        </w:r>
        <w:r w:rsidR="00906382">
          <w:rPr>
            <w:noProof/>
            <w:webHidden/>
          </w:rPr>
        </w:r>
        <w:r w:rsidR="00906382">
          <w:rPr>
            <w:noProof/>
            <w:webHidden/>
          </w:rPr>
          <w:fldChar w:fldCharType="separate"/>
        </w:r>
        <w:r w:rsidR="00906382">
          <w:rPr>
            <w:noProof/>
            <w:webHidden/>
          </w:rPr>
          <w:t>19</w:t>
        </w:r>
        <w:r w:rsidR="00906382">
          <w:rPr>
            <w:noProof/>
            <w:webHidden/>
          </w:rPr>
          <w:fldChar w:fldCharType="end"/>
        </w:r>
      </w:hyperlink>
    </w:p>
    <w:p w14:paraId="311504C3" w14:textId="451F04E5" w:rsidR="00906382" w:rsidRDefault="00521D6E">
      <w:pPr>
        <w:pStyle w:val="TDC3"/>
        <w:rPr>
          <w:rFonts w:asciiTheme="minorHAnsi" w:eastAsiaTheme="minorEastAsia" w:hAnsiTheme="minorHAnsi" w:cstheme="minorBidi"/>
          <w:noProof/>
          <w:sz w:val="22"/>
          <w:szCs w:val="22"/>
          <w:lang w:val="es-CO" w:eastAsia="es-CO"/>
        </w:rPr>
      </w:pPr>
      <w:hyperlink w:anchor="_Toc59377826" w:history="1">
        <w:r w:rsidR="00906382" w:rsidRPr="00614B4E">
          <w:rPr>
            <w:rStyle w:val="Hipervnculo"/>
            <w:rFonts w:cs="Arial"/>
            <w:b/>
            <w:noProof/>
          </w:rPr>
          <w:t>6.5.1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Organización contable en el sistema</w:t>
        </w:r>
        <w:r w:rsidR="00906382">
          <w:rPr>
            <w:noProof/>
            <w:webHidden/>
          </w:rPr>
          <w:tab/>
        </w:r>
        <w:r w:rsidR="00906382">
          <w:rPr>
            <w:noProof/>
            <w:webHidden/>
          </w:rPr>
          <w:fldChar w:fldCharType="begin"/>
        </w:r>
        <w:r w:rsidR="00906382">
          <w:rPr>
            <w:noProof/>
            <w:webHidden/>
          </w:rPr>
          <w:instrText xml:space="preserve"> PAGEREF _Toc59377826 \h </w:instrText>
        </w:r>
        <w:r w:rsidR="00906382">
          <w:rPr>
            <w:noProof/>
            <w:webHidden/>
          </w:rPr>
        </w:r>
        <w:r w:rsidR="00906382">
          <w:rPr>
            <w:noProof/>
            <w:webHidden/>
          </w:rPr>
          <w:fldChar w:fldCharType="separate"/>
        </w:r>
        <w:r w:rsidR="00906382">
          <w:rPr>
            <w:noProof/>
            <w:webHidden/>
          </w:rPr>
          <w:t>19</w:t>
        </w:r>
        <w:r w:rsidR="00906382">
          <w:rPr>
            <w:noProof/>
            <w:webHidden/>
          </w:rPr>
          <w:fldChar w:fldCharType="end"/>
        </w:r>
      </w:hyperlink>
    </w:p>
    <w:p w14:paraId="0E646F28" w14:textId="249744CA" w:rsidR="00906382" w:rsidRDefault="00521D6E">
      <w:pPr>
        <w:pStyle w:val="TDC3"/>
        <w:rPr>
          <w:rFonts w:asciiTheme="minorHAnsi" w:eastAsiaTheme="minorEastAsia" w:hAnsiTheme="minorHAnsi" w:cstheme="minorBidi"/>
          <w:noProof/>
          <w:sz w:val="22"/>
          <w:szCs w:val="22"/>
          <w:lang w:val="es-CO" w:eastAsia="es-CO"/>
        </w:rPr>
      </w:pPr>
      <w:hyperlink w:anchor="_Toc59377827" w:history="1">
        <w:r w:rsidR="00906382" w:rsidRPr="00614B4E">
          <w:rPr>
            <w:rStyle w:val="Hipervnculo"/>
            <w:rFonts w:cs="Arial"/>
            <w:b/>
            <w:noProof/>
          </w:rPr>
          <w:t>6.5.2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Tablas contables</w:t>
        </w:r>
        <w:r w:rsidR="00906382">
          <w:rPr>
            <w:noProof/>
            <w:webHidden/>
          </w:rPr>
          <w:tab/>
        </w:r>
        <w:r w:rsidR="00906382">
          <w:rPr>
            <w:noProof/>
            <w:webHidden/>
          </w:rPr>
          <w:fldChar w:fldCharType="begin"/>
        </w:r>
        <w:r w:rsidR="00906382">
          <w:rPr>
            <w:noProof/>
            <w:webHidden/>
          </w:rPr>
          <w:instrText xml:space="preserve"> PAGEREF _Toc59377827 \h </w:instrText>
        </w:r>
        <w:r w:rsidR="00906382">
          <w:rPr>
            <w:noProof/>
            <w:webHidden/>
          </w:rPr>
        </w:r>
        <w:r w:rsidR="00906382">
          <w:rPr>
            <w:noProof/>
            <w:webHidden/>
          </w:rPr>
          <w:fldChar w:fldCharType="separate"/>
        </w:r>
        <w:r w:rsidR="00906382">
          <w:rPr>
            <w:noProof/>
            <w:webHidden/>
          </w:rPr>
          <w:t>21</w:t>
        </w:r>
        <w:r w:rsidR="00906382">
          <w:rPr>
            <w:noProof/>
            <w:webHidden/>
          </w:rPr>
          <w:fldChar w:fldCharType="end"/>
        </w:r>
      </w:hyperlink>
    </w:p>
    <w:p w14:paraId="3E08FB7E" w14:textId="259F84AF" w:rsidR="00906382" w:rsidRDefault="00521D6E">
      <w:pPr>
        <w:pStyle w:val="TDC3"/>
        <w:rPr>
          <w:rFonts w:asciiTheme="minorHAnsi" w:eastAsiaTheme="minorEastAsia" w:hAnsiTheme="minorHAnsi" w:cstheme="minorBidi"/>
          <w:noProof/>
          <w:sz w:val="22"/>
          <w:szCs w:val="22"/>
          <w:lang w:val="es-CO" w:eastAsia="es-CO"/>
        </w:rPr>
      </w:pPr>
      <w:hyperlink w:anchor="_Toc59377828" w:history="1">
        <w:r w:rsidR="00906382" w:rsidRPr="00614B4E">
          <w:rPr>
            <w:rStyle w:val="Hipervnculo"/>
            <w:rFonts w:cs="Arial"/>
            <w:b/>
            <w:noProof/>
          </w:rPr>
          <w:t>6.5.2.1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Universalidad en la parametrización de las tablas de eventos contables</w:t>
        </w:r>
        <w:r w:rsidR="00906382">
          <w:rPr>
            <w:noProof/>
            <w:webHidden/>
          </w:rPr>
          <w:tab/>
        </w:r>
        <w:r w:rsidR="00906382">
          <w:rPr>
            <w:noProof/>
            <w:webHidden/>
          </w:rPr>
          <w:fldChar w:fldCharType="begin"/>
        </w:r>
        <w:r w:rsidR="00906382">
          <w:rPr>
            <w:noProof/>
            <w:webHidden/>
          </w:rPr>
          <w:instrText xml:space="preserve"> PAGEREF _Toc59377828 \h </w:instrText>
        </w:r>
        <w:r w:rsidR="00906382">
          <w:rPr>
            <w:noProof/>
            <w:webHidden/>
          </w:rPr>
        </w:r>
        <w:r w:rsidR="00906382">
          <w:rPr>
            <w:noProof/>
            <w:webHidden/>
          </w:rPr>
          <w:fldChar w:fldCharType="separate"/>
        </w:r>
        <w:r w:rsidR="00906382">
          <w:rPr>
            <w:noProof/>
            <w:webHidden/>
          </w:rPr>
          <w:t>22</w:t>
        </w:r>
        <w:r w:rsidR="00906382">
          <w:rPr>
            <w:noProof/>
            <w:webHidden/>
          </w:rPr>
          <w:fldChar w:fldCharType="end"/>
        </w:r>
      </w:hyperlink>
    </w:p>
    <w:p w14:paraId="79A4DFD2" w14:textId="2022F606" w:rsidR="00906382" w:rsidRDefault="00521D6E">
      <w:pPr>
        <w:pStyle w:val="TDC3"/>
        <w:rPr>
          <w:rFonts w:asciiTheme="minorHAnsi" w:eastAsiaTheme="minorEastAsia" w:hAnsiTheme="minorHAnsi" w:cstheme="minorBidi"/>
          <w:noProof/>
          <w:sz w:val="22"/>
          <w:szCs w:val="22"/>
          <w:lang w:val="es-CO" w:eastAsia="es-CO"/>
        </w:rPr>
      </w:pPr>
      <w:hyperlink w:anchor="_Toc59377829" w:history="1">
        <w:r w:rsidR="00906382" w:rsidRPr="00614B4E">
          <w:rPr>
            <w:rStyle w:val="Hipervnculo"/>
            <w:rFonts w:cs="Arial"/>
            <w:b/>
            <w:noProof/>
          </w:rPr>
          <w:t>6.5.2.2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Catálogos de negocio</w:t>
        </w:r>
        <w:r w:rsidR="00906382">
          <w:rPr>
            <w:noProof/>
            <w:webHidden/>
          </w:rPr>
          <w:tab/>
        </w:r>
        <w:r w:rsidR="00906382">
          <w:rPr>
            <w:noProof/>
            <w:webHidden/>
          </w:rPr>
          <w:fldChar w:fldCharType="begin"/>
        </w:r>
        <w:r w:rsidR="00906382">
          <w:rPr>
            <w:noProof/>
            <w:webHidden/>
          </w:rPr>
          <w:instrText xml:space="preserve"> PAGEREF _Toc59377829 \h </w:instrText>
        </w:r>
        <w:r w:rsidR="00906382">
          <w:rPr>
            <w:noProof/>
            <w:webHidden/>
          </w:rPr>
        </w:r>
        <w:r w:rsidR="00906382">
          <w:rPr>
            <w:noProof/>
            <w:webHidden/>
          </w:rPr>
          <w:fldChar w:fldCharType="separate"/>
        </w:r>
        <w:r w:rsidR="00906382">
          <w:rPr>
            <w:noProof/>
            <w:webHidden/>
          </w:rPr>
          <w:t>22</w:t>
        </w:r>
        <w:r w:rsidR="00906382">
          <w:rPr>
            <w:noProof/>
            <w:webHidden/>
          </w:rPr>
          <w:fldChar w:fldCharType="end"/>
        </w:r>
      </w:hyperlink>
    </w:p>
    <w:p w14:paraId="452B6D54" w14:textId="72A08278" w:rsidR="00906382" w:rsidRDefault="00521D6E">
      <w:pPr>
        <w:pStyle w:val="TDC3"/>
        <w:rPr>
          <w:rFonts w:asciiTheme="minorHAnsi" w:eastAsiaTheme="minorEastAsia" w:hAnsiTheme="minorHAnsi" w:cstheme="minorBidi"/>
          <w:noProof/>
          <w:sz w:val="22"/>
          <w:szCs w:val="22"/>
          <w:lang w:val="es-CO" w:eastAsia="es-CO"/>
        </w:rPr>
      </w:pPr>
      <w:hyperlink w:anchor="_Toc59377830" w:history="1">
        <w:r w:rsidR="00906382" w:rsidRPr="00614B4E">
          <w:rPr>
            <w:rStyle w:val="Hipervnculo"/>
            <w:rFonts w:cs="Arial"/>
            <w:b/>
            <w:noProof/>
          </w:rPr>
          <w:t>6.5.2.3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Registros contables</w:t>
        </w:r>
        <w:r w:rsidR="00906382">
          <w:rPr>
            <w:noProof/>
            <w:webHidden/>
          </w:rPr>
          <w:tab/>
        </w:r>
        <w:r w:rsidR="00906382">
          <w:rPr>
            <w:noProof/>
            <w:webHidden/>
          </w:rPr>
          <w:fldChar w:fldCharType="begin"/>
        </w:r>
        <w:r w:rsidR="00906382">
          <w:rPr>
            <w:noProof/>
            <w:webHidden/>
          </w:rPr>
          <w:instrText xml:space="preserve"> PAGEREF _Toc59377830 \h </w:instrText>
        </w:r>
        <w:r w:rsidR="00906382">
          <w:rPr>
            <w:noProof/>
            <w:webHidden/>
          </w:rPr>
        </w:r>
        <w:r w:rsidR="00906382">
          <w:rPr>
            <w:noProof/>
            <w:webHidden/>
          </w:rPr>
          <w:fldChar w:fldCharType="separate"/>
        </w:r>
        <w:r w:rsidR="00906382">
          <w:rPr>
            <w:noProof/>
            <w:webHidden/>
          </w:rPr>
          <w:t>22</w:t>
        </w:r>
        <w:r w:rsidR="00906382">
          <w:rPr>
            <w:noProof/>
            <w:webHidden/>
          </w:rPr>
          <w:fldChar w:fldCharType="end"/>
        </w:r>
      </w:hyperlink>
    </w:p>
    <w:p w14:paraId="2E0E1B0A" w14:textId="35C1EC4A" w:rsidR="00906382" w:rsidRDefault="00521D6E">
      <w:pPr>
        <w:pStyle w:val="TDC3"/>
        <w:rPr>
          <w:rFonts w:asciiTheme="minorHAnsi" w:eastAsiaTheme="minorEastAsia" w:hAnsiTheme="minorHAnsi" w:cstheme="minorBidi"/>
          <w:noProof/>
          <w:sz w:val="22"/>
          <w:szCs w:val="22"/>
          <w:lang w:val="es-CO" w:eastAsia="es-CO"/>
        </w:rPr>
      </w:pPr>
      <w:hyperlink w:anchor="_Toc59377831" w:history="1">
        <w:r w:rsidR="00906382" w:rsidRPr="00614B4E">
          <w:rPr>
            <w:rStyle w:val="Hipervnculo"/>
            <w:rFonts w:cs="Arial"/>
            <w:b/>
            <w:noProof/>
          </w:rPr>
          <w:t>6.5.2.4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Precondiciones para la generación de comprobantes contables</w:t>
        </w:r>
        <w:r w:rsidR="00906382">
          <w:rPr>
            <w:noProof/>
            <w:webHidden/>
          </w:rPr>
          <w:tab/>
        </w:r>
        <w:r w:rsidR="00906382">
          <w:rPr>
            <w:noProof/>
            <w:webHidden/>
          </w:rPr>
          <w:fldChar w:fldCharType="begin"/>
        </w:r>
        <w:r w:rsidR="00906382">
          <w:rPr>
            <w:noProof/>
            <w:webHidden/>
          </w:rPr>
          <w:instrText xml:space="preserve"> PAGEREF _Toc59377831 \h </w:instrText>
        </w:r>
        <w:r w:rsidR="00906382">
          <w:rPr>
            <w:noProof/>
            <w:webHidden/>
          </w:rPr>
        </w:r>
        <w:r w:rsidR="00906382">
          <w:rPr>
            <w:noProof/>
            <w:webHidden/>
          </w:rPr>
          <w:fldChar w:fldCharType="separate"/>
        </w:r>
        <w:r w:rsidR="00906382">
          <w:rPr>
            <w:noProof/>
            <w:webHidden/>
          </w:rPr>
          <w:t>23</w:t>
        </w:r>
        <w:r w:rsidR="00906382">
          <w:rPr>
            <w:noProof/>
            <w:webHidden/>
          </w:rPr>
          <w:fldChar w:fldCharType="end"/>
        </w:r>
      </w:hyperlink>
    </w:p>
    <w:p w14:paraId="6E301B35" w14:textId="4801C42B" w:rsidR="00906382" w:rsidRDefault="00521D6E">
      <w:pPr>
        <w:pStyle w:val="TDC3"/>
        <w:rPr>
          <w:rFonts w:asciiTheme="minorHAnsi" w:eastAsiaTheme="minorEastAsia" w:hAnsiTheme="minorHAnsi" w:cstheme="minorBidi"/>
          <w:noProof/>
          <w:sz w:val="22"/>
          <w:szCs w:val="22"/>
          <w:lang w:val="es-CO" w:eastAsia="es-CO"/>
        </w:rPr>
      </w:pPr>
      <w:hyperlink w:anchor="_Toc59377832" w:history="1">
        <w:r w:rsidR="00906382" w:rsidRPr="00614B4E">
          <w:rPr>
            <w:rStyle w:val="Hipervnculo"/>
            <w:rFonts w:cs="Arial"/>
            <w:b/>
            <w:noProof/>
          </w:rPr>
          <w:t>6.5.3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Catálogo contable</w:t>
        </w:r>
        <w:r w:rsidR="00906382">
          <w:rPr>
            <w:noProof/>
            <w:webHidden/>
          </w:rPr>
          <w:tab/>
        </w:r>
        <w:r w:rsidR="00906382">
          <w:rPr>
            <w:noProof/>
            <w:webHidden/>
          </w:rPr>
          <w:fldChar w:fldCharType="begin"/>
        </w:r>
        <w:r w:rsidR="00906382">
          <w:rPr>
            <w:noProof/>
            <w:webHidden/>
          </w:rPr>
          <w:instrText xml:space="preserve"> PAGEREF _Toc59377832 \h </w:instrText>
        </w:r>
        <w:r w:rsidR="00906382">
          <w:rPr>
            <w:noProof/>
            <w:webHidden/>
          </w:rPr>
        </w:r>
        <w:r w:rsidR="00906382">
          <w:rPr>
            <w:noProof/>
            <w:webHidden/>
          </w:rPr>
          <w:fldChar w:fldCharType="separate"/>
        </w:r>
        <w:r w:rsidR="00906382">
          <w:rPr>
            <w:noProof/>
            <w:webHidden/>
          </w:rPr>
          <w:t>23</w:t>
        </w:r>
        <w:r w:rsidR="00906382">
          <w:rPr>
            <w:noProof/>
            <w:webHidden/>
          </w:rPr>
          <w:fldChar w:fldCharType="end"/>
        </w:r>
      </w:hyperlink>
    </w:p>
    <w:p w14:paraId="4690B285" w14:textId="49EE185A" w:rsidR="00906382" w:rsidRDefault="00521D6E">
      <w:pPr>
        <w:pStyle w:val="TDC3"/>
        <w:rPr>
          <w:rFonts w:asciiTheme="minorHAnsi" w:eastAsiaTheme="minorEastAsia" w:hAnsiTheme="minorHAnsi" w:cstheme="minorBidi"/>
          <w:noProof/>
          <w:sz w:val="22"/>
          <w:szCs w:val="22"/>
          <w:lang w:val="es-CO" w:eastAsia="es-CO"/>
        </w:rPr>
      </w:pPr>
      <w:hyperlink w:anchor="_Toc59377833" w:history="1">
        <w:r w:rsidR="00906382" w:rsidRPr="00614B4E">
          <w:rPr>
            <w:rStyle w:val="Hipervnculo"/>
            <w:rFonts w:cs="Arial"/>
            <w:b/>
            <w:noProof/>
          </w:rPr>
          <w:t>6.5.4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Auxiliares contables</w:t>
        </w:r>
        <w:r w:rsidR="00906382">
          <w:rPr>
            <w:noProof/>
            <w:webHidden/>
          </w:rPr>
          <w:tab/>
        </w:r>
        <w:r w:rsidR="00906382">
          <w:rPr>
            <w:noProof/>
            <w:webHidden/>
          </w:rPr>
          <w:fldChar w:fldCharType="begin"/>
        </w:r>
        <w:r w:rsidR="00906382">
          <w:rPr>
            <w:noProof/>
            <w:webHidden/>
          </w:rPr>
          <w:instrText xml:space="preserve"> PAGEREF _Toc59377833 \h </w:instrText>
        </w:r>
        <w:r w:rsidR="00906382">
          <w:rPr>
            <w:noProof/>
            <w:webHidden/>
          </w:rPr>
        </w:r>
        <w:r w:rsidR="00906382">
          <w:rPr>
            <w:noProof/>
            <w:webHidden/>
          </w:rPr>
          <w:fldChar w:fldCharType="separate"/>
        </w:r>
        <w:r w:rsidR="00906382">
          <w:rPr>
            <w:noProof/>
            <w:webHidden/>
          </w:rPr>
          <w:t>27</w:t>
        </w:r>
        <w:r w:rsidR="00906382">
          <w:rPr>
            <w:noProof/>
            <w:webHidden/>
          </w:rPr>
          <w:fldChar w:fldCharType="end"/>
        </w:r>
      </w:hyperlink>
    </w:p>
    <w:p w14:paraId="381D724E" w14:textId="1EDB74AC" w:rsidR="00906382" w:rsidRDefault="00521D6E">
      <w:pPr>
        <w:pStyle w:val="TDC3"/>
        <w:rPr>
          <w:rFonts w:asciiTheme="minorHAnsi" w:eastAsiaTheme="minorEastAsia" w:hAnsiTheme="minorHAnsi" w:cstheme="minorBidi"/>
          <w:noProof/>
          <w:sz w:val="22"/>
          <w:szCs w:val="22"/>
          <w:lang w:val="es-CO" w:eastAsia="es-CO"/>
        </w:rPr>
      </w:pPr>
      <w:hyperlink w:anchor="_Toc59377834" w:history="1">
        <w:r w:rsidR="00906382" w:rsidRPr="00614B4E">
          <w:rPr>
            <w:rStyle w:val="Hipervnculo"/>
            <w:rFonts w:cs="Arial"/>
            <w:b/>
            <w:noProof/>
          </w:rPr>
          <w:t>6.5.5</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Registro de operaciones automáticas en el macroproceso contable</w:t>
        </w:r>
        <w:r w:rsidR="00906382">
          <w:rPr>
            <w:noProof/>
            <w:webHidden/>
          </w:rPr>
          <w:tab/>
        </w:r>
        <w:r w:rsidR="00906382">
          <w:rPr>
            <w:noProof/>
            <w:webHidden/>
          </w:rPr>
          <w:fldChar w:fldCharType="begin"/>
        </w:r>
        <w:r w:rsidR="00906382">
          <w:rPr>
            <w:noProof/>
            <w:webHidden/>
          </w:rPr>
          <w:instrText xml:space="preserve"> PAGEREF _Toc59377834 \h </w:instrText>
        </w:r>
        <w:r w:rsidR="00906382">
          <w:rPr>
            <w:noProof/>
            <w:webHidden/>
          </w:rPr>
        </w:r>
        <w:r w:rsidR="00906382">
          <w:rPr>
            <w:noProof/>
            <w:webHidden/>
          </w:rPr>
          <w:fldChar w:fldCharType="separate"/>
        </w:r>
        <w:r w:rsidR="00906382">
          <w:rPr>
            <w:noProof/>
            <w:webHidden/>
          </w:rPr>
          <w:t>29</w:t>
        </w:r>
        <w:r w:rsidR="00906382">
          <w:rPr>
            <w:noProof/>
            <w:webHidden/>
          </w:rPr>
          <w:fldChar w:fldCharType="end"/>
        </w:r>
      </w:hyperlink>
    </w:p>
    <w:p w14:paraId="5CB6F9F1" w14:textId="42C47CDE" w:rsidR="00906382" w:rsidRDefault="00521D6E">
      <w:pPr>
        <w:pStyle w:val="TDC3"/>
        <w:rPr>
          <w:rFonts w:asciiTheme="minorHAnsi" w:eastAsiaTheme="minorEastAsia" w:hAnsiTheme="minorHAnsi" w:cstheme="minorBidi"/>
          <w:noProof/>
          <w:sz w:val="22"/>
          <w:szCs w:val="22"/>
          <w:lang w:val="es-CO" w:eastAsia="es-CO"/>
        </w:rPr>
      </w:pPr>
      <w:hyperlink w:anchor="_Toc59377835" w:history="1">
        <w:r w:rsidR="00906382" w:rsidRPr="00614B4E">
          <w:rPr>
            <w:rStyle w:val="Hipervnculo"/>
            <w:rFonts w:cs="Arial"/>
            <w:b/>
            <w:noProof/>
          </w:rPr>
          <w:t>6.5.6</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Operaciones automáticas generadas en la obligación presupuestal</w:t>
        </w:r>
        <w:r w:rsidR="00906382">
          <w:rPr>
            <w:noProof/>
            <w:webHidden/>
          </w:rPr>
          <w:tab/>
        </w:r>
        <w:r w:rsidR="00906382">
          <w:rPr>
            <w:noProof/>
            <w:webHidden/>
          </w:rPr>
          <w:fldChar w:fldCharType="begin"/>
        </w:r>
        <w:r w:rsidR="00906382">
          <w:rPr>
            <w:noProof/>
            <w:webHidden/>
          </w:rPr>
          <w:instrText xml:space="preserve"> PAGEREF _Toc59377835 \h </w:instrText>
        </w:r>
        <w:r w:rsidR="00906382">
          <w:rPr>
            <w:noProof/>
            <w:webHidden/>
          </w:rPr>
        </w:r>
        <w:r w:rsidR="00906382">
          <w:rPr>
            <w:noProof/>
            <w:webHidden/>
          </w:rPr>
          <w:fldChar w:fldCharType="separate"/>
        </w:r>
        <w:r w:rsidR="00906382">
          <w:rPr>
            <w:noProof/>
            <w:webHidden/>
          </w:rPr>
          <w:t>30</w:t>
        </w:r>
        <w:r w:rsidR="00906382">
          <w:rPr>
            <w:noProof/>
            <w:webHidden/>
          </w:rPr>
          <w:fldChar w:fldCharType="end"/>
        </w:r>
      </w:hyperlink>
    </w:p>
    <w:p w14:paraId="729F8A0F" w14:textId="7263BFA6" w:rsidR="00906382" w:rsidRDefault="00521D6E">
      <w:pPr>
        <w:pStyle w:val="TDC3"/>
        <w:rPr>
          <w:rFonts w:asciiTheme="minorHAnsi" w:eastAsiaTheme="minorEastAsia" w:hAnsiTheme="minorHAnsi" w:cstheme="minorBidi"/>
          <w:noProof/>
          <w:sz w:val="22"/>
          <w:szCs w:val="22"/>
          <w:lang w:val="es-CO" w:eastAsia="es-CO"/>
        </w:rPr>
      </w:pPr>
      <w:hyperlink w:anchor="_Toc59377836" w:history="1">
        <w:r w:rsidR="00906382" w:rsidRPr="00614B4E">
          <w:rPr>
            <w:rStyle w:val="Hipervnculo"/>
            <w:rFonts w:cs="Arial"/>
            <w:b/>
            <w:noProof/>
          </w:rPr>
          <w:t>6.5.7</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Operaciones automáticas generadas en el pago-PAG</w:t>
        </w:r>
        <w:r w:rsidR="00906382">
          <w:rPr>
            <w:noProof/>
            <w:webHidden/>
          </w:rPr>
          <w:tab/>
        </w:r>
        <w:r w:rsidR="00906382">
          <w:rPr>
            <w:noProof/>
            <w:webHidden/>
          </w:rPr>
          <w:fldChar w:fldCharType="begin"/>
        </w:r>
        <w:r w:rsidR="00906382">
          <w:rPr>
            <w:noProof/>
            <w:webHidden/>
          </w:rPr>
          <w:instrText xml:space="preserve"> PAGEREF _Toc59377836 \h </w:instrText>
        </w:r>
        <w:r w:rsidR="00906382">
          <w:rPr>
            <w:noProof/>
            <w:webHidden/>
          </w:rPr>
        </w:r>
        <w:r w:rsidR="00906382">
          <w:rPr>
            <w:noProof/>
            <w:webHidden/>
          </w:rPr>
          <w:fldChar w:fldCharType="separate"/>
        </w:r>
        <w:r w:rsidR="00906382">
          <w:rPr>
            <w:noProof/>
            <w:webHidden/>
          </w:rPr>
          <w:t>40</w:t>
        </w:r>
        <w:r w:rsidR="00906382">
          <w:rPr>
            <w:noProof/>
            <w:webHidden/>
          </w:rPr>
          <w:fldChar w:fldCharType="end"/>
        </w:r>
      </w:hyperlink>
    </w:p>
    <w:p w14:paraId="6D8056C9" w14:textId="0EC31D9E" w:rsidR="00906382" w:rsidRDefault="00521D6E">
      <w:pPr>
        <w:pStyle w:val="TDC3"/>
        <w:rPr>
          <w:rFonts w:asciiTheme="minorHAnsi" w:eastAsiaTheme="minorEastAsia" w:hAnsiTheme="minorHAnsi" w:cstheme="minorBidi"/>
          <w:noProof/>
          <w:sz w:val="22"/>
          <w:szCs w:val="22"/>
          <w:lang w:val="es-CO" w:eastAsia="es-CO"/>
        </w:rPr>
      </w:pPr>
      <w:hyperlink w:anchor="_Toc59377837" w:history="1">
        <w:r w:rsidR="00906382" w:rsidRPr="00614B4E">
          <w:rPr>
            <w:rStyle w:val="Hipervnculo"/>
            <w:rFonts w:cs="Arial"/>
            <w:b/>
            <w:noProof/>
          </w:rPr>
          <w:t>6.5.8</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Operaciones automáticas generadas en la ejecución de ingresos, ING.</w:t>
        </w:r>
        <w:r w:rsidR="00906382">
          <w:rPr>
            <w:noProof/>
            <w:webHidden/>
          </w:rPr>
          <w:tab/>
        </w:r>
        <w:r w:rsidR="00906382">
          <w:rPr>
            <w:noProof/>
            <w:webHidden/>
          </w:rPr>
          <w:fldChar w:fldCharType="begin"/>
        </w:r>
        <w:r w:rsidR="00906382">
          <w:rPr>
            <w:noProof/>
            <w:webHidden/>
          </w:rPr>
          <w:instrText xml:space="preserve"> PAGEREF _Toc59377837 \h </w:instrText>
        </w:r>
        <w:r w:rsidR="00906382">
          <w:rPr>
            <w:noProof/>
            <w:webHidden/>
          </w:rPr>
        </w:r>
        <w:r w:rsidR="00906382">
          <w:rPr>
            <w:noProof/>
            <w:webHidden/>
          </w:rPr>
          <w:fldChar w:fldCharType="separate"/>
        </w:r>
        <w:r w:rsidR="00906382">
          <w:rPr>
            <w:noProof/>
            <w:webHidden/>
          </w:rPr>
          <w:t>49</w:t>
        </w:r>
        <w:r w:rsidR="00906382">
          <w:rPr>
            <w:noProof/>
            <w:webHidden/>
          </w:rPr>
          <w:fldChar w:fldCharType="end"/>
        </w:r>
      </w:hyperlink>
    </w:p>
    <w:p w14:paraId="6F8E483D" w14:textId="0A05BC80" w:rsidR="00906382" w:rsidRDefault="00521D6E">
      <w:pPr>
        <w:pStyle w:val="TDC3"/>
        <w:rPr>
          <w:rFonts w:asciiTheme="minorHAnsi" w:eastAsiaTheme="minorEastAsia" w:hAnsiTheme="minorHAnsi" w:cstheme="minorBidi"/>
          <w:noProof/>
          <w:sz w:val="22"/>
          <w:szCs w:val="22"/>
          <w:lang w:val="es-CO" w:eastAsia="es-CO"/>
        </w:rPr>
      </w:pPr>
      <w:hyperlink w:anchor="_Toc59377838" w:history="1">
        <w:r w:rsidR="00906382" w:rsidRPr="00614B4E">
          <w:rPr>
            <w:rStyle w:val="Hipervnculo"/>
            <w:rFonts w:cs="Arial"/>
            <w:b/>
            <w:noProof/>
          </w:rPr>
          <w:t>6.5.9</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Operaciones automáticas generadas en el recaudo</w:t>
        </w:r>
        <w:r w:rsidR="00906382">
          <w:rPr>
            <w:noProof/>
            <w:webHidden/>
          </w:rPr>
          <w:tab/>
        </w:r>
        <w:r w:rsidR="00906382">
          <w:rPr>
            <w:noProof/>
            <w:webHidden/>
          </w:rPr>
          <w:fldChar w:fldCharType="begin"/>
        </w:r>
        <w:r w:rsidR="00906382">
          <w:rPr>
            <w:noProof/>
            <w:webHidden/>
          </w:rPr>
          <w:instrText xml:space="preserve"> PAGEREF _Toc59377838 \h </w:instrText>
        </w:r>
        <w:r w:rsidR="00906382">
          <w:rPr>
            <w:noProof/>
            <w:webHidden/>
          </w:rPr>
        </w:r>
        <w:r w:rsidR="00906382">
          <w:rPr>
            <w:noProof/>
            <w:webHidden/>
          </w:rPr>
          <w:fldChar w:fldCharType="separate"/>
        </w:r>
        <w:r w:rsidR="00906382">
          <w:rPr>
            <w:noProof/>
            <w:webHidden/>
          </w:rPr>
          <w:t>53</w:t>
        </w:r>
        <w:r w:rsidR="00906382">
          <w:rPr>
            <w:noProof/>
            <w:webHidden/>
          </w:rPr>
          <w:fldChar w:fldCharType="end"/>
        </w:r>
      </w:hyperlink>
    </w:p>
    <w:p w14:paraId="407649AA" w14:textId="7B94BB12" w:rsidR="00906382" w:rsidRDefault="00521D6E">
      <w:pPr>
        <w:pStyle w:val="TDC3"/>
        <w:rPr>
          <w:rFonts w:asciiTheme="minorHAnsi" w:eastAsiaTheme="minorEastAsia" w:hAnsiTheme="minorHAnsi" w:cstheme="minorBidi"/>
          <w:noProof/>
          <w:sz w:val="22"/>
          <w:szCs w:val="22"/>
          <w:lang w:val="es-CO" w:eastAsia="es-CO"/>
        </w:rPr>
      </w:pPr>
      <w:hyperlink w:anchor="_Toc59377839" w:history="1">
        <w:r w:rsidR="00906382" w:rsidRPr="00614B4E">
          <w:rPr>
            <w:rStyle w:val="Hipervnculo"/>
            <w:rFonts w:cs="Arial"/>
            <w:b/>
            <w:noProof/>
          </w:rPr>
          <w:t>6.5.10</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Registro de las transacciones</w:t>
        </w:r>
        <w:r w:rsidR="00906382">
          <w:rPr>
            <w:noProof/>
            <w:webHidden/>
          </w:rPr>
          <w:tab/>
        </w:r>
        <w:r w:rsidR="00906382">
          <w:rPr>
            <w:noProof/>
            <w:webHidden/>
          </w:rPr>
          <w:fldChar w:fldCharType="begin"/>
        </w:r>
        <w:r w:rsidR="00906382">
          <w:rPr>
            <w:noProof/>
            <w:webHidden/>
          </w:rPr>
          <w:instrText xml:space="preserve"> PAGEREF _Toc59377839 \h </w:instrText>
        </w:r>
        <w:r w:rsidR="00906382">
          <w:rPr>
            <w:noProof/>
            <w:webHidden/>
          </w:rPr>
        </w:r>
        <w:r w:rsidR="00906382">
          <w:rPr>
            <w:noProof/>
            <w:webHidden/>
          </w:rPr>
          <w:fldChar w:fldCharType="separate"/>
        </w:r>
        <w:r w:rsidR="00906382">
          <w:rPr>
            <w:noProof/>
            <w:webHidden/>
          </w:rPr>
          <w:t>60</w:t>
        </w:r>
        <w:r w:rsidR="00906382">
          <w:rPr>
            <w:noProof/>
            <w:webHidden/>
          </w:rPr>
          <w:fldChar w:fldCharType="end"/>
        </w:r>
      </w:hyperlink>
    </w:p>
    <w:p w14:paraId="14F4E231" w14:textId="48CD1C1B" w:rsidR="00906382" w:rsidRDefault="00521D6E">
      <w:pPr>
        <w:pStyle w:val="TDC3"/>
        <w:rPr>
          <w:rFonts w:asciiTheme="minorHAnsi" w:eastAsiaTheme="minorEastAsia" w:hAnsiTheme="minorHAnsi" w:cstheme="minorBidi"/>
          <w:noProof/>
          <w:sz w:val="22"/>
          <w:szCs w:val="22"/>
          <w:lang w:val="es-CO" w:eastAsia="es-CO"/>
        </w:rPr>
      </w:pPr>
      <w:hyperlink w:anchor="_Toc59377840" w:history="1">
        <w:r w:rsidR="00906382" w:rsidRPr="00614B4E">
          <w:rPr>
            <w:rStyle w:val="Hipervnculo"/>
            <w:rFonts w:cs="Arial"/>
            <w:b/>
            <w:noProof/>
          </w:rPr>
          <w:t>6.5.11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Consulta de comprobantes</w:t>
        </w:r>
        <w:r w:rsidR="00906382">
          <w:rPr>
            <w:noProof/>
            <w:webHidden/>
          </w:rPr>
          <w:tab/>
        </w:r>
        <w:r w:rsidR="00906382">
          <w:rPr>
            <w:noProof/>
            <w:webHidden/>
          </w:rPr>
          <w:fldChar w:fldCharType="begin"/>
        </w:r>
        <w:r w:rsidR="00906382">
          <w:rPr>
            <w:noProof/>
            <w:webHidden/>
          </w:rPr>
          <w:instrText xml:space="preserve"> PAGEREF _Toc59377840 \h </w:instrText>
        </w:r>
        <w:r w:rsidR="00906382">
          <w:rPr>
            <w:noProof/>
            <w:webHidden/>
          </w:rPr>
        </w:r>
        <w:r w:rsidR="00906382">
          <w:rPr>
            <w:noProof/>
            <w:webHidden/>
          </w:rPr>
          <w:fldChar w:fldCharType="separate"/>
        </w:r>
        <w:r w:rsidR="00906382">
          <w:rPr>
            <w:noProof/>
            <w:webHidden/>
          </w:rPr>
          <w:t>62</w:t>
        </w:r>
        <w:r w:rsidR="00906382">
          <w:rPr>
            <w:noProof/>
            <w:webHidden/>
          </w:rPr>
          <w:fldChar w:fldCharType="end"/>
        </w:r>
      </w:hyperlink>
    </w:p>
    <w:p w14:paraId="119626B4" w14:textId="29C4491D" w:rsidR="00906382" w:rsidRDefault="00521D6E">
      <w:pPr>
        <w:pStyle w:val="TDC3"/>
        <w:rPr>
          <w:rFonts w:asciiTheme="minorHAnsi" w:eastAsiaTheme="minorEastAsia" w:hAnsiTheme="minorHAnsi" w:cstheme="minorBidi"/>
          <w:noProof/>
          <w:sz w:val="22"/>
          <w:szCs w:val="22"/>
          <w:lang w:val="es-CO" w:eastAsia="es-CO"/>
        </w:rPr>
      </w:pPr>
      <w:hyperlink w:anchor="_Toc59377841" w:history="1">
        <w:r w:rsidR="00906382" w:rsidRPr="00614B4E">
          <w:rPr>
            <w:rStyle w:val="Hipervnculo"/>
            <w:rFonts w:cs="Arial"/>
            <w:b/>
            <w:noProof/>
          </w:rPr>
          <w:t>6.5.12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Libros de contabilidad principales y auxiliares</w:t>
        </w:r>
        <w:r w:rsidR="00906382">
          <w:rPr>
            <w:noProof/>
            <w:webHidden/>
          </w:rPr>
          <w:tab/>
        </w:r>
        <w:r w:rsidR="00906382">
          <w:rPr>
            <w:noProof/>
            <w:webHidden/>
          </w:rPr>
          <w:fldChar w:fldCharType="begin"/>
        </w:r>
        <w:r w:rsidR="00906382">
          <w:rPr>
            <w:noProof/>
            <w:webHidden/>
          </w:rPr>
          <w:instrText xml:space="preserve"> PAGEREF _Toc59377841 \h </w:instrText>
        </w:r>
        <w:r w:rsidR="00906382">
          <w:rPr>
            <w:noProof/>
            <w:webHidden/>
          </w:rPr>
        </w:r>
        <w:r w:rsidR="00906382">
          <w:rPr>
            <w:noProof/>
            <w:webHidden/>
          </w:rPr>
          <w:fldChar w:fldCharType="separate"/>
        </w:r>
        <w:r w:rsidR="00906382">
          <w:rPr>
            <w:noProof/>
            <w:webHidden/>
          </w:rPr>
          <w:t>63</w:t>
        </w:r>
        <w:r w:rsidR="00906382">
          <w:rPr>
            <w:noProof/>
            <w:webHidden/>
          </w:rPr>
          <w:fldChar w:fldCharType="end"/>
        </w:r>
      </w:hyperlink>
    </w:p>
    <w:p w14:paraId="48578402" w14:textId="3067AF4D" w:rsidR="00906382" w:rsidRDefault="00521D6E">
      <w:pPr>
        <w:pStyle w:val="TDC3"/>
        <w:rPr>
          <w:rFonts w:asciiTheme="minorHAnsi" w:eastAsiaTheme="minorEastAsia" w:hAnsiTheme="minorHAnsi" w:cstheme="minorBidi"/>
          <w:noProof/>
          <w:sz w:val="22"/>
          <w:szCs w:val="22"/>
          <w:lang w:val="es-CO" w:eastAsia="es-CO"/>
        </w:rPr>
      </w:pPr>
      <w:hyperlink w:anchor="_Toc59377842" w:history="1">
        <w:r w:rsidR="00906382" w:rsidRPr="00614B4E">
          <w:rPr>
            <w:rStyle w:val="Hipervnculo"/>
            <w:rFonts w:cs="Arial"/>
            <w:b/>
            <w:noProof/>
          </w:rPr>
          <w:t>6.5.13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Reportes formularios contables</w:t>
        </w:r>
        <w:r w:rsidR="00906382">
          <w:rPr>
            <w:noProof/>
            <w:webHidden/>
          </w:rPr>
          <w:tab/>
        </w:r>
        <w:r w:rsidR="00906382">
          <w:rPr>
            <w:noProof/>
            <w:webHidden/>
          </w:rPr>
          <w:fldChar w:fldCharType="begin"/>
        </w:r>
        <w:r w:rsidR="00906382">
          <w:rPr>
            <w:noProof/>
            <w:webHidden/>
          </w:rPr>
          <w:instrText xml:space="preserve"> PAGEREF _Toc59377842 \h </w:instrText>
        </w:r>
        <w:r w:rsidR="00906382">
          <w:rPr>
            <w:noProof/>
            <w:webHidden/>
          </w:rPr>
        </w:r>
        <w:r w:rsidR="00906382">
          <w:rPr>
            <w:noProof/>
            <w:webHidden/>
          </w:rPr>
          <w:fldChar w:fldCharType="separate"/>
        </w:r>
        <w:r w:rsidR="00906382">
          <w:rPr>
            <w:noProof/>
            <w:webHidden/>
          </w:rPr>
          <w:t>65</w:t>
        </w:r>
        <w:r w:rsidR="00906382">
          <w:rPr>
            <w:noProof/>
            <w:webHidden/>
          </w:rPr>
          <w:fldChar w:fldCharType="end"/>
        </w:r>
      </w:hyperlink>
    </w:p>
    <w:p w14:paraId="6070188A" w14:textId="4323619A" w:rsidR="00906382" w:rsidRDefault="00521D6E">
      <w:pPr>
        <w:pStyle w:val="TDC2"/>
        <w:rPr>
          <w:rFonts w:asciiTheme="minorHAnsi" w:eastAsiaTheme="minorEastAsia" w:hAnsiTheme="minorHAnsi" w:cstheme="minorBidi"/>
          <w:b w:val="0"/>
          <w:noProof/>
          <w:sz w:val="22"/>
          <w:szCs w:val="22"/>
          <w:lang w:val="es-CO" w:eastAsia="es-CO"/>
        </w:rPr>
      </w:pPr>
      <w:hyperlink w:anchor="_Toc59377843" w:history="1">
        <w:r w:rsidR="00906382" w:rsidRPr="00614B4E">
          <w:rPr>
            <w:rStyle w:val="Hipervnculo"/>
            <w:rFonts w:cs="Arial"/>
            <w:noProof/>
          </w:rPr>
          <w:t>6.6</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SISTEMA DOCUMENTAL CONTABLE</w:t>
        </w:r>
        <w:r w:rsidR="00906382">
          <w:rPr>
            <w:noProof/>
            <w:webHidden/>
          </w:rPr>
          <w:tab/>
        </w:r>
        <w:r w:rsidR="00906382">
          <w:rPr>
            <w:noProof/>
            <w:webHidden/>
          </w:rPr>
          <w:fldChar w:fldCharType="begin"/>
        </w:r>
        <w:r w:rsidR="00906382">
          <w:rPr>
            <w:noProof/>
            <w:webHidden/>
          </w:rPr>
          <w:instrText xml:space="preserve"> PAGEREF _Toc59377843 \h </w:instrText>
        </w:r>
        <w:r w:rsidR="00906382">
          <w:rPr>
            <w:noProof/>
            <w:webHidden/>
          </w:rPr>
        </w:r>
        <w:r w:rsidR="00906382">
          <w:rPr>
            <w:noProof/>
            <w:webHidden/>
          </w:rPr>
          <w:fldChar w:fldCharType="separate"/>
        </w:r>
        <w:r w:rsidR="00906382">
          <w:rPr>
            <w:noProof/>
            <w:webHidden/>
          </w:rPr>
          <w:t>66</w:t>
        </w:r>
        <w:r w:rsidR="00906382">
          <w:rPr>
            <w:noProof/>
            <w:webHidden/>
          </w:rPr>
          <w:fldChar w:fldCharType="end"/>
        </w:r>
      </w:hyperlink>
    </w:p>
    <w:p w14:paraId="476A61D7" w14:textId="5CB52B89" w:rsidR="00906382" w:rsidRDefault="00521D6E">
      <w:pPr>
        <w:pStyle w:val="TDC3"/>
        <w:rPr>
          <w:rFonts w:asciiTheme="minorHAnsi" w:eastAsiaTheme="minorEastAsia" w:hAnsiTheme="minorHAnsi" w:cstheme="minorBidi"/>
          <w:noProof/>
          <w:sz w:val="22"/>
          <w:szCs w:val="22"/>
          <w:lang w:val="es-CO" w:eastAsia="es-CO"/>
        </w:rPr>
      </w:pPr>
      <w:hyperlink w:anchor="_Toc59377844" w:history="1">
        <w:r w:rsidR="00906382" w:rsidRPr="00614B4E">
          <w:rPr>
            <w:rStyle w:val="Hipervnculo"/>
            <w:rFonts w:cs="Arial"/>
            <w:b/>
            <w:noProof/>
          </w:rPr>
          <w:t>6.6.1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Soportes de contabilidad</w:t>
        </w:r>
        <w:r w:rsidR="00906382">
          <w:rPr>
            <w:noProof/>
            <w:webHidden/>
          </w:rPr>
          <w:tab/>
        </w:r>
        <w:r w:rsidR="00906382">
          <w:rPr>
            <w:noProof/>
            <w:webHidden/>
          </w:rPr>
          <w:fldChar w:fldCharType="begin"/>
        </w:r>
        <w:r w:rsidR="00906382">
          <w:rPr>
            <w:noProof/>
            <w:webHidden/>
          </w:rPr>
          <w:instrText xml:space="preserve"> PAGEREF _Toc59377844 \h </w:instrText>
        </w:r>
        <w:r w:rsidR="00906382">
          <w:rPr>
            <w:noProof/>
            <w:webHidden/>
          </w:rPr>
        </w:r>
        <w:r w:rsidR="00906382">
          <w:rPr>
            <w:noProof/>
            <w:webHidden/>
          </w:rPr>
          <w:fldChar w:fldCharType="separate"/>
        </w:r>
        <w:r w:rsidR="00906382">
          <w:rPr>
            <w:noProof/>
            <w:webHidden/>
          </w:rPr>
          <w:t>67</w:t>
        </w:r>
        <w:r w:rsidR="00906382">
          <w:rPr>
            <w:noProof/>
            <w:webHidden/>
          </w:rPr>
          <w:fldChar w:fldCharType="end"/>
        </w:r>
      </w:hyperlink>
    </w:p>
    <w:p w14:paraId="57384AAC" w14:textId="55243495" w:rsidR="00906382" w:rsidRDefault="00521D6E">
      <w:pPr>
        <w:pStyle w:val="TDC3"/>
        <w:rPr>
          <w:rFonts w:asciiTheme="minorHAnsi" w:eastAsiaTheme="minorEastAsia" w:hAnsiTheme="minorHAnsi" w:cstheme="minorBidi"/>
          <w:noProof/>
          <w:sz w:val="22"/>
          <w:szCs w:val="22"/>
          <w:lang w:val="es-CO" w:eastAsia="es-CO"/>
        </w:rPr>
      </w:pPr>
      <w:hyperlink w:anchor="_Toc59377845" w:history="1">
        <w:r w:rsidR="00906382" w:rsidRPr="00614B4E">
          <w:rPr>
            <w:rStyle w:val="Hipervnculo"/>
            <w:rFonts w:cs="Arial"/>
            <w:b/>
            <w:noProof/>
          </w:rPr>
          <w:t>6.6.2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Comprobantes de contabilidad</w:t>
        </w:r>
        <w:r w:rsidR="00906382">
          <w:rPr>
            <w:noProof/>
            <w:webHidden/>
          </w:rPr>
          <w:tab/>
        </w:r>
        <w:r w:rsidR="00906382">
          <w:rPr>
            <w:noProof/>
            <w:webHidden/>
          </w:rPr>
          <w:fldChar w:fldCharType="begin"/>
        </w:r>
        <w:r w:rsidR="00906382">
          <w:rPr>
            <w:noProof/>
            <w:webHidden/>
          </w:rPr>
          <w:instrText xml:space="preserve"> PAGEREF _Toc59377845 \h </w:instrText>
        </w:r>
        <w:r w:rsidR="00906382">
          <w:rPr>
            <w:noProof/>
            <w:webHidden/>
          </w:rPr>
        </w:r>
        <w:r w:rsidR="00906382">
          <w:rPr>
            <w:noProof/>
            <w:webHidden/>
          </w:rPr>
          <w:fldChar w:fldCharType="separate"/>
        </w:r>
        <w:r w:rsidR="00906382">
          <w:rPr>
            <w:noProof/>
            <w:webHidden/>
          </w:rPr>
          <w:t>68</w:t>
        </w:r>
        <w:r w:rsidR="00906382">
          <w:rPr>
            <w:noProof/>
            <w:webHidden/>
          </w:rPr>
          <w:fldChar w:fldCharType="end"/>
        </w:r>
      </w:hyperlink>
    </w:p>
    <w:p w14:paraId="259592F6" w14:textId="58C40EF2" w:rsidR="00906382" w:rsidRDefault="00521D6E">
      <w:pPr>
        <w:pStyle w:val="TDC3"/>
        <w:rPr>
          <w:rFonts w:asciiTheme="minorHAnsi" w:eastAsiaTheme="minorEastAsia" w:hAnsiTheme="minorHAnsi" w:cstheme="minorBidi"/>
          <w:noProof/>
          <w:sz w:val="22"/>
          <w:szCs w:val="22"/>
          <w:lang w:val="es-CO" w:eastAsia="es-CO"/>
        </w:rPr>
      </w:pPr>
      <w:hyperlink w:anchor="_Toc59377846" w:history="1">
        <w:r w:rsidR="00906382" w:rsidRPr="00614B4E">
          <w:rPr>
            <w:rStyle w:val="Hipervnculo"/>
            <w:rFonts w:cs="Arial"/>
            <w:b/>
            <w:noProof/>
          </w:rPr>
          <w:t>6.6.3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Libros de contabilidad</w:t>
        </w:r>
        <w:r w:rsidR="00906382">
          <w:rPr>
            <w:noProof/>
            <w:webHidden/>
          </w:rPr>
          <w:tab/>
        </w:r>
        <w:r w:rsidR="00906382">
          <w:rPr>
            <w:noProof/>
            <w:webHidden/>
          </w:rPr>
          <w:fldChar w:fldCharType="begin"/>
        </w:r>
        <w:r w:rsidR="00906382">
          <w:rPr>
            <w:noProof/>
            <w:webHidden/>
          </w:rPr>
          <w:instrText xml:space="preserve"> PAGEREF _Toc59377846 \h </w:instrText>
        </w:r>
        <w:r w:rsidR="00906382">
          <w:rPr>
            <w:noProof/>
            <w:webHidden/>
          </w:rPr>
        </w:r>
        <w:r w:rsidR="00906382">
          <w:rPr>
            <w:noProof/>
            <w:webHidden/>
          </w:rPr>
          <w:fldChar w:fldCharType="separate"/>
        </w:r>
        <w:r w:rsidR="00906382">
          <w:rPr>
            <w:noProof/>
            <w:webHidden/>
          </w:rPr>
          <w:t>68</w:t>
        </w:r>
        <w:r w:rsidR="00906382">
          <w:rPr>
            <w:noProof/>
            <w:webHidden/>
          </w:rPr>
          <w:fldChar w:fldCharType="end"/>
        </w:r>
      </w:hyperlink>
    </w:p>
    <w:p w14:paraId="76339F1C" w14:textId="61DE4AF3" w:rsidR="00906382" w:rsidRDefault="00521D6E">
      <w:pPr>
        <w:pStyle w:val="TDC3"/>
        <w:rPr>
          <w:rFonts w:asciiTheme="minorHAnsi" w:eastAsiaTheme="minorEastAsia" w:hAnsiTheme="minorHAnsi" w:cstheme="minorBidi"/>
          <w:noProof/>
          <w:sz w:val="22"/>
          <w:szCs w:val="22"/>
          <w:lang w:val="es-CO" w:eastAsia="es-CO"/>
        </w:rPr>
      </w:pPr>
      <w:hyperlink w:anchor="_Toc59377847" w:history="1">
        <w:r w:rsidR="00906382" w:rsidRPr="00614B4E">
          <w:rPr>
            <w:rStyle w:val="Hipervnculo"/>
            <w:rFonts w:cs="Arial"/>
            <w:b/>
            <w:noProof/>
          </w:rPr>
          <w:t>6.6.4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Prohibiciones relacionadas con los documentos contables</w:t>
        </w:r>
        <w:r w:rsidR="00906382">
          <w:rPr>
            <w:noProof/>
            <w:webHidden/>
          </w:rPr>
          <w:tab/>
        </w:r>
        <w:r w:rsidR="00906382">
          <w:rPr>
            <w:noProof/>
            <w:webHidden/>
          </w:rPr>
          <w:fldChar w:fldCharType="begin"/>
        </w:r>
        <w:r w:rsidR="00906382">
          <w:rPr>
            <w:noProof/>
            <w:webHidden/>
          </w:rPr>
          <w:instrText xml:space="preserve"> PAGEREF _Toc59377847 \h </w:instrText>
        </w:r>
        <w:r w:rsidR="00906382">
          <w:rPr>
            <w:noProof/>
            <w:webHidden/>
          </w:rPr>
        </w:r>
        <w:r w:rsidR="00906382">
          <w:rPr>
            <w:noProof/>
            <w:webHidden/>
          </w:rPr>
          <w:fldChar w:fldCharType="separate"/>
        </w:r>
        <w:r w:rsidR="00906382">
          <w:rPr>
            <w:noProof/>
            <w:webHidden/>
          </w:rPr>
          <w:t>69</w:t>
        </w:r>
        <w:r w:rsidR="00906382">
          <w:rPr>
            <w:noProof/>
            <w:webHidden/>
          </w:rPr>
          <w:fldChar w:fldCharType="end"/>
        </w:r>
      </w:hyperlink>
    </w:p>
    <w:p w14:paraId="356BFAC5" w14:textId="2C3E0658" w:rsidR="00906382" w:rsidRDefault="00521D6E">
      <w:pPr>
        <w:pStyle w:val="TDC3"/>
        <w:rPr>
          <w:rFonts w:asciiTheme="minorHAnsi" w:eastAsiaTheme="minorEastAsia" w:hAnsiTheme="minorHAnsi" w:cstheme="minorBidi"/>
          <w:noProof/>
          <w:sz w:val="22"/>
          <w:szCs w:val="22"/>
          <w:lang w:val="es-CO" w:eastAsia="es-CO"/>
        </w:rPr>
      </w:pPr>
      <w:hyperlink w:anchor="_Toc59377848" w:history="1">
        <w:r w:rsidR="00906382" w:rsidRPr="00614B4E">
          <w:rPr>
            <w:rStyle w:val="Hipervnculo"/>
            <w:rFonts w:cs="Arial"/>
            <w:b/>
            <w:noProof/>
          </w:rPr>
          <w:t>6.6.5</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Conservación de los documentos contables</w:t>
        </w:r>
        <w:r w:rsidR="00906382">
          <w:rPr>
            <w:noProof/>
            <w:webHidden/>
          </w:rPr>
          <w:tab/>
        </w:r>
        <w:r w:rsidR="00906382">
          <w:rPr>
            <w:noProof/>
            <w:webHidden/>
          </w:rPr>
          <w:fldChar w:fldCharType="begin"/>
        </w:r>
        <w:r w:rsidR="00906382">
          <w:rPr>
            <w:noProof/>
            <w:webHidden/>
          </w:rPr>
          <w:instrText xml:space="preserve"> PAGEREF _Toc59377848 \h </w:instrText>
        </w:r>
        <w:r w:rsidR="00906382">
          <w:rPr>
            <w:noProof/>
            <w:webHidden/>
          </w:rPr>
        </w:r>
        <w:r w:rsidR="00906382">
          <w:rPr>
            <w:noProof/>
            <w:webHidden/>
          </w:rPr>
          <w:fldChar w:fldCharType="separate"/>
        </w:r>
        <w:r w:rsidR="00906382">
          <w:rPr>
            <w:noProof/>
            <w:webHidden/>
          </w:rPr>
          <w:t>69</w:t>
        </w:r>
        <w:r w:rsidR="00906382">
          <w:rPr>
            <w:noProof/>
            <w:webHidden/>
          </w:rPr>
          <w:fldChar w:fldCharType="end"/>
        </w:r>
      </w:hyperlink>
    </w:p>
    <w:p w14:paraId="0A802C50" w14:textId="485A70FA" w:rsidR="00906382" w:rsidRDefault="00521D6E">
      <w:pPr>
        <w:pStyle w:val="TDC2"/>
        <w:rPr>
          <w:rFonts w:asciiTheme="minorHAnsi" w:eastAsiaTheme="minorEastAsia" w:hAnsiTheme="minorHAnsi" w:cstheme="minorBidi"/>
          <w:b w:val="0"/>
          <w:noProof/>
          <w:sz w:val="22"/>
          <w:szCs w:val="22"/>
          <w:lang w:val="es-CO" w:eastAsia="es-CO"/>
        </w:rPr>
      </w:pPr>
      <w:hyperlink w:anchor="_Toc59377849" w:history="1">
        <w:r w:rsidR="00906382" w:rsidRPr="00614B4E">
          <w:rPr>
            <w:rStyle w:val="Hipervnculo"/>
            <w:rFonts w:cs="Arial"/>
            <w:noProof/>
          </w:rPr>
          <w:t>6.7</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CONTROLES APLICABLES A LA ELABORACIÓN DE LOS ESTADOS CONTABLES</w:t>
        </w:r>
        <w:r w:rsidR="00906382">
          <w:rPr>
            <w:noProof/>
            <w:webHidden/>
          </w:rPr>
          <w:tab/>
        </w:r>
        <w:r w:rsidR="00906382">
          <w:rPr>
            <w:noProof/>
            <w:webHidden/>
          </w:rPr>
          <w:fldChar w:fldCharType="begin"/>
        </w:r>
        <w:r w:rsidR="00906382">
          <w:rPr>
            <w:noProof/>
            <w:webHidden/>
          </w:rPr>
          <w:instrText xml:space="preserve"> PAGEREF _Toc59377849 \h </w:instrText>
        </w:r>
        <w:r w:rsidR="00906382">
          <w:rPr>
            <w:noProof/>
            <w:webHidden/>
          </w:rPr>
        </w:r>
        <w:r w:rsidR="00906382">
          <w:rPr>
            <w:noProof/>
            <w:webHidden/>
          </w:rPr>
          <w:fldChar w:fldCharType="separate"/>
        </w:r>
        <w:r w:rsidR="00906382">
          <w:rPr>
            <w:noProof/>
            <w:webHidden/>
          </w:rPr>
          <w:t>71</w:t>
        </w:r>
        <w:r w:rsidR="00906382">
          <w:rPr>
            <w:noProof/>
            <w:webHidden/>
          </w:rPr>
          <w:fldChar w:fldCharType="end"/>
        </w:r>
      </w:hyperlink>
    </w:p>
    <w:p w14:paraId="7230BD3F" w14:textId="5DD83DF0" w:rsidR="00906382" w:rsidRDefault="00521D6E">
      <w:pPr>
        <w:pStyle w:val="TDC3"/>
        <w:rPr>
          <w:rFonts w:asciiTheme="minorHAnsi" w:eastAsiaTheme="minorEastAsia" w:hAnsiTheme="minorHAnsi" w:cstheme="minorBidi"/>
          <w:noProof/>
          <w:sz w:val="22"/>
          <w:szCs w:val="22"/>
          <w:lang w:val="es-CO" w:eastAsia="es-CO"/>
        </w:rPr>
      </w:pPr>
      <w:hyperlink w:anchor="_Toc59377850" w:history="1">
        <w:r w:rsidR="00906382" w:rsidRPr="00614B4E">
          <w:rPr>
            <w:rStyle w:val="Hipervnculo"/>
            <w:rFonts w:cs="Arial"/>
            <w:b/>
            <w:noProof/>
          </w:rPr>
          <w:t>6.7.1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Solicitudes a las áreas del MHCP y organismos externos para el suministro oportuno de información</w:t>
        </w:r>
        <w:r w:rsidR="00906382">
          <w:rPr>
            <w:noProof/>
            <w:webHidden/>
          </w:rPr>
          <w:tab/>
        </w:r>
        <w:r w:rsidR="00906382">
          <w:rPr>
            <w:noProof/>
            <w:webHidden/>
          </w:rPr>
          <w:fldChar w:fldCharType="begin"/>
        </w:r>
        <w:r w:rsidR="00906382">
          <w:rPr>
            <w:noProof/>
            <w:webHidden/>
          </w:rPr>
          <w:instrText xml:space="preserve"> PAGEREF _Toc59377850 \h </w:instrText>
        </w:r>
        <w:r w:rsidR="00906382">
          <w:rPr>
            <w:noProof/>
            <w:webHidden/>
          </w:rPr>
        </w:r>
        <w:r w:rsidR="00906382">
          <w:rPr>
            <w:noProof/>
            <w:webHidden/>
          </w:rPr>
          <w:fldChar w:fldCharType="separate"/>
        </w:r>
        <w:r w:rsidR="00906382">
          <w:rPr>
            <w:noProof/>
            <w:webHidden/>
          </w:rPr>
          <w:t>71</w:t>
        </w:r>
        <w:r w:rsidR="00906382">
          <w:rPr>
            <w:noProof/>
            <w:webHidden/>
          </w:rPr>
          <w:fldChar w:fldCharType="end"/>
        </w:r>
      </w:hyperlink>
    </w:p>
    <w:p w14:paraId="52D8FEF7" w14:textId="707A0FCA" w:rsidR="00906382" w:rsidRDefault="00521D6E">
      <w:pPr>
        <w:pStyle w:val="TDC3"/>
        <w:rPr>
          <w:rFonts w:asciiTheme="minorHAnsi" w:eastAsiaTheme="minorEastAsia" w:hAnsiTheme="minorHAnsi" w:cstheme="minorBidi"/>
          <w:noProof/>
          <w:sz w:val="22"/>
          <w:szCs w:val="22"/>
          <w:lang w:val="es-CO" w:eastAsia="es-CO"/>
        </w:rPr>
      </w:pPr>
      <w:hyperlink w:anchor="_Toc59377851" w:history="1">
        <w:r w:rsidR="00906382" w:rsidRPr="00614B4E">
          <w:rPr>
            <w:rStyle w:val="Hipervnculo"/>
            <w:rFonts w:cs="Arial"/>
            <w:b/>
            <w:noProof/>
          </w:rPr>
          <w:t>6.7.2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Verificación de la entrega oportuna y adecuada de la información</w:t>
        </w:r>
        <w:r w:rsidR="00906382">
          <w:rPr>
            <w:noProof/>
            <w:webHidden/>
          </w:rPr>
          <w:tab/>
        </w:r>
        <w:r w:rsidR="00906382">
          <w:rPr>
            <w:noProof/>
            <w:webHidden/>
          </w:rPr>
          <w:fldChar w:fldCharType="begin"/>
        </w:r>
        <w:r w:rsidR="00906382">
          <w:rPr>
            <w:noProof/>
            <w:webHidden/>
          </w:rPr>
          <w:instrText xml:space="preserve"> PAGEREF _Toc59377851 \h </w:instrText>
        </w:r>
        <w:r w:rsidR="00906382">
          <w:rPr>
            <w:noProof/>
            <w:webHidden/>
          </w:rPr>
        </w:r>
        <w:r w:rsidR="00906382">
          <w:rPr>
            <w:noProof/>
            <w:webHidden/>
          </w:rPr>
          <w:fldChar w:fldCharType="separate"/>
        </w:r>
        <w:r w:rsidR="00906382">
          <w:rPr>
            <w:noProof/>
            <w:webHidden/>
          </w:rPr>
          <w:t>71</w:t>
        </w:r>
        <w:r w:rsidR="00906382">
          <w:rPr>
            <w:noProof/>
            <w:webHidden/>
          </w:rPr>
          <w:fldChar w:fldCharType="end"/>
        </w:r>
      </w:hyperlink>
    </w:p>
    <w:p w14:paraId="69BA24EA" w14:textId="7E5B5F06" w:rsidR="00906382" w:rsidRDefault="00521D6E">
      <w:pPr>
        <w:pStyle w:val="TDC3"/>
        <w:rPr>
          <w:rFonts w:asciiTheme="minorHAnsi" w:eastAsiaTheme="minorEastAsia" w:hAnsiTheme="minorHAnsi" w:cstheme="minorBidi"/>
          <w:noProof/>
          <w:sz w:val="22"/>
          <w:szCs w:val="22"/>
          <w:lang w:val="es-CO" w:eastAsia="es-CO"/>
        </w:rPr>
      </w:pPr>
      <w:hyperlink w:anchor="_Toc59377852" w:history="1">
        <w:r w:rsidR="00906382" w:rsidRPr="00614B4E">
          <w:rPr>
            <w:rStyle w:val="Hipervnculo"/>
            <w:rFonts w:cs="Arial"/>
            <w:b/>
            <w:noProof/>
          </w:rPr>
          <w:t>6.7.3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Cierre contable</w:t>
        </w:r>
        <w:r w:rsidR="00906382">
          <w:rPr>
            <w:noProof/>
            <w:webHidden/>
          </w:rPr>
          <w:tab/>
        </w:r>
        <w:r w:rsidR="00906382">
          <w:rPr>
            <w:noProof/>
            <w:webHidden/>
          </w:rPr>
          <w:fldChar w:fldCharType="begin"/>
        </w:r>
        <w:r w:rsidR="00906382">
          <w:rPr>
            <w:noProof/>
            <w:webHidden/>
          </w:rPr>
          <w:instrText xml:space="preserve"> PAGEREF _Toc59377852 \h </w:instrText>
        </w:r>
        <w:r w:rsidR="00906382">
          <w:rPr>
            <w:noProof/>
            <w:webHidden/>
          </w:rPr>
        </w:r>
        <w:r w:rsidR="00906382">
          <w:rPr>
            <w:noProof/>
            <w:webHidden/>
          </w:rPr>
          <w:fldChar w:fldCharType="separate"/>
        </w:r>
        <w:r w:rsidR="00906382">
          <w:rPr>
            <w:noProof/>
            <w:webHidden/>
          </w:rPr>
          <w:t>72</w:t>
        </w:r>
        <w:r w:rsidR="00906382">
          <w:rPr>
            <w:noProof/>
            <w:webHidden/>
          </w:rPr>
          <w:fldChar w:fldCharType="end"/>
        </w:r>
      </w:hyperlink>
    </w:p>
    <w:p w14:paraId="25272763" w14:textId="3B38A001" w:rsidR="00906382" w:rsidRDefault="00521D6E">
      <w:pPr>
        <w:pStyle w:val="TDC3"/>
        <w:rPr>
          <w:rFonts w:asciiTheme="minorHAnsi" w:eastAsiaTheme="minorEastAsia" w:hAnsiTheme="minorHAnsi" w:cstheme="minorBidi"/>
          <w:noProof/>
          <w:sz w:val="22"/>
          <w:szCs w:val="22"/>
          <w:lang w:val="es-CO" w:eastAsia="es-CO"/>
        </w:rPr>
      </w:pPr>
      <w:hyperlink w:anchor="_Toc59377853" w:history="1">
        <w:r w:rsidR="00906382" w:rsidRPr="00614B4E">
          <w:rPr>
            <w:rStyle w:val="Hipervnculo"/>
            <w:rFonts w:cs="Arial"/>
            <w:b/>
            <w:noProof/>
            <w:lang w:val="es-CO" w:eastAsia="es-CO"/>
          </w:rPr>
          <w:t>6.7.4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lang w:val="es-CO" w:eastAsia="es-CO"/>
          </w:rPr>
          <w:t>Conciliación de información</w:t>
        </w:r>
        <w:r w:rsidR="00906382">
          <w:rPr>
            <w:noProof/>
            <w:webHidden/>
          </w:rPr>
          <w:tab/>
        </w:r>
        <w:r w:rsidR="00906382">
          <w:rPr>
            <w:noProof/>
            <w:webHidden/>
          </w:rPr>
          <w:fldChar w:fldCharType="begin"/>
        </w:r>
        <w:r w:rsidR="00906382">
          <w:rPr>
            <w:noProof/>
            <w:webHidden/>
          </w:rPr>
          <w:instrText xml:space="preserve"> PAGEREF _Toc59377853 \h </w:instrText>
        </w:r>
        <w:r w:rsidR="00906382">
          <w:rPr>
            <w:noProof/>
            <w:webHidden/>
          </w:rPr>
        </w:r>
        <w:r w:rsidR="00906382">
          <w:rPr>
            <w:noProof/>
            <w:webHidden/>
          </w:rPr>
          <w:fldChar w:fldCharType="separate"/>
        </w:r>
        <w:r w:rsidR="00906382">
          <w:rPr>
            <w:noProof/>
            <w:webHidden/>
          </w:rPr>
          <w:t>72</w:t>
        </w:r>
        <w:r w:rsidR="00906382">
          <w:rPr>
            <w:noProof/>
            <w:webHidden/>
          </w:rPr>
          <w:fldChar w:fldCharType="end"/>
        </w:r>
      </w:hyperlink>
    </w:p>
    <w:p w14:paraId="6A1EB689" w14:textId="77AF17B7" w:rsidR="00906382" w:rsidRDefault="00521D6E">
      <w:pPr>
        <w:pStyle w:val="TDC2"/>
        <w:rPr>
          <w:rFonts w:asciiTheme="minorHAnsi" w:eastAsiaTheme="minorEastAsia" w:hAnsiTheme="minorHAnsi" w:cstheme="minorBidi"/>
          <w:b w:val="0"/>
          <w:noProof/>
          <w:sz w:val="22"/>
          <w:szCs w:val="22"/>
          <w:lang w:val="es-CO" w:eastAsia="es-CO"/>
        </w:rPr>
      </w:pPr>
      <w:hyperlink w:anchor="_Toc59377854" w:history="1">
        <w:r w:rsidR="00906382" w:rsidRPr="00614B4E">
          <w:rPr>
            <w:rStyle w:val="Hipervnculo"/>
            <w:rFonts w:cs="Arial"/>
            <w:noProof/>
          </w:rPr>
          <w:t>6.8</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ELABORACIÓN, PRESENTACIÓN Y PUBLICACIÓN DE INFORMACIÓN CONTABLE</w:t>
        </w:r>
        <w:r w:rsidR="00906382">
          <w:rPr>
            <w:noProof/>
            <w:webHidden/>
          </w:rPr>
          <w:tab/>
        </w:r>
        <w:r w:rsidR="00906382">
          <w:rPr>
            <w:noProof/>
            <w:webHidden/>
          </w:rPr>
          <w:fldChar w:fldCharType="begin"/>
        </w:r>
        <w:r w:rsidR="00906382">
          <w:rPr>
            <w:noProof/>
            <w:webHidden/>
          </w:rPr>
          <w:instrText xml:space="preserve"> PAGEREF _Toc59377854 \h </w:instrText>
        </w:r>
        <w:r w:rsidR="00906382">
          <w:rPr>
            <w:noProof/>
            <w:webHidden/>
          </w:rPr>
        </w:r>
        <w:r w:rsidR="00906382">
          <w:rPr>
            <w:noProof/>
            <w:webHidden/>
          </w:rPr>
          <w:fldChar w:fldCharType="separate"/>
        </w:r>
        <w:r w:rsidR="00906382">
          <w:rPr>
            <w:noProof/>
            <w:webHidden/>
          </w:rPr>
          <w:t>75</w:t>
        </w:r>
        <w:r w:rsidR="00906382">
          <w:rPr>
            <w:noProof/>
            <w:webHidden/>
          </w:rPr>
          <w:fldChar w:fldCharType="end"/>
        </w:r>
      </w:hyperlink>
    </w:p>
    <w:p w14:paraId="374DA11A" w14:textId="7F5610B3" w:rsidR="00906382" w:rsidRDefault="00521D6E">
      <w:pPr>
        <w:pStyle w:val="TDC3"/>
        <w:rPr>
          <w:rFonts w:asciiTheme="minorHAnsi" w:eastAsiaTheme="minorEastAsia" w:hAnsiTheme="minorHAnsi" w:cstheme="minorBidi"/>
          <w:noProof/>
          <w:sz w:val="22"/>
          <w:szCs w:val="22"/>
          <w:lang w:val="es-CO" w:eastAsia="es-CO"/>
        </w:rPr>
      </w:pPr>
      <w:hyperlink w:anchor="_Toc59377855" w:history="1">
        <w:r w:rsidR="00906382" w:rsidRPr="00614B4E">
          <w:rPr>
            <w:rStyle w:val="Hipervnculo"/>
            <w:rFonts w:cs="Arial"/>
            <w:b/>
            <w:noProof/>
          </w:rPr>
          <w:t>6.8.1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Elaboración de informes financieros y contables mensuales</w:t>
        </w:r>
        <w:r w:rsidR="00906382">
          <w:rPr>
            <w:noProof/>
            <w:webHidden/>
          </w:rPr>
          <w:tab/>
        </w:r>
        <w:r w:rsidR="00906382">
          <w:rPr>
            <w:noProof/>
            <w:webHidden/>
          </w:rPr>
          <w:fldChar w:fldCharType="begin"/>
        </w:r>
        <w:r w:rsidR="00906382">
          <w:rPr>
            <w:noProof/>
            <w:webHidden/>
          </w:rPr>
          <w:instrText xml:space="preserve"> PAGEREF _Toc59377855 \h </w:instrText>
        </w:r>
        <w:r w:rsidR="00906382">
          <w:rPr>
            <w:noProof/>
            <w:webHidden/>
          </w:rPr>
        </w:r>
        <w:r w:rsidR="00906382">
          <w:rPr>
            <w:noProof/>
            <w:webHidden/>
          </w:rPr>
          <w:fldChar w:fldCharType="separate"/>
        </w:r>
        <w:r w:rsidR="00906382">
          <w:rPr>
            <w:noProof/>
            <w:webHidden/>
          </w:rPr>
          <w:t>75</w:t>
        </w:r>
        <w:r w:rsidR="00906382">
          <w:rPr>
            <w:noProof/>
            <w:webHidden/>
          </w:rPr>
          <w:fldChar w:fldCharType="end"/>
        </w:r>
      </w:hyperlink>
    </w:p>
    <w:p w14:paraId="382A3B89" w14:textId="5B3B44D7" w:rsidR="00906382" w:rsidRDefault="00521D6E">
      <w:pPr>
        <w:pStyle w:val="TDC3"/>
        <w:rPr>
          <w:rFonts w:asciiTheme="minorHAnsi" w:eastAsiaTheme="minorEastAsia" w:hAnsiTheme="minorHAnsi" w:cstheme="minorBidi"/>
          <w:noProof/>
          <w:sz w:val="22"/>
          <w:szCs w:val="22"/>
          <w:lang w:val="es-CO" w:eastAsia="es-CO"/>
        </w:rPr>
      </w:pPr>
      <w:hyperlink w:anchor="_Toc59377856" w:history="1">
        <w:r w:rsidR="00906382" w:rsidRPr="00614B4E">
          <w:rPr>
            <w:rStyle w:val="Hipervnculo"/>
            <w:rFonts w:cs="Arial"/>
            <w:b/>
            <w:noProof/>
          </w:rPr>
          <w:t>6.8.2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Elaboración y publicación del juego completo de Estados Financieros</w:t>
        </w:r>
        <w:r w:rsidR="00906382">
          <w:rPr>
            <w:noProof/>
            <w:webHidden/>
          </w:rPr>
          <w:tab/>
        </w:r>
        <w:r w:rsidR="00906382">
          <w:rPr>
            <w:noProof/>
            <w:webHidden/>
          </w:rPr>
          <w:fldChar w:fldCharType="begin"/>
        </w:r>
        <w:r w:rsidR="00906382">
          <w:rPr>
            <w:noProof/>
            <w:webHidden/>
          </w:rPr>
          <w:instrText xml:space="preserve"> PAGEREF _Toc59377856 \h </w:instrText>
        </w:r>
        <w:r w:rsidR="00906382">
          <w:rPr>
            <w:noProof/>
            <w:webHidden/>
          </w:rPr>
        </w:r>
        <w:r w:rsidR="00906382">
          <w:rPr>
            <w:noProof/>
            <w:webHidden/>
          </w:rPr>
          <w:fldChar w:fldCharType="separate"/>
        </w:r>
        <w:r w:rsidR="00906382">
          <w:rPr>
            <w:noProof/>
            <w:webHidden/>
          </w:rPr>
          <w:t>78</w:t>
        </w:r>
        <w:r w:rsidR="00906382">
          <w:rPr>
            <w:noProof/>
            <w:webHidden/>
          </w:rPr>
          <w:fldChar w:fldCharType="end"/>
        </w:r>
      </w:hyperlink>
    </w:p>
    <w:p w14:paraId="473ACF7C" w14:textId="0A98A180" w:rsidR="00906382" w:rsidRDefault="00521D6E">
      <w:pPr>
        <w:pStyle w:val="TDC3"/>
        <w:rPr>
          <w:rFonts w:asciiTheme="minorHAnsi" w:eastAsiaTheme="minorEastAsia" w:hAnsiTheme="minorHAnsi" w:cstheme="minorBidi"/>
          <w:noProof/>
          <w:sz w:val="22"/>
          <w:szCs w:val="22"/>
          <w:lang w:val="es-CO" w:eastAsia="es-CO"/>
        </w:rPr>
      </w:pPr>
      <w:hyperlink w:anchor="_Toc59377857" w:history="1">
        <w:r w:rsidR="00906382" w:rsidRPr="00614B4E">
          <w:rPr>
            <w:rStyle w:val="Hipervnculo"/>
            <w:rFonts w:cs="Arial"/>
            <w:b/>
            <w:noProof/>
          </w:rPr>
          <w:t>6.8.3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Elaboración y presentación de reportes contables</w:t>
        </w:r>
        <w:r w:rsidR="00906382">
          <w:rPr>
            <w:noProof/>
            <w:webHidden/>
          </w:rPr>
          <w:tab/>
        </w:r>
        <w:r w:rsidR="00906382">
          <w:rPr>
            <w:noProof/>
            <w:webHidden/>
          </w:rPr>
          <w:fldChar w:fldCharType="begin"/>
        </w:r>
        <w:r w:rsidR="00906382">
          <w:rPr>
            <w:noProof/>
            <w:webHidden/>
          </w:rPr>
          <w:instrText xml:space="preserve"> PAGEREF _Toc59377857 \h </w:instrText>
        </w:r>
        <w:r w:rsidR="00906382">
          <w:rPr>
            <w:noProof/>
            <w:webHidden/>
          </w:rPr>
        </w:r>
        <w:r w:rsidR="00906382">
          <w:rPr>
            <w:noProof/>
            <w:webHidden/>
          </w:rPr>
          <w:fldChar w:fldCharType="separate"/>
        </w:r>
        <w:r w:rsidR="00906382">
          <w:rPr>
            <w:noProof/>
            <w:webHidden/>
          </w:rPr>
          <w:t>80</w:t>
        </w:r>
        <w:r w:rsidR="00906382">
          <w:rPr>
            <w:noProof/>
            <w:webHidden/>
          </w:rPr>
          <w:fldChar w:fldCharType="end"/>
        </w:r>
      </w:hyperlink>
    </w:p>
    <w:p w14:paraId="3636A449" w14:textId="118E00A1" w:rsidR="00906382" w:rsidRDefault="00521D6E">
      <w:pPr>
        <w:pStyle w:val="TDC3"/>
        <w:rPr>
          <w:rFonts w:asciiTheme="minorHAnsi" w:eastAsiaTheme="minorEastAsia" w:hAnsiTheme="minorHAnsi" w:cstheme="minorBidi"/>
          <w:noProof/>
          <w:sz w:val="22"/>
          <w:szCs w:val="22"/>
          <w:lang w:val="es-CO" w:eastAsia="es-CO"/>
        </w:rPr>
      </w:pPr>
      <w:hyperlink w:anchor="_Toc59377858" w:history="1">
        <w:r w:rsidR="00906382" w:rsidRPr="00614B4E">
          <w:rPr>
            <w:rStyle w:val="Hipervnculo"/>
            <w:rFonts w:cs="Arial"/>
            <w:b/>
            <w:noProof/>
          </w:rPr>
          <w:t>6.8.4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Elaboración y presentación de otros reportes e informes</w:t>
        </w:r>
        <w:r w:rsidR="00906382">
          <w:rPr>
            <w:noProof/>
            <w:webHidden/>
          </w:rPr>
          <w:tab/>
        </w:r>
        <w:r w:rsidR="00906382">
          <w:rPr>
            <w:noProof/>
            <w:webHidden/>
          </w:rPr>
          <w:fldChar w:fldCharType="begin"/>
        </w:r>
        <w:r w:rsidR="00906382">
          <w:rPr>
            <w:noProof/>
            <w:webHidden/>
          </w:rPr>
          <w:instrText xml:space="preserve"> PAGEREF _Toc59377858 \h </w:instrText>
        </w:r>
        <w:r w:rsidR="00906382">
          <w:rPr>
            <w:noProof/>
            <w:webHidden/>
          </w:rPr>
        </w:r>
        <w:r w:rsidR="00906382">
          <w:rPr>
            <w:noProof/>
            <w:webHidden/>
          </w:rPr>
          <w:fldChar w:fldCharType="separate"/>
        </w:r>
        <w:r w:rsidR="00906382">
          <w:rPr>
            <w:noProof/>
            <w:webHidden/>
          </w:rPr>
          <w:t>84</w:t>
        </w:r>
        <w:r w:rsidR="00906382">
          <w:rPr>
            <w:noProof/>
            <w:webHidden/>
          </w:rPr>
          <w:fldChar w:fldCharType="end"/>
        </w:r>
      </w:hyperlink>
    </w:p>
    <w:p w14:paraId="69494EFF" w14:textId="31545FDD" w:rsidR="00906382" w:rsidRDefault="00521D6E">
      <w:pPr>
        <w:pStyle w:val="TDC2"/>
        <w:rPr>
          <w:rFonts w:asciiTheme="minorHAnsi" w:eastAsiaTheme="minorEastAsia" w:hAnsiTheme="minorHAnsi" w:cstheme="minorBidi"/>
          <w:b w:val="0"/>
          <w:noProof/>
          <w:sz w:val="22"/>
          <w:szCs w:val="22"/>
          <w:lang w:val="es-CO" w:eastAsia="es-CO"/>
        </w:rPr>
      </w:pPr>
      <w:hyperlink w:anchor="_Toc59377859" w:history="1">
        <w:r w:rsidR="00906382" w:rsidRPr="00614B4E">
          <w:rPr>
            <w:rStyle w:val="Hipervnculo"/>
            <w:rFonts w:cs="Arial"/>
            <w:noProof/>
            <w:lang w:val="es-MX"/>
          </w:rPr>
          <w:t>6.9</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lang w:val="es-MX"/>
          </w:rPr>
          <w:t>DEPURACIÓN Y SOSTENIBILIDAD CONTABLE PERMANENTE</w:t>
        </w:r>
        <w:r w:rsidR="00906382">
          <w:rPr>
            <w:noProof/>
            <w:webHidden/>
          </w:rPr>
          <w:tab/>
        </w:r>
        <w:r w:rsidR="00906382">
          <w:rPr>
            <w:noProof/>
            <w:webHidden/>
          </w:rPr>
          <w:fldChar w:fldCharType="begin"/>
        </w:r>
        <w:r w:rsidR="00906382">
          <w:rPr>
            <w:noProof/>
            <w:webHidden/>
          </w:rPr>
          <w:instrText xml:space="preserve"> PAGEREF _Toc59377859 \h </w:instrText>
        </w:r>
        <w:r w:rsidR="00906382">
          <w:rPr>
            <w:noProof/>
            <w:webHidden/>
          </w:rPr>
        </w:r>
        <w:r w:rsidR="00906382">
          <w:rPr>
            <w:noProof/>
            <w:webHidden/>
          </w:rPr>
          <w:fldChar w:fldCharType="separate"/>
        </w:r>
        <w:r w:rsidR="00906382">
          <w:rPr>
            <w:noProof/>
            <w:webHidden/>
          </w:rPr>
          <w:t>84</w:t>
        </w:r>
        <w:r w:rsidR="00906382">
          <w:rPr>
            <w:noProof/>
            <w:webHidden/>
          </w:rPr>
          <w:fldChar w:fldCharType="end"/>
        </w:r>
      </w:hyperlink>
    </w:p>
    <w:p w14:paraId="3C687B9B" w14:textId="1AFD9230" w:rsidR="00906382" w:rsidRDefault="00521D6E">
      <w:pPr>
        <w:pStyle w:val="TDC2"/>
        <w:rPr>
          <w:rFonts w:asciiTheme="minorHAnsi" w:eastAsiaTheme="minorEastAsia" w:hAnsiTheme="minorHAnsi" w:cstheme="minorBidi"/>
          <w:b w:val="0"/>
          <w:noProof/>
          <w:sz w:val="22"/>
          <w:szCs w:val="22"/>
          <w:lang w:val="es-CO" w:eastAsia="es-CO"/>
        </w:rPr>
      </w:pPr>
      <w:hyperlink w:anchor="_Toc59377860" w:history="1">
        <w:r w:rsidR="00906382" w:rsidRPr="00614B4E">
          <w:rPr>
            <w:rStyle w:val="Hipervnculo"/>
            <w:rFonts w:cs="Arial"/>
            <w:noProof/>
          </w:rPr>
          <w:t>6.10</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INDICADORES</w:t>
        </w:r>
        <w:r w:rsidR="00906382">
          <w:rPr>
            <w:noProof/>
            <w:webHidden/>
          </w:rPr>
          <w:tab/>
        </w:r>
        <w:r w:rsidR="00906382">
          <w:rPr>
            <w:noProof/>
            <w:webHidden/>
          </w:rPr>
          <w:fldChar w:fldCharType="begin"/>
        </w:r>
        <w:r w:rsidR="00906382">
          <w:rPr>
            <w:noProof/>
            <w:webHidden/>
          </w:rPr>
          <w:instrText xml:space="preserve"> PAGEREF _Toc59377860 \h </w:instrText>
        </w:r>
        <w:r w:rsidR="00906382">
          <w:rPr>
            <w:noProof/>
            <w:webHidden/>
          </w:rPr>
        </w:r>
        <w:r w:rsidR="00906382">
          <w:rPr>
            <w:noProof/>
            <w:webHidden/>
          </w:rPr>
          <w:fldChar w:fldCharType="separate"/>
        </w:r>
        <w:r w:rsidR="00906382">
          <w:rPr>
            <w:noProof/>
            <w:webHidden/>
          </w:rPr>
          <w:t>86</w:t>
        </w:r>
        <w:r w:rsidR="00906382">
          <w:rPr>
            <w:noProof/>
            <w:webHidden/>
          </w:rPr>
          <w:fldChar w:fldCharType="end"/>
        </w:r>
      </w:hyperlink>
    </w:p>
    <w:p w14:paraId="0F5AC387" w14:textId="5EE99E0E" w:rsidR="00906382" w:rsidRDefault="00521D6E">
      <w:pPr>
        <w:pStyle w:val="TDC1"/>
        <w:rPr>
          <w:rFonts w:asciiTheme="minorHAnsi" w:eastAsiaTheme="minorEastAsia" w:hAnsiTheme="minorHAnsi" w:cstheme="minorBidi"/>
          <w:b w:val="0"/>
          <w:noProof/>
          <w:sz w:val="22"/>
          <w:szCs w:val="22"/>
          <w:lang w:val="es-CO" w:eastAsia="es-CO"/>
        </w:rPr>
      </w:pPr>
      <w:hyperlink w:anchor="_Toc59377861" w:history="1">
        <w:r w:rsidR="00906382" w:rsidRPr="00614B4E">
          <w:rPr>
            <w:rStyle w:val="Hipervnculo"/>
            <w:bCs/>
            <w:noProof/>
            <w:lang w:eastAsia="es-CO"/>
          </w:rPr>
          <w:t>7.</w:t>
        </w:r>
        <w:r w:rsidR="00906382">
          <w:rPr>
            <w:rFonts w:asciiTheme="minorHAnsi" w:eastAsiaTheme="minorEastAsia" w:hAnsiTheme="minorHAnsi" w:cstheme="minorBidi"/>
            <w:b w:val="0"/>
            <w:noProof/>
            <w:sz w:val="22"/>
            <w:szCs w:val="22"/>
            <w:lang w:val="es-CO" w:eastAsia="es-CO"/>
          </w:rPr>
          <w:tab/>
        </w:r>
        <w:r w:rsidR="00906382" w:rsidRPr="00614B4E">
          <w:rPr>
            <w:rStyle w:val="Hipervnculo"/>
            <w:bCs/>
            <w:noProof/>
            <w:lang w:eastAsia="es-CO"/>
          </w:rPr>
          <w:t>OPERATIVIDAD CONTABLE</w:t>
        </w:r>
        <w:r w:rsidR="00906382">
          <w:rPr>
            <w:noProof/>
            <w:webHidden/>
          </w:rPr>
          <w:tab/>
        </w:r>
        <w:r w:rsidR="00906382">
          <w:rPr>
            <w:noProof/>
            <w:webHidden/>
          </w:rPr>
          <w:fldChar w:fldCharType="begin"/>
        </w:r>
        <w:r w:rsidR="00906382">
          <w:rPr>
            <w:noProof/>
            <w:webHidden/>
          </w:rPr>
          <w:instrText xml:space="preserve"> PAGEREF _Toc59377861 \h </w:instrText>
        </w:r>
        <w:r w:rsidR="00906382">
          <w:rPr>
            <w:noProof/>
            <w:webHidden/>
          </w:rPr>
        </w:r>
        <w:r w:rsidR="00906382">
          <w:rPr>
            <w:noProof/>
            <w:webHidden/>
          </w:rPr>
          <w:fldChar w:fldCharType="separate"/>
        </w:r>
        <w:r w:rsidR="00906382">
          <w:rPr>
            <w:noProof/>
            <w:webHidden/>
          </w:rPr>
          <w:t>88</w:t>
        </w:r>
        <w:r w:rsidR="00906382">
          <w:rPr>
            <w:noProof/>
            <w:webHidden/>
          </w:rPr>
          <w:fldChar w:fldCharType="end"/>
        </w:r>
      </w:hyperlink>
    </w:p>
    <w:p w14:paraId="280BB9D5" w14:textId="133860D7" w:rsidR="00906382" w:rsidRDefault="00521D6E">
      <w:pPr>
        <w:pStyle w:val="TDC2"/>
        <w:rPr>
          <w:rFonts w:asciiTheme="minorHAnsi" w:eastAsiaTheme="minorEastAsia" w:hAnsiTheme="minorHAnsi" w:cstheme="minorBidi"/>
          <w:b w:val="0"/>
          <w:noProof/>
          <w:sz w:val="22"/>
          <w:szCs w:val="22"/>
          <w:lang w:val="es-CO" w:eastAsia="es-CO"/>
        </w:rPr>
      </w:pPr>
      <w:hyperlink w:anchor="_Toc59377862" w:history="1">
        <w:r w:rsidR="00906382" w:rsidRPr="00614B4E">
          <w:rPr>
            <w:rStyle w:val="Hipervnculo"/>
            <w:rFonts w:cs="Arial"/>
            <w:noProof/>
          </w:rPr>
          <w:t>7.1</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Generalidades</w:t>
        </w:r>
        <w:r w:rsidR="00906382">
          <w:rPr>
            <w:noProof/>
            <w:webHidden/>
          </w:rPr>
          <w:tab/>
        </w:r>
        <w:r w:rsidR="00906382">
          <w:rPr>
            <w:noProof/>
            <w:webHidden/>
          </w:rPr>
          <w:fldChar w:fldCharType="begin"/>
        </w:r>
        <w:r w:rsidR="00906382">
          <w:rPr>
            <w:noProof/>
            <w:webHidden/>
          </w:rPr>
          <w:instrText xml:space="preserve"> PAGEREF _Toc59377862 \h </w:instrText>
        </w:r>
        <w:r w:rsidR="00906382">
          <w:rPr>
            <w:noProof/>
            <w:webHidden/>
          </w:rPr>
        </w:r>
        <w:r w:rsidR="00906382">
          <w:rPr>
            <w:noProof/>
            <w:webHidden/>
          </w:rPr>
          <w:fldChar w:fldCharType="separate"/>
        </w:r>
        <w:r w:rsidR="00906382">
          <w:rPr>
            <w:noProof/>
            <w:webHidden/>
          </w:rPr>
          <w:t>88</w:t>
        </w:r>
        <w:r w:rsidR="00906382">
          <w:rPr>
            <w:noProof/>
            <w:webHidden/>
          </w:rPr>
          <w:fldChar w:fldCharType="end"/>
        </w:r>
      </w:hyperlink>
    </w:p>
    <w:p w14:paraId="64E4E529" w14:textId="3D1DC496" w:rsidR="00906382" w:rsidRDefault="00521D6E">
      <w:pPr>
        <w:pStyle w:val="TDC2"/>
        <w:rPr>
          <w:rFonts w:asciiTheme="minorHAnsi" w:eastAsiaTheme="minorEastAsia" w:hAnsiTheme="minorHAnsi" w:cstheme="minorBidi"/>
          <w:b w:val="0"/>
          <w:noProof/>
          <w:sz w:val="22"/>
          <w:szCs w:val="22"/>
          <w:lang w:val="es-CO" w:eastAsia="es-CO"/>
        </w:rPr>
      </w:pPr>
      <w:hyperlink w:anchor="_Toc59377863" w:history="1">
        <w:r w:rsidR="00906382" w:rsidRPr="00614B4E">
          <w:rPr>
            <w:rStyle w:val="Hipervnculo"/>
            <w:rFonts w:cs="Arial"/>
            <w:noProof/>
          </w:rPr>
          <w:t>7.2</w:t>
        </w:r>
        <w:r w:rsidR="00906382">
          <w:rPr>
            <w:rFonts w:asciiTheme="minorHAnsi" w:eastAsiaTheme="minorEastAsia" w:hAnsiTheme="minorHAnsi" w:cstheme="minorBidi"/>
            <w:b w:val="0"/>
            <w:noProof/>
            <w:sz w:val="22"/>
            <w:szCs w:val="22"/>
            <w:lang w:val="es-CO" w:eastAsia="es-CO"/>
          </w:rPr>
          <w:tab/>
        </w:r>
        <w:r w:rsidR="00906382" w:rsidRPr="00614B4E">
          <w:rPr>
            <w:rStyle w:val="Hipervnculo"/>
            <w:rFonts w:cs="Arial"/>
            <w:noProof/>
          </w:rPr>
          <w:t>Operatividad contable por temas</w:t>
        </w:r>
        <w:r w:rsidR="00906382">
          <w:rPr>
            <w:noProof/>
            <w:webHidden/>
          </w:rPr>
          <w:tab/>
        </w:r>
        <w:r w:rsidR="00906382">
          <w:rPr>
            <w:noProof/>
            <w:webHidden/>
          </w:rPr>
          <w:fldChar w:fldCharType="begin"/>
        </w:r>
        <w:r w:rsidR="00906382">
          <w:rPr>
            <w:noProof/>
            <w:webHidden/>
          </w:rPr>
          <w:instrText xml:space="preserve"> PAGEREF _Toc59377863 \h </w:instrText>
        </w:r>
        <w:r w:rsidR="00906382">
          <w:rPr>
            <w:noProof/>
            <w:webHidden/>
          </w:rPr>
        </w:r>
        <w:r w:rsidR="00906382">
          <w:rPr>
            <w:noProof/>
            <w:webHidden/>
          </w:rPr>
          <w:fldChar w:fldCharType="separate"/>
        </w:r>
        <w:r w:rsidR="00906382">
          <w:rPr>
            <w:noProof/>
            <w:webHidden/>
          </w:rPr>
          <w:t>97</w:t>
        </w:r>
        <w:r w:rsidR="00906382">
          <w:rPr>
            <w:noProof/>
            <w:webHidden/>
          </w:rPr>
          <w:fldChar w:fldCharType="end"/>
        </w:r>
      </w:hyperlink>
    </w:p>
    <w:p w14:paraId="3C384C5B" w14:textId="43571860" w:rsidR="00906382" w:rsidRDefault="00521D6E">
      <w:pPr>
        <w:pStyle w:val="TDC3"/>
        <w:rPr>
          <w:rFonts w:asciiTheme="minorHAnsi" w:eastAsiaTheme="minorEastAsia" w:hAnsiTheme="minorHAnsi" w:cstheme="minorBidi"/>
          <w:noProof/>
          <w:sz w:val="22"/>
          <w:szCs w:val="22"/>
          <w:lang w:val="es-CO" w:eastAsia="es-CO"/>
        </w:rPr>
      </w:pPr>
      <w:hyperlink w:anchor="_Toc59377864" w:history="1">
        <w:r w:rsidR="00906382" w:rsidRPr="00614B4E">
          <w:rPr>
            <w:rStyle w:val="Hipervnculo"/>
            <w:rFonts w:cs="Arial"/>
            <w:b/>
            <w:noProof/>
          </w:rPr>
          <w:t>7.2.1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Efectivo y equivalentes al efectivo</w:t>
        </w:r>
        <w:r w:rsidR="00906382">
          <w:rPr>
            <w:noProof/>
            <w:webHidden/>
          </w:rPr>
          <w:tab/>
        </w:r>
        <w:r w:rsidR="00906382">
          <w:rPr>
            <w:noProof/>
            <w:webHidden/>
          </w:rPr>
          <w:fldChar w:fldCharType="begin"/>
        </w:r>
        <w:r w:rsidR="00906382">
          <w:rPr>
            <w:noProof/>
            <w:webHidden/>
          </w:rPr>
          <w:instrText xml:space="preserve"> PAGEREF _Toc59377864 \h </w:instrText>
        </w:r>
        <w:r w:rsidR="00906382">
          <w:rPr>
            <w:noProof/>
            <w:webHidden/>
          </w:rPr>
        </w:r>
        <w:r w:rsidR="00906382">
          <w:rPr>
            <w:noProof/>
            <w:webHidden/>
          </w:rPr>
          <w:fldChar w:fldCharType="separate"/>
        </w:r>
        <w:r w:rsidR="00906382">
          <w:rPr>
            <w:noProof/>
            <w:webHidden/>
          </w:rPr>
          <w:t>98</w:t>
        </w:r>
        <w:r w:rsidR="00906382">
          <w:rPr>
            <w:noProof/>
            <w:webHidden/>
          </w:rPr>
          <w:fldChar w:fldCharType="end"/>
        </w:r>
      </w:hyperlink>
    </w:p>
    <w:p w14:paraId="56D61F91" w14:textId="6048892F" w:rsidR="00906382" w:rsidRDefault="00521D6E">
      <w:pPr>
        <w:pStyle w:val="TDC3"/>
        <w:rPr>
          <w:rFonts w:asciiTheme="minorHAnsi" w:eastAsiaTheme="minorEastAsia" w:hAnsiTheme="minorHAnsi" w:cstheme="minorBidi"/>
          <w:noProof/>
          <w:sz w:val="22"/>
          <w:szCs w:val="22"/>
          <w:lang w:val="es-CO" w:eastAsia="es-CO"/>
        </w:rPr>
      </w:pPr>
      <w:hyperlink w:anchor="_Toc59377865" w:history="1">
        <w:r w:rsidR="00906382" w:rsidRPr="00614B4E">
          <w:rPr>
            <w:rStyle w:val="Hipervnculo"/>
            <w:rFonts w:cs="Arial"/>
            <w:b/>
            <w:noProof/>
          </w:rPr>
          <w:t>7.2.2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Inversiones de administración de liquidez</w:t>
        </w:r>
        <w:r w:rsidR="00906382">
          <w:rPr>
            <w:noProof/>
            <w:webHidden/>
          </w:rPr>
          <w:tab/>
        </w:r>
        <w:r w:rsidR="00906382">
          <w:rPr>
            <w:noProof/>
            <w:webHidden/>
          </w:rPr>
          <w:fldChar w:fldCharType="begin"/>
        </w:r>
        <w:r w:rsidR="00906382">
          <w:rPr>
            <w:noProof/>
            <w:webHidden/>
          </w:rPr>
          <w:instrText xml:space="preserve"> PAGEREF _Toc59377865 \h </w:instrText>
        </w:r>
        <w:r w:rsidR="00906382">
          <w:rPr>
            <w:noProof/>
            <w:webHidden/>
          </w:rPr>
        </w:r>
        <w:r w:rsidR="00906382">
          <w:rPr>
            <w:noProof/>
            <w:webHidden/>
          </w:rPr>
          <w:fldChar w:fldCharType="separate"/>
        </w:r>
        <w:r w:rsidR="00906382">
          <w:rPr>
            <w:noProof/>
            <w:webHidden/>
          </w:rPr>
          <w:t>99</w:t>
        </w:r>
        <w:r w:rsidR="00906382">
          <w:rPr>
            <w:noProof/>
            <w:webHidden/>
          </w:rPr>
          <w:fldChar w:fldCharType="end"/>
        </w:r>
      </w:hyperlink>
    </w:p>
    <w:p w14:paraId="6F85D5B7" w14:textId="7C5AAC19" w:rsidR="00906382" w:rsidRDefault="00521D6E">
      <w:pPr>
        <w:pStyle w:val="TDC3"/>
        <w:rPr>
          <w:rFonts w:asciiTheme="minorHAnsi" w:eastAsiaTheme="minorEastAsia" w:hAnsiTheme="minorHAnsi" w:cstheme="minorBidi"/>
          <w:noProof/>
          <w:sz w:val="22"/>
          <w:szCs w:val="22"/>
          <w:lang w:val="es-CO" w:eastAsia="es-CO"/>
        </w:rPr>
      </w:pPr>
      <w:hyperlink w:anchor="_Toc59377866" w:history="1">
        <w:r w:rsidR="00906382" w:rsidRPr="00614B4E">
          <w:rPr>
            <w:rStyle w:val="Hipervnculo"/>
            <w:rFonts w:cs="Arial"/>
            <w:b/>
            <w:noProof/>
          </w:rPr>
          <w:t>7.2.3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Inversiones en Controladas, en Asociadas, en Acuerdos Conjuntos y en Entidades en Liquidación</w:t>
        </w:r>
        <w:r w:rsidR="00906382">
          <w:rPr>
            <w:noProof/>
            <w:webHidden/>
          </w:rPr>
          <w:tab/>
        </w:r>
        <w:r w:rsidR="00906382">
          <w:rPr>
            <w:noProof/>
            <w:webHidden/>
          </w:rPr>
          <w:fldChar w:fldCharType="begin"/>
        </w:r>
        <w:r w:rsidR="00906382">
          <w:rPr>
            <w:noProof/>
            <w:webHidden/>
          </w:rPr>
          <w:instrText xml:space="preserve"> PAGEREF _Toc59377866 \h </w:instrText>
        </w:r>
        <w:r w:rsidR="00906382">
          <w:rPr>
            <w:noProof/>
            <w:webHidden/>
          </w:rPr>
        </w:r>
        <w:r w:rsidR="00906382">
          <w:rPr>
            <w:noProof/>
            <w:webHidden/>
          </w:rPr>
          <w:fldChar w:fldCharType="separate"/>
        </w:r>
        <w:r w:rsidR="00906382">
          <w:rPr>
            <w:noProof/>
            <w:webHidden/>
          </w:rPr>
          <w:t>100</w:t>
        </w:r>
        <w:r w:rsidR="00906382">
          <w:rPr>
            <w:noProof/>
            <w:webHidden/>
          </w:rPr>
          <w:fldChar w:fldCharType="end"/>
        </w:r>
      </w:hyperlink>
    </w:p>
    <w:p w14:paraId="7C64B7BA" w14:textId="6A5A3595" w:rsidR="00906382" w:rsidRDefault="00521D6E">
      <w:pPr>
        <w:pStyle w:val="TDC3"/>
        <w:rPr>
          <w:rFonts w:asciiTheme="minorHAnsi" w:eastAsiaTheme="minorEastAsia" w:hAnsiTheme="minorHAnsi" w:cstheme="minorBidi"/>
          <w:noProof/>
          <w:sz w:val="22"/>
          <w:szCs w:val="22"/>
          <w:lang w:val="es-CO" w:eastAsia="es-CO"/>
        </w:rPr>
      </w:pPr>
      <w:hyperlink w:anchor="_Toc59377867" w:history="1">
        <w:r w:rsidR="00906382" w:rsidRPr="00614B4E">
          <w:rPr>
            <w:rStyle w:val="Hipervnculo"/>
            <w:rFonts w:cs="Arial"/>
            <w:b/>
            <w:noProof/>
          </w:rPr>
          <w:t>7.2.4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Cuentas por Cobrar</w:t>
        </w:r>
        <w:r w:rsidR="00906382">
          <w:rPr>
            <w:noProof/>
            <w:webHidden/>
          </w:rPr>
          <w:tab/>
        </w:r>
        <w:r w:rsidR="00906382">
          <w:rPr>
            <w:noProof/>
            <w:webHidden/>
          </w:rPr>
          <w:fldChar w:fldCharType="begin"/>
        </w:r>
        <w:r w:rsidR="00906382">
          <w:rPr>
            <w:noProof/>
            <w:webHidden/>
          </w:rPr>
          <w:instrText xml:space="preserve"> PAGEREF _Toc59377867 \h </w:instrText>
        </w:r>
        <w:r w:rsidR="00906382">
          <w:rPr>
            <w:noProof/>
            <w:webHidden/>
          </w:rPr>
        </w:r>
        <w:r w:rsidR="00906382">
          <w:rPr>
            <w:noProof/>
            <w:webHidden/>
          </w:rPr>
          <w:fldChar w:fldCharType="separate"/>
        </w:r>
        <w:r w:rsidR="00906382">
          <w:rPr>
            <w:noProof/>
            <w:webHidden/>
          </w:rPr>
          <w:t>101</w:t>
        </w:r>
        <w:r w:rsidR="00906382">
          <w:rPr>
            <w:noProof/>
            <w:webHidden/>
          </w:rPr>
          <w:fldChar w:fldCharType="end"/>
        </w:r>
      </w:hyperlink>
    </w:p>
    <w:p w14:paraId="3EE94A4A" w14:textId="1F5F63A0" w:rsidR="00906382" w:rsidRDefault="00521D6E">
      <w:pPr>
        <w:pStyle w:val="TDC3"/>
        <w:rPr>
          <w:rFonts w:asciiTheme="minorHAnsi" w:eastAsiaTheme="minorEastAsia" w:hAnsiTheme="minorHAnsi" w:cstheme="minorBidi"/>
          <w:noProof/>
          <w:sz w:val="22"/>
          <w:szCs w:val="22"/>
          <w:lang w:val="es-CO" w:eastAsia="es-CO"/>
        </w:rPr>
      </w:pPr>
      <w:hyperlink w:anchor="_Toc59377868" w:history="1">
        <w:r w:rsidR="00906382" w:rsidRPr="00614B4E">
          <w:rPr>
            <w:rStyle w:val="Hipervnculo"/>
            <w:rFonts w:cs="Arial"/>
            <w:b/>
            <w:noProof/>
          </w:rPr>
          <w:t>7.2.5</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Préstamos por Cobrar</w:t>
        </w:r>
        <w:r w:rsidR="00906382">
          <w:rPr>
            <w:noProof/>
            <w:webHidden/>
          </w:rPr>
          <w:tab/>
        </w:r>
        <w:r w:rsidR="00906382">
          <w:rPr>
            <w:noProof/>
            <w:webHidden/>
          </w:rPr>
          <w:fldChar w:fldCharType="begin"/>
        </w:r>
        <w:r w:rsidR="00906382">
          <w:rPr>
            <w:noProof/>
            <w:webHidden/>
          </w:rPr>
          <w:instrText xml:space="preserve"> PAGEREF _Toc59377868 \h </w:instrText>
        </w:r>
        <w:r w:rsidR="00906382">
          <w:rPr>
            <w:noProof/>
            <w:webHidden/>
          </w:rPr>
        </w:r>
        <w:r w:rsidR="00906382">
          <w:rPr>
            <w:noProof/>
            <w:webHidden/>
          </w:rPr>
          <w:fldChar w:fldCharType="separate"/>
        </w:r>
        <w:r w:rsidR="00906382">
          <w:rPr>
            <w:noProof/>
            <w:webHidden/>
          </w:rPr>
          <w:t>103</w:t>
        </w:r>
        <w:r w:rsidR="00906382">
          <w:rPr>
            <w:noProof/>
            <w:webHidden/>
          </w:rPr>
          <w:fldChar w:fldCharType="end"/>
        </w:r>
      </w:hyperlink>
    </w:p>
    <w:p w14:paraId="16D3CC22" w14:textId="18986D59" w:rsidR="00906382" w:rsidRDefault="00521D6E">
      <w:pPr>
        <w:pStyle w:val="TDC3"/>
        <w:rPr>
          <w:rFonts w:asciiTheme="minorHAnsi" w:eastAsiaTheme="minorEastAsia" w:hAnsiTheme="minorHAnsi" w:cstheme="minorBidi"/>
          <w:noProof/>
          <w:sz w:val="22"/>
          <w:szCs w:val="22"/>
          <w:lang w:val="es-CO" w:eastAsia="es-CO"/>
        </w:rPr>
      </w:pPr>
      <w:hyperlink w:anchor="_Toc59377869" w:history="1">
        <w:r w:rsidR="00906382" w:rsidRPr="00614B4E">
          <w:rPr>
            <w:rStyle w:val="Hipervnculo"/>
            <w:rFonts w:cs="Arial"/>
            <w:b/>
            <w:noProof/>
          </w:rPr>
          <w:t>7.2.6</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Propiedades, Planta y Equipo</w:t>
        </w:r>
        <w:r w:rsidR="00906382">
          <w:rPr>
            <w:noProof/>
            <w:webHidden/>
          </w:rPr>
          <w:tab/>
        </w:r>
        <w:r w:rsidR="00906382">
          <w:rPr>
            <w:noProof/>
            <w:webHidden/>
          </w:rPr>
          <w:fldChar w:fldCharType="begin"/>
        </w:r>
        <w:r w:rsidR="00906382">
          <w:rPr>
            <w:noProof/>
            <w:webHidden/>
          </w:rPr>
          <w:instrText xml:space="preserve"> PAGEREF _Toc59377869 \h </w:instrText>
        </w:r>
        <w:r w:rsidR="00906382">
          <w:rPr>
            <w:noProof/>
            <w:webHidden/>
          </w:rPr>
        </w:r>
        <w:r w:rsidR="00906382">
          <w:rPr>
            <w:noProof/>
            <w:webHidden/>
          </w:rPr>
          <w:fldChar w:fldCharType="separate"/>
        </w:r>
        <w:r w:rsidR="00906382">
          <w:rPr>
            <w:noProof/>
            <w:webHidden/>
          </w:rPr>
          <w:t>104</w:t>
        </w:r>
        <w:r w:rsidR="00906382">
          <w:rPr>
            <w:noProof/>
            <w:webHidden/>
          </w:rPr>
          <w:fldChar w:fldCharType="end"/>
        </w:r>
      </w:hyperlink>
    </w:p>
    <w:p w14:paraId="564AE042" w14:textId="7D41E071" w:rsidR="00906382" w:rsidRDefault="00521D6E">
      <w:pPr>
        <w:pStyle w:val="TDC3"/>
        <w:rPr>
          <w:rFonts w:asciiTheme="minorHAnsi" w:eastAsiaTheme="minorEastAsia" w:hAnsiTheme="minorHAnsi" w:cstheme="minorBidi"/>
          <w:noProof/>
          <w:sz w:val="22"/>
          <w:szCs w:val="22"/>
          <w:lang w:val="es-CO" w:eastAsia="es-CO"/>
        </w:rPr>
      </w:pPr>
      <w:hyperlink w:anchor="_Toc59377870" w:history="1">
        <w:r w:rsidR="00906382" w:rsidRPr="00614B4E">
          <w:rPr>
            <w:rStyle w:val="Hipervnculo"/>
            <w:rFonts w:cs="Arial"/>
            <w:b/>
            <w:noProof/>
          </w:rPr>
          <w:t>7.2.7</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Activos intangibles</w:t>
        </w:r>
        <w:r w:rsidR="00906382">
          <w:rPr>
            <w:noProof/>
            <w:webHidden/>
          </w:rPr>
          <w:tab/>
        </w:r>
        <w:r w:rsidR="00906382">
          <w:rPr>
            <w:noProof/>
            <w:webHidden/>
          </w:rPr>
          <w:fldChar w:fldCharType="begin"/>
        </w:r>
        <w:r w:rsidR="00906382">
          <w:rPr>
            <w:noProof/>
            <w:webHidden/>
          </w:rPr>
          <w:instrText xml:space="preserve"> PAGEREF _Toc59377870 \h </w:instrText>
        </w:r>
        <w:r w:rsidR="00906382">
          <w:rPr>
            <w:noProof/>
            <w:webHidden/>
          </w:rPr>
        </w:r>
        <w:r w:rsidR="00906382">
          <w:rPr>
            <w:noProof/>
            <w:webHidden/>
          </w:rPr>
          <w:fldChar w:fldCharType="separate"/>
        </w:r>
        <w:r w:rsidR="00906382">
          <w:rPr>
            <w:noProof/>
            <w:webHidden/>
          </w:rPr>
          <w:t>107</w:t>
        </w:r>
        <w:r w:rsidR="00906382">
          <w:rPr>
            <w:noProof/>
            <w:webHidden/>
          </w:rPr>
          <w:fldChar w:fldCharType="end"/>
        </w:r>
      </w:hyperlink>
    </w:p>
    <w:p w14:paraId="118A2EC1" w14:textId="254639A6" w:rsidR="00906382" w:rsidRDefault="00521D6E">
      <w:pPr>
        <w:pStyle w:val="TDC3"/>
        <w:rPr>
          <w:rFonts w:asciiTheme="minorHAnsi" w:eastAsiaTheme="minorEastAsia" w:hAnsiTheme="minorHAnsi" w:cstheme="minorBidi"/>
          <w:noProof/>
          <w:sz w:val="22"/>
          <w:szCs w:val="22"/>
          <w:lang w:val="es-CO" w:eastAsia="es-CO"/>
        </w:rPr>
      </w:pPr>
      <w:hyperlink w:anchor="_Toc59377871" w:history="1">
        <w:r w:rsidR="00906382" w:rsidRPr="00614B4E">
          <w:rPr>
            <w:rStyle w:val="Hipervnculo"/>
            <w:rFonts w:cs="Arial"/>
            <w:b/>
            <w:noProof/>
            <w:lang w:val="es-ES_tradnl"/>
          </w:rPr>
          <w:t>7.2.8</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lang w:val="es-ES_tradnl"/>
          </w:rPr>
          <w:t>Anticipos y bienes y servicios pagados por anticipado</w:t>
        </w:r>
        <w:r w:rsidR="00906382">
          <w:rPr>
            <w:noProof/>
            <w:webHidden/>
          </w:rPr>
          <w:tab/>
        </w:r>
        <w:r w:rsidR="00906382">
          <w:rPr>
            <w:noProof/>
            <w:webHidden/>
          </w:rPr>
          <w:fldChar w:fldCharType="begin"/>
        </w:r>
        <w:r w:rsidR="00906382">
          <w:rPr>
            <w:noProof/>
            <w:webHidden/>
          </w:rPr>
          <w:instrText xml:space="preserve"> PAGEREF _Toc59377871 \h </w:instrText>
        </w:r>
        <w:r w:rsidR="00906382">
          <w:rPr>
            <w:noProof/>
            <w:webHidden/>
          </w:rPr>
        </w:r>
        <w:r w:rsidR="00906382">
          <w:rPr>
            <w:noProof/>
            <w:webHidden/>
          </w:rPr>
          <w:fldChar w:fldCharType="separate"/>
        </w:r>
        <w:r w:rsidR="00906382">
          <w:rPr>
            <w:noProof/>
            <w:webHidden/>
          </w:rPr>
          <w:t>109</w:t>
        </w:r>
        <w:r w:rsidR="00906382">
          <w:rPr>
            <w:noProof/>
            <w:webHidden/>
          </w:rPr>
          <w:fldChar w:fldCharType="end"/>
        </w:r>
      </w:hyperlink>
    </w:p>
    <w:p w14:paraId="7D304F5E" w14:textId="5F6D6092" w:rsidR="00906382" w:rsidRDefault="00521D6E">
      <w:pPr>
        <w:pStyle w:val="TDC3"/>
        <w:rPr>
          <w:rFonts w:asciiTheme="minorHAnsi" w:eastAsiaTheme="minorEastAsia" w:hAnsiTheme="minorHAnsi" w:cstheme="minorBidi"/>
          <w:noProof/>
          <w:sz w:val="22"/>
          <w:szCs w:val="22"/>
          <w:lang w:val="es-CO" w:eastAsia="es-CO"/>
        </w:rPr>
      </w:pPr>
      <w:hyperlink w:anchor="_Toc59377872" w:history="1">
        <w:r w:rsidR="00906382" w:rsidRPr="00614B4E">
          <w:rPr>
            <w:rStyle w:val="Hipervnculo"/>
            <w:rFonts w:cs="Arial"/>
            <w:b/>
            <w:noProof/>
            <w:lang w:val="es-ES_tradnl"/>
          </w:rPr>
          <w:t>7.2.9</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lang w:val="es-ES_tradnl"/>
          </w:rPr>
          <w:t>Recursos entregados en administración y derechos en fideicomiso</w:t>
        </w:r>
        <w:r w:rsidR="00906382">
          <w:rPr>
            <w:noProof/>
            <w:webHidden/>
          </w:rPr>
          <w:tab/>
        </w:r>
        <w:r w:rsidR="00906382">
          <w:rPr>
            <w:noProof/>
            <w:webHidden/>
          </w:rPr>
          <w:fldChar w:fldCharType="begin"/>
        </w:r>
        <w:r w:rsidR="00906382">
          <w:rPr>
            <w:noProof/>
            <w:webHidden/>
          </w:rPr>
          <w:instrText xml:space="preserve"> PAGEREF _Toc59377872 \h </w:instrText>
        </w:r>
        <w:r w:rsidR="00906382">
          <w:rPr>
            <w:noProof/>
            <w:webHidden/>
          </w:rPr>
        </w:r>
        <w:r w:rsidR="00906382">
          <w:rPr>
            <w:noProof/>
            <w:webHidden/>
          </w:rPr>
          <w:fldChar w:fldCharType="separate"/>
        </w:r>
        <w:r w:rsidR="00906382">
          <w:rPr>
            <w:noProof/>
            <w:webHidden/>
          </w:rPr>
          <w:t>110</w:t>
        </w:r>
        <w:r w:rsidR="00906382">
          <w:rPr>
            <w:noProof/>
            <w:webHidden/>
          </w:rPr>
          <w:fldChar w:fldCharType="end"/>
        </w:r>
      </w:hyperlink>
    </w:p>
    <w:p w14:paraId="4161BE43" w14:textId="1658842D" w:rsidR="00906382" w:rsidRDefault="00521D6E">
      <w:pPr>
        <w:pStyle w:val="TDC3"/>
        <w:rPr>
          <w:rFonts w:asciiTheme="minorHAnsi" w:eastAsiaTheme="minorEastAsia" w:hAnsiTheme="minorHAnsi" w:cstheme="minorBidi"/>
          <w:noProof/>
          <w:sz w:val="22"/>
          <w:szCs w:val="22"/>
          <w:lang w:val="es-CO" w:eastAsia="es-CO"/>
        </w:rPr>
      </w:pPr>
      <w:hyperlink w:anchor="_Toc59377873" w:history="1">
        <w:r w:rsidR="00906382" w:rsidRPr="00614B4E">
          <w:rPr>
            <w:rStyle w:val="Hipervnculo"/>
            <w:rFonts w:cs="Arial"/>
            <w:b/>
            <w:noProof/>
            <w:lang w:val="es-ES_tradnl"/>
          </w:rPr>
          <w:t>7.2.10</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lang w:val="es-ES_tradnl"/>
          </w:rPr>
          <w:t>Deterioro de Valor de los activos Generadores de Efectivo</w:t>
        </w:r>
        <w:r w:rsidR="00906382">
          <w:rPr>
            <w:noProof/>
            <w:webHidden/>
          </w:rPr>
          <w:tab/>
        </w:r>
        <w:r w:rsidR="00906382">
          <w:rPr>
            <w:noProof/>
            <w:webHidden/>
          </w:rPr>
          <w:fldChar w:fldCharType="begin"/>
        </w:r>
        <w:r w:rsidR="00906382">
          <w:rPr>
            <w:noProof/>
            <w:webHidden/>
          </w:rPr>
          <w:instrText xml:space="preserve"> PAGEREF _Toc59377873 \h </w:instrText>
        </w:r>
        <w:r w:rsidR="00906382">
          <w:rPr>
            <w:noProof/>
            <w:webHidden/>
          </w:rPr>
        </w:r>
        <w:r w:rsidR="00906382">
          <w:rPr>
            <w:noProof/>
            <w:webHidden/>
          </w:rPr>
          <w:fldChar w:fldCharType="separate"/>
        </w:r>
        <w:r w:rsidR="00906382">
          <w:rPr>
            <w:noProof/>
            <w:webHidden/>
          </w:rPr>
          <w:t>110</w:t>
        </w:r>
        <w:r w:rsidR="00906382">
          <w:rPr>
            <w:noProof/>
            <w:webHidden/>
          </w:rPr>
          <w:fldChar w:fldCharType="end"/>
        </w:r>
      </w:hyperlink>
    </w:p>
    <w:p w14:paraId="5DCCE695" w14:textId="74240BAC" w:rsidR="00906382" w:rsidRDefault="00521D6E">
      <w:pPr>
        <w:pStyle w:val="TDC3"/>
        <w:rPr>
          <w:rFonts w:asciiTheme="minorHAnsi" w:eastAsiaTheme="minorEastAsia" w:hAnsiTheme="minorHAnsi" w:cstheme="minorBidi"/>
          <w:noProof/>
          <w:sz w:val="22"/>
          <w:szCs w:val="22"/>
          <w:lang w:val="es-CO" w:eastAsia="es-CO"/>
        </w:rPr>
      </w:pPr>
      <w:hyperlink w:anchor="_Toc59377874" w:history="1">
        <w:r w:rsidR="00906382" w:rsidRPr="00614B4E">
          <w:rPr>
            <w:rStyle w:val="Hipervnculo"/>
            <w:rFonts w:cs="Arial"/>
            <w:b/>
            <w:noProof/>
          </w:rPr>
          <w:t>7.2.11</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Deterioro de Valor de los activos No Generadores de Efectivo</w:t>
        </w:r>
        <w:r w:rsidR="00906382">
          <w:rPr>
            <w:noProof/>
            <w:webHidden/>
          </w:rPr>
          <w:tab/>
        </w:r>
        <w:r w:rsidR="00906382">
          <w:rPr>
            <w:noProof/>
            <w:webHidden/>
          </w:rPr>
          <w:fldChar w:fldCharType="begin"/>
        </w:r>
        <w:r w:rsidR="00906382">
          <w:rPr>
            <w:noProof/>
            <w:webHidden/>
          </w:rPr>
          <w:instrText xml:space="preserve"> PAGEREF _Toc59377874 \h </w:instrText>
        </w:r>
        <w:r w:rsidR="00906382">
          <w:rPr>
            <w:noProof/>
            <w:webHidden/>
          </w:rPr>
        </w:r>
        <w:r w:rsidR="00906382">
          <w:rPr>
            <w:noProof/>
            <w:webHidden/>
          </w:rPr>
          <w:fldChar w:fldCharType="separate"/>
        </w:r>
        <w:r w:rsidR="00906382">
          <w:rPr>
            <w:noProof/>
            <w:webHidden/>
          </w:rPr>
          <w:t>111</w:t>
        </w:r>
        <w:r w:rsidR="00906382">
          <w:rPr>
            <w:noProof/>
            <w:webHidden/>
          </w:rPr>
          <w:fldChar w:fldCharType="end"/>
        </w:r>
      </w:hyperlink>
    </w:p>
    <w:p w14:paraId="18B6BE98" w14:textId="3ACD33FF" w:rsidR="00906382" w:rsidRDefault="00521D6E">
      <w:pPr>
        <w:pStyle w:val="TDC3"/>
        <w:rPr>
          <w:rFonts w:asciiTheme="minorHAnsi" w:eastAsiaTheme="minorEastAsia" w:hAnsiTheme="minorHAnsi" w:cstheme="minorBidi"/>
          <w:noProof/>
          <w:sz w:val="22"/>
          <w:szCs w:val="22"/>
          <w:lang w:val="es-CO" w:eastAsia="es-CO"/>
        </w:rPr>
      </w:pPr>
      <w:hyperlink w:anchor="_Toc59377875" w:history="1">
        <w:r w:rsidR="00906382" w:rsidRPr="00614B4E">
          <w:rPr>
            <w:rStyle w:val="Hipervnculo"/>
            <w:rFonts w:cs="Arial"/>
            <w:b/>
            <w:noProof/>
          </w:rPr>
          <w:t>7.2.12</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Cuentas por pagar</w:t>
        </w:r>
        <w:r w:rsidR="00906382">
          <w:rPr>
            <w:noProof/>
            <w:webHidden/>
          </w:rPr>
          <w:tab/>
        </w:r>
        <w:r w:rsidR="00906382">
          <w:rPr>
            <w:noProof/>
            <w:webHidden/>
          </w:rPr>
          <w:fldChar w:fldCharType="begin"/>
        </w:r>
        <w:r w:rsidR="00906382">
          <w:rPr>
            <w:noProof/>
            <w:webHidden/>
          </w:rPr>
          <w:instrText xml:space="preserve"> PAGEREF _Toc59377875 \h </w:instrText>
        </w:r>
        <w:r w:rsidR="00906382">
          <w:rPr>
            <w:noProof/>
            <w:webHidden/>
          </w:rPr>
        </w:r>
        <w:r w:rsidR="00906382">
          <w:rPr>
            <w:noProof/>
            <w:webHidden/>
          </w:rPr>
          <w:fldChar w:fldCharType="separate"/>
        </w:r>
        <w:r w:rsidR="00906382">
          <w:rPr>
            <w:noProof/>
            <w:webHidden/>
          </w:rPr>
          <w:t>112</w:t>
        </w:r>
        <w:r w:rsidR="00906382">
          <w:rPr>
            <w:noProof/>
            <w:webHidden/>
          </w:rPr>
          <w:fldChar w:fldCharType="end"/>
        </w:r>
      </w:hyperlink>
    </w:p>
    <w:p w14:paraId="35BA863D" w14:textId="4FEC98CF" w:rsidR="00906382" w:rsidRDefault="00521D6E">
      <w:pPr>
        <w:pStyle w:val="TDC3"/>
        <w:rPr>
          <w:rFonts w:asciiTheme="minorHAnsi" w:eastAsiaTheme="minorEastAsia" w:hAnsiTheme="minorHAnsi" w:cstheme="minorBidi"/>
          <w:noProof/>
          <w:sz w:val="22"/>
          <w:szCs w:val="22"/>
          <w:lang w:val="es-CO" w:eastAsia="es-CO"/>
        </w:rPr>
      </w:pPr>
      <w:hyperlink w:anchor="_Toc59377876" w:history="1">
        <w:r w:rsidR="00906382" w:rsidRPr="00614B4E">
          <w:rPr>
            <w:rStyle w:val="Hipervnculo"/>
            <w:rFonts w:cs="Arial"/>
            <w:b/>
            <w:noProof/>
          </w:rPr>
          <w:t>7.2.13</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Préstamos por pagar</w:t>
        </w:r>
        <w:r w:rsidR="00906382">
          <w:rPr>
            <w:noProof/>
            <w:webHidden/>
          </w:rPr>
          <w:tab/>
        </w:r>
        <w:r w:rsidR="00906382">
          <w:rPr>
            <w:noProof/>
            <w:webHidden/>
          </w:rPr>
          <w:fldChar w:fldCharType="begin"/>
        </w:r>
        <w:r w:rsidR="00906382">
          <w:rPr>
            <w:noProof/>
            <w:webHidden/>
          </w:rPr>
          <w:instrText xml:space="preserve"> PAGEREF _Toc59377876 \h </w:instrText>
        </w:r>
        <w:r w:rsidR="00906382">
          <w:rPr>
            <w:noProof/>
            <w:webHidden/>
          </w:rPr>
        </w:r>
        <w:r w:rsidR="00906382">
          <w:rPr>
            <w:noProof/>
            <w:webHidden/>
          </w:rPr>
          <w:fldChar w:fldCharType="separate"/>
        </w:r>
        <w:r w:rsidR="00906382">
          <w:rPr>
            <w:noProof/>
            <w:webHidden/>
          </w:rPr>
          <w:t>114</w:t>
        </w:r>
        <w:r w:rsidR="00906382">
          <w:rPr>
            <w:noProof/>
            <w:webHidden/>
          </w:rPr>
          <w:fldChar w:fldCharType="end"/>
        </w:r>
      </w:hyperlink>
    </w:p>
    <w:p w14:paraId="4FBCB4C4" w14:textId="6520C3C7" w:rsidR="00906382" w:rsidRDefault="00521D6E">
      <w:pPr>
        <w:pStyle w:val="TDC3"/>
        <w:rPr>
          <w:rFonts w:asciiTheme="minorHAnsi" w:eastAsiaTheme="minorEastAsia" w:hAnsiTheme="minorHAnsi" w:cstheme="minorBidi"/>
          <w:noProof/>
          <w:sz w:val="22"/>
          <w:szCs w:val="22"/>
          <w:lang w:val="es-CO" w:eastAsia="es-CO"/>
        </w:rPr>
      </w:pPr>
      <w:hyperlink w:anchor="_Toc59377877" w:history="1">
        <w:r w:rsidR="00906382" w:rsidRPr="00614B4E">
          <w:rPr>
            <w:rStyle w:val="Hipervnculo"/>
            <w:rFonts w:cs="Arial"/>
            <w:b/>
            <w:noProof/>
          </w:rPr>
          <w:t>7.2.14</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Beneficios a los empleados</w:t>
        </w:r>
        <w:r w:rsidR="00906382">
          <w:rPr>
            <w:noProof/>
            <w:webHidden/>
          </w:rPr>
          <w:tab/>
        </w:r>
        <w:r w:rsidR="00906382">
          <w:rPr>
            <w:noProof/>
            <w:webHidden/>
          </w:rPr>
          <w:fldChar w:fldCharType="begin"/>
        </w:r>
        <w:r w:rsidR="00906382">
          <w:rPr>
            <w:noProof/>
            <w:webHidden/>
          </w:rPr>
          <w:instrText xml:space="preserve"> PAGEREF _Toc59377877 \h </w:instrText>
        </w:r>
        <w:r w:rsidR="00906382">
          <w:rPr>
            <w:noProof/>
            <w:webHidden/>
          </w:rPr>
        </w:r>
        <w:r w:rsidR="00906382">
          <w:rPr>
            <w:noProof/>
            <w:webHidden/>
          </w:rPr>
          <w:fldChar w:fldCharType="separate"/>
        </w:r>
        <w:r w:rsidR="00906382">
          <w:rPr>
            <w:noProof/>
            <w:webHidden/>
          </w:rPr>
          <w:t>114</w:t>
        </w:r>
        <w:r w:rsidR="00906382">
          <w:rPr>
            <w:noProof/>
            <w:webHidden/>
          </w:rPr>
          <w:fldChar w:fldCharType="end"/>
        </w:r>
      </w:hyperlink>
    </w:p>
    <w:p w14:paraId="156F9E8B" w14:textId="7C5A9F41" w:rsidR="00906382" w:rsidRDefault="00521D6E">
      <w:pPr>
        <w:pStyle w:val="TDC3"/>
        <w:rPr>
          <w:rFonts w:asciiTheme="minorHAnsi" w:eastAsiaTheme="minorEastAsia" w:hAnsiTheme="minorHAnsi" w:cstheme="minorBidi"/>
          <w:noProof/>
          <w:sz w:val="22"/>
          <w:szCs w:val="22"/>
          <w:lang w:val="es-CO" w:eastAsia="es-CO"/>
        </w:rPr>
      </w:pPr>
      <w:hyperlink w:anchor="_Toc59377878" w:history="1">
        <w:r w:rsidR="00906382" w:rsidRPr="00614B4E">
          <w:rPr>
            <w:rStyle w:val="Hipervnculo"/>
            <w:rFonts w:cs="Arial"/>
            <w:b/>
            <w:noProof/>
          </w:rPr>
          <w:t>7.2.15</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Provisiones, activos contingentes y pasivos contingentes</w:t>
        </w:r>
        <w:r w:rsidR="00906382">
          <w:rPr>
            <w:noProof/>
            <w:webHidden/>
          </w:rPr>
          <w:tab/>
        </w:r>
        <w:r w:rsidR="00906382">
          <w:rPr>
            <w:noProof/>
            <w:webHidden/>
          </w:rPr>
          <w:fldChar w:fldCharType="begin"/>
        </w:r>
        <w:r w:rsidR="00906382">
          <w:rPr>
            <w:noProof/>
            <w:webHidden/>
          </w:rPr>
          <w:instrText xml:space="preserve"> PAGEREF _Toc59377878 \h </w:instrText>
        </w:r>
        <w:r w:rsidR="00906382">
          <w:rPr>
            <w:noProof/>
            <w:webHidden/>
          </w:rPr>
        </w:r>
        <w:r w:rsidR="00906382">
          <w:rPr>
            <w:noProof/>
            <w:webHidden/>
          </w:rPr>
          <w:fldChar w:fldCharType="separate"/>
        </w:r>
        <w:r w:rsidR="00906382">
          <w:rPr>
            <w:noProof/>
            <w:webHidden/>
          </w:rPr>
          <w:t>115</w:t>
        </w:r>
        <w:r w:rsidR="00906382">
          <w:rPr>
            <w:noProof/>
            <w:webHidden/>
          </w:rPr>
          <w:fldChar w:fldCharType="end"/>
        </w:r>
      </w:hyperlink>
    </w:p>
    <w:p w14:paraId="7621FE14" w14:textId="6D39F876" w:rsidR="00906382" w:rsidRDefault="00521D6E">
      <w:pPr>
        <w:pStyle w:val="TDC3"/>
        <w:rPr>
          <w:rFonts w:asciiTheme="minorHAnsi" w:eastAsiaTheme="minorEastAsia" w:hAnsiTheme="minorHAnsi" w:cstheme="minorBidi"/>
          <w:noProof/>
          <w:sz w:val="22"/>
          <w:szCs w:val="22"/>
          <w:lang w:val="es-CO" w:eastAsia="es-CO"/>
        </w:rPr>
      </w:pPr>
      <w:hyperlink w:anchor="_Toc59377879" w:history="1">
        <w:r w:rsidR="00906382" w:rsidRPr="00614B4E">
          <w:rPr>
            <w:rStyle w:val="Hipervnculo"/>
            <w:rFonts w:cs="Arial"/>
            <w:b/>
            <w:noProof/>
          </w:rPr>
          <w:t>7.2.16</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Otros pasivos</w:t>
        </w:r>
        <w:r w:rsidR="00906382">
          <w:rPr>
            <w:noProof/>
            <w:webHidden/>
          </w:rPr>
          <w:tab/>
        </w:r>
        <w:r w:rsidR="00906382">
          <w:rPr>
            <w:noProof/>
            <w:webHidden/>
          </w:rPr>
          <w:fldChar w:fldCharType="begin"/>
        </w:r>
        <w:r w:rsidR="00906382">
          <w:rPr>
            <w:noProof/>
            <w:webHidden/>
          </w:rPr>
          <w:instrText xml:space="preserve"> PAGEREF _Toc59377879 \h </w:instrText>
        </w:r>
        <w:r w:rsidR="00906382">
          <w:rPr>
            <w:noProof/>
            <w:webHidden/>
          </w:rPr>
        </w:r>
        <w:r w:rsidR="00906382">
          <w:rPr>
            <w:noProof/>
            <w:webHidden/>
          </w:rPr>
          <w:fldChar w:fldCharType="separate"/>
        </w:r>
        <w:r w:rsidR="00906382">
          <w:rPr>
            <w:noProof/>
            <w:webHidden/>
          </w:rPr>
          <w:t>117</w:t>
        </w:r>
        <w:r w:rsidR="00906382">
          <w:rPr>
            <w:noProof/>
            <w:webHidden/>
          </w:rPr>
          <w:fldChar w:fldCharType="end"/>
        </w:r>
      </w:hyperlink>
    </w:p>
    <w:p w14:paraId="111D3F54" w14:textId="08887A9C" w:rsidR="00906382" w:rsidRDefault="00521D6E">
      <w:pPr>
        <w:pStyle w:val="TDC3"/>
        <w:rPr>
          <w:rFonts w:asciiTheme="minorHAnsi" w:eastAsiaTheme="minorEastAsia" w:hAnsiTheme="minorHAnsi" w:cstheme="minorBidi"/>
          <w:noProof/>
          <w:sz w:val="22"/>
          <w:szCs w:val="22"/>
          <w:lang w:val="es-CO" w:eastAsia="es-CO"/>
        </w:rPr>
      </w:pPr>
      <w:hyperlink w:anchor="_Toc59377880" w:history="1">
        <w:r w:rsidR="00906382" w:rsidRPr="00614B4E">
          <w:rPr>
            <w:rStyle w:val="Hipervnculo"/>
            <w:rFonts w:cs="Arial"/>
            <w:b/>
            <w:noProof/>
          </w:rPr>
          <w:t>7.2.17</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Ingresos de Transacciones sin contraprestación y con contraprestación</w:t>
        </w:r>
        <w:r w:rsidR="00906382">
          <w:rPr>
            <w:noProof/>
            <w:webHidden/>
          </w:rPr>
          <w:tab/>
        </w:r>
        <w:r w:rsidR="00906382">
          <w:rPr>
            <w:noProof/>
            <w:webHidden/>
          </w:rPr>
          <w:fldChar w:fldCharType="begin"/>
        </w:r>
        <w:r w:rsidR="00906382">
          <w:rPr>
            <w:noProof/>
            <w:webHidden/>
          </w:rPr>
          <w:instrText xml:space="preserve"> PAGEREF _Toc59377880 \h </w:instrText>
        </w:r>
        <w:r w:rsidR="00906382">
          <w:rPr>
            <w:noProof/>
            <w:webHidden/>
          </w:rPr>
        </w:r>
        <w:r w:rsidR="00906382">
          <w:rPr>
            <w:noProof/>
            <w:webHidden/>
          </w:rPr>
          <w:fldChar w:fldCharType="separate"/>
        </w:r>
        <w:r w:rsidR="00906382">
          <w:rPr>
            <w:noProof/>
            <w:webHidden/>
          </w:rPr>
          <w:t>117</w:t>
        </w:r>
        <w:r w:rsidR="00906382">
          <w:rPr>
            <w:noProof/>
            <w:webHidden/>
          </w:rPr>
          <w:fldChar w:fldCharType="end"/>
        </w:r>
      </w:hyperlink>
    </w:p>
    <w:p w14:paraId="2A1328F2" w14:textId="5890FE1F" w:rsidR="00906382" w:rsidRDefault="00521D6E">
      <w:pPr>
        <w:pStyle w:val="TDC3"/>
        <w:rPr>
          <w:rFonts w:asciiTheme="minorHAnsi" w:eastAsiaTheme="minorEastAsia" w:hAnsiTheme="minorHAnsi" w:cstheme="minorBidi"/>
          <w:noProof/>
          <w:sz w:val="22"/>
          <w:szCs w:val="22"/>
          <w:lang w:val="es-CO" w:eastAsia="es-CO"/>
        </w:rPr>
      </w:pPr>
      <w:hyperlink w:anchor="_Toc59377881" w:history="1">
        <w:r w:rsidR="00906382" w:rsidRPr="00614B4E">
          <w:rPr>
            <w:rStyle w:val="Hipervnculo"/>
            <w:rFonts w:cs="Arial"/>
            <w:b/>
            <w:noProof/>
          </w:rPr>
          <w:t>7.2.18</w:t>
        </w:r>
        <w:r w:rsidR="00906382">
          <w:rPr>
            <w:rFonts w:asciiTheme="minorHAnsi" w:eastAsiaTheme="minorEastAsia" w:hAnsiTheme="minorHAnsi" w:cstheme="minorBidi"/>
            <w:noProof/>
            <w:sz w:val="22"/>
            <w:szCs w:val="22"/>
            <w:lang w:val="es-CO" w:eastAsia="es-CO"/>
          </w:rPr>
          <w:tab/>
        </w:r>
        <w:r w:rsidR="00906382" w:rsidRPr="00614B4E">
          <w:rPr>
            <w:rStyle w:val="Hipervnculo"/>
            <w:rFonts w:cs="Arial"/>
            <w:b/>
            <w:noProof/>
          </w:rPr>
          <w:t>Gastos</w:t>
        </w:r>
        <w:r w:rsidR="00906382">
          <w:rPr>
            <w:noProof/>
            <w:webHidden/>
          </w:rPr>
          <w:tab/>
        </w:r>
        <w:r w:rsidR="00906382">
          <w:rPr>
            <w:noProof/>
            <w:webHidden/>
          </w:rPr>
          <w:fldChar w:fldCharType="begin"/>
        </w:r>
        <w:r w:rsidR="00906382">
          <w:rPr>
            <w:noProof/>
            <w:webHidden/>
          </w:rPr>
          <w:instrText xml:space="preserve"> PAGEREF _Toc59377881 \h </w:instrText>
        </w:r>
        <w:r w:rsidR="00906382">
          <w:rPr>
            <w:noProof/>
            <w:webHidden/>
          </w:rPr>
        </w:r>
        <w:r w:rsidR="00906382">
          <w:rPr>
            <w:noProof/>
            <w:webHidden/>
          </w:rPr>
          <w:fldChar w:fldCharType="separate"/>
        </w:r>
        <w:r w:rsidR="00906382">
          <w:rPr>
            <w:noProof/>
            <w:webHidden/>
          </w:rPr>
          <w:t>118</w:t>
        </w:r>
        <w:r w:rsidR="00906382">
          <w:rPr>
            <w:noProof/>
            <w:webHidden/>
          </w:rPr>
          <w:fldChar w:fldCharType="end"/>
        </w:r>
      </w:hyperlink>
    </w:p>
    <w:p w14:paraId="3C16A4EE" w14:textId="0F902593" w:rsidR="00906382" w:rsidRDefault="00521D6E">
      <w:pPr>
        <w:pStyle w:val="TDC1"/>
        <w:rPr>
          <w:rFonts w:asciiTheme="minorHAnsi" w:eastAsiaTheme="minorEastAsia" w:hAnsiTheme="minorHAnsi" w:cstheme="minorBidi"/>
          <w:b w:val="0"/>
          <w:noProof/>
          <w:sz w:val="22"/>
          <w:szCs w:val="22"/>
          <w:lang w:val="es-CO" w:eastAsia="es-CO"/>
        </w:rPr>
      </w:pPr>
      <w:hyperlink w:anchor="_Toc59377882" w:history="1">
        <w:r w:rsidR="00906382" w:rsidRPr="00614B4E">
          <w:rPr>
            <w:rStyle w:val="Hipervnculo"/>
            <w:bCs/>
            <w:noProof/>
            <w:lang w:eastAsia="es-CO"/>
          </w:rPr>
          <w:t>8.</w:t>
        </w:r>
        <w:r w:rsidR="00906382">
          <w:rPr>
            <w:rFonts w:asciiTheme="minorHAnsi" w:eastAsiaTheme="minorEastAsia" w:hAnsiTheme="minorHAnsi" w:cstheme="minorBidi"/>
            <w:b w:val="0"/>
            <w:noProof/>
            <w:sz w:val="22"/>
            <w:szCs w:val="22"/>
            <w:lang w:val="es-CO" w:eastAsia="es-CO"/>
          </w:rPr>
          <w:tab/>
        </w:r>
        <w:r w:rsidR="00906382" w:rsidRPr="00614B4E">
          <w:rPr>
            <w:rStyle w:val="Hipervnculo"/>
            <w:bCs/>
            <w:noProof/>
            <w:lang w:eastAsia="es-CO"/>
          </w:rPr>
          <w:t>DOCUMENTOS RELACIONADOS</w:t>
        </w:r>
        <w:r w:rsidR="00906382">
          <w:rPr>
            <w:noProof/>
            <w:webHidden/>
          </w:rPr>
          <w:tab/>
        </w:r>
        <w:r w:rsidR="00906382">
          <w:rPr>
            <w:noProof/>
            <w:webHidden/>
          </w:rPr>
          <w:fldChar w:fldCharType="begin"/>
        </w:r>
        <w:r w:rsidR="00906382">
          <w:rPr>
            <w:noProof/>
            <w:webHidden/>
          </w:rPr>
          <w:instrText xml:space="preserve"> PAGEREF _Toc59377882 \h </w:instrText>
        </w:r>
        <w:r w:rsidR="00906382">
          <w:rPr>
            <w:noProof/>
            <w:webHidden/>
          </w:rPr>
        </w:r>
        <w:r w:rsidR="00906382">
          <w:rPr>
            <w:noProof/>
            <w:webHidden/>
          </w:rPr>
          <w:fldChar w:fldCharType="separate"/>
        </w:r>
        <w:r w:rsidR="00906382">
          <w:rPr>
            <w:noProof/>
            <w:webHidden/>
          </w:rPr>
          <w:t>119</w:t>
        </w:r>
        <w:r w:rsidR="00906382">
          <w:rPr>
            <w:noProof/>
            <w:webHidden/>
          </w:rPr>
          <w:fldChar w:fldCharType="end"/>
        </w:r>
      </w:hyperlink>
    </w:p>
    <w:p w14:paraId="4BC21035" w14:textId="51C652E8" w:rsidR="00906382" w:rsidRDefault="00521D6E">
      <w:pPr>
        <w:pStyle w:val="TDC1"/>
        <w:rPr>
          <w:rFonts w:asciiTheme="minorHAnsi" w:eastAsiaTheme="minorEastAsia" w:hAnsiTheme="minorHAnsi" w:cstheme="minorBidi"/>
          <w:b w:val="0"/>
          <w:noProof/>
          <w:sz w:val="22"/>
          <w:szCs w:val="22"/>
          <w:lang w:val="es-CO" w:eastAsia="es-CO"/>
        </w:rPr>
      </w:pPr>
      <w:hyperlink w:anchor="_Toc59377883" w:history="1">
        <w:r w:rsidR="00906382" w:rsidRPr="00614B4E">
          <w:rPr>
            <w:rStyle w:val="Hipervnculo"/>
            <w:bCs/>
            <w:noProof/>
            <w:lang w:eastAsia="es-CO"/>
          </w:rPr>
          <w:t>9.</w:t>
        </w:r>
        <w:r w:rsidR="00906382">
          <w:rPr>
            <w:rFonts w:asciiTheme="minorHAnsi" w:eastAsiaTheme="minorEastAsia" w:hAnsiTheme="minorHAnsi" w:cstheme="minorBidi"/>
            <w:b w:val="0"/>
            <w:noProof/>
            <w:sz w:val="22"/>
            <w:szCs w:val="22"/>
            <w:lang w:val="es-CO" w:eastAsia="es-CO"/>
          </w:rPr>
          <w:tab/>
        </w:r>
        <w:r w:rsidR="00906382" w:rsidRPr="00614B4E">
          <w:rPr>
            <w:rStyle w:val="Hipervnculo"/>
            <w:bCs/>
            <w:noProof/>
            <w:lang w:eastAsia="es-CO"/>
          </w:rPr>
          <w:t>HISTORIAL DE CAMBIOS</w:t>
        </w:r>
        <w:r w:rsidR="00906382">
          <w:rPr>
            <w:noProof/>
            <w:webHidden/>
          </w:rPr>
          <w:tab/>
        </w:r>
        <w:r w:rsidR="00906382">
          <w:rPr>
            <w:noProof/>
            <w:webHidden/>
          </w:rPr>
          <w:fldChar w:fldCharType="begin"/>
        </w:r>
        <w:r w:rsidR="00906382">
          <w:rPr>
            <w:noProof/>
            <w:webHidden/>
          </w:rPr>
          <w:instrText xml:space="preserve"> PAGEREF _Toc59377883 \h </w:instrText>
        </w:r>
        <w:r w:rsidR="00906382">
          <w:rPr>
            <w:noProof/>
            <w:webHidden/>
          </w:rPr>
        </w:r>
        <w:r w:rsidR="00906382">
          <w:rPr>
            <w:noProof/>
            <w:webHidden/>
          </w:rPr>
          <w:fldChar w:fldCharType="separate"/>
        </w:r>
        <w:r w:rsidR="00906382">
          <w:rPr>
            <w:noProof/>
            <w:webHidden/>
          </w:rPr>
          <w:t>120</w:t>
        </w:r>
        <w:r w:rsidR="00906382">
          <w:rPr>
            <w:noProof/>
            <w:webHidden/>
          </w:rPr>
          <w:fldChar w:fldCharType="end"/>
        </w:r>
      </w:hyperlink>
    </w:p>
    <w:p w14:paraId="6EF4A19C" w14:textId="63782291" w:rsidR="00906382" w:rsidRDefault="00521D6E">
      <w:pPr>
        <w:pStyle w:val="TDC1"/>
        <w:rPr>
          <w:rFonts w:asciiTheme="minorHAnsi" w:eastAsiaTheme="minorEastAsia" w:hAnsiTheme="minorHAnsi" w:cstheme="minorBidi"/>
          <w:b w:val="0"/>
          <w:noProof/>
          <w:sz w:val="22"/>
          <w:szCs w:val="22"/>
          <w:lang w:val="es-CO" w:eastAsia="es-CO"/>
        </w:rPr>
      </w:pPr>
      <w:hyperlink w:anchor="_Toc59377884" w:history="1">
        <w:r w:rsidR="00906382" w:rsidRPr="00614B4E">
          <w:rPr>
            <w:rStyle w:val="Hipervnculo"/>
            <w:bCs/>
            <w:noProof/>
            <w:lang w:eastAsia="es-CO"/>
          </w:rPr>
          <w:t>10.</w:t>
        </w:r>
        <w:r w:rsidR="00906382">
          <w:rPr>
            <w:rFonts w:asciiTheme="minorHAnsi" w:eastAsiaTheme="minorEastAsia" w:hAnsiTheme="minorHAnsi" w:cstheme="minorBidi"/>
            <w:b w:val="0"/>
            <w:noProof/>
            <w:sz w:val="22"/>
            <w:szCs w:val="22"/>
            <w:lang w:val="es-CO" w:eastAsia="es-CO"/>
          </w:rPr>
          <w:tab/>
        </w:r>
        <w:r w:rsidR="00906382" w:rsidRPr="00614B4E">
          <w:rPr>
            <w:rStyle w:val="Hipervnculo"/>
            <w:bCs/>
            <w:noProof/>
            <w:lang w:eastAsia="es-CO"/>
          </w:rPr>
          <w:t>APROBACIÓN</w:t>
        </w:r>
        <w:r w:rsidR="00906382">
          <w:rPr>
            <w:noProof/>
            <w:webHidden/>
          </w:rPr>
          <w:tab/>
        </w:r>
        <w:r w:rsidR="00906382">
          <w:rPr>
            <w:noProof/>
            <w:webHidden/>
          </w:rPr>
          <w:fldChar w:fldCharType="begin"/>
        </w:r>
        <w:r w:rsidR="00906382">
          <w:rPr>
            <w:noProof/>
            <w:webHidden/>
          </w:rPr>
          <w:instrText xml:space="preserve"> PAGEREF _Toc59377884 \h </w:instrText>
        </w:r>
        <w:r w:rsidR="00906382">
          <w:rPr>
            <w:noProof/>
            <w:webHidden/>
          </w:rPr>
        </w:r>
        <w:r w:rsidR="00906382">
          <w:rPr>
            <w:noProof/>
            <w:webHidden/>
          </w:rPr>
          <w:fldChar w:fldCharType="separate"/>
        </w:r>
        <w:r w:rsidR="00906382">
          <w:rPr>
            <w:noProof/>
            <w:webHidden/>
          </w:rPr>
          <w:t>121</w:t>
        </w:r>
        <w:r w:rsidR="00906382">
          <w:rPr>
            <w:noProof/>
            <w:webHidden/>
          </w:rPr>
          <w:fldChar w:fldCharType="end"/>
        </w:r>
      </w:hyperlink>
    </w:p>
    <w:p w14:paraId="15630B39" w14:textId="39E8CE24" w:rsidR="0024759A" w:rsidRPr="00290062" w:rsidRDefault="0024759A" w:rsidP="00A606C2">
      <w:pPr>
        <w:rPr>
          <w:rFonts w:ascii="Arial Narrow" w:hAnsi="Arial Narrow"/>
        </w:rPr>
      </w:pPr>
      <w:r w:rsidRPr="00062EEE">
        <w:rPr>
          <w:rFonts w:ascii="Arial" w:hAnsi="Arial" w:cs="Arial"/>
          <w:b/>
          <w:lang w:val="es-MX" w:eastAsia="en-US"/>
        </w:rPr>
        <w:fldChar w:fldCharType="end"/>
      </w:r>
    </w:p>
    <w:p w14:paraId="13B239E4" w14:textId="77777777" w:rsidR="001B042C" w:rsidRPr="00290062" w:rsidRDefault="001B042C" w:rsidP="00A606C2">
      <w:pPr>
        <w:rPr>
          <w:rFonts w:ascii="Arial Narrow" w:hAnsi="Arial Narrow"/>
        </w:rPr>
      </w:pPr>
    </w:p>
    <w:p w14:paraId="37638B70" w14:textId="77777777" w:rsidR="001B042C" w:rsidRPr="00290062" w:rsidRDefault="004234B4" w:rsidP="00A606C2">
      <w:pPr>
        <w:ind w:left="360"/>
        <w:jc w:val="both"/>
        <w:rPr>
          <w:rFonts w:ascii="Arial Narrow" w:hAnsi="Arial Narrow" w:cs="Arial"/>
          <w:b/>
          <w:sz w:val="24"/>
          <w:szCs w:val="24"/>
        </w:rPr>
      </w:pPr>
      <w:r w:rsidRPr="00290062">
        <w:rPr>
          <w:rFonts w:ascii="Arial Narrow" w:hAnsi="Arial Narrow" w:cs="Arial"/>
          <w:b/>
          <w:sz w:val="24"/>
          <w:szCs w:val="24"/>
        </w:rPr>
        <w:br w:type="page"/>
      </w:r>
    </w:p>
    <w:p w14:paraId="39A4098B" w14:textId="77777777" w:rsidR="00CA76B9" w:rsidRDefault="00CA76B9" w:rsidP="00F20A17">
      <w:pPr>
        <w:spacing w:line="288" w:lineRule="auto"/>
        <w:jc w:val="center"/>
        <w:rPr>
          <w:rFonts w:ascii="Arial" w:hAnsi="Arial" w:cs="Arial"/>
          <w:b/>
          <w:sz w:val="22"/>
          <w:szCs w:val="22"/>
        </w:rPr>
      </w:pPr>
    </w:p>
    <w:p w14:paraId="00E91697" w14:textId="0753EC7C" w:rsidR="00C34293" w:rsidRPr="00B80246" w:rsidRDefault="00585748" w:rsidP="00F20A17">
      <w:pPr>
        <w:spacing w:line="288" w:lineRule="auto"/>
        <w:jc w:val="center"/>
        <w:rPr>
          <w:rFonts w:ascii="Arial" w:hAnsi="Arial" w:cs="Arial"/>
          <w:b/>
          <w:sz w:val="22"/>
          <w:szCs w:val="22"/>
        </w:rPr>
      </w:pPr>
      <w:r w:rsidRPr="00B80246">
        <w:rPr>
          <w:rFonts w:ascii="Arial" w:hAnsi="Arial" w:cs="Arial"/>
          <w:b/>
          <w:sz w:val="22"/>
          <w:szCs w:val="22"/>
        </w:rPr>
        <w:t xml:space="preserve">MANUAL </w:t>
      </w:r>
      <w:r w:rsidR="00D7602D" w:rsidRPr="00B80246">
        <w:rPr>
          <w:rFonts w:ascii="Arial" w:hAnsi="Arial" w:cs="Arial"/>
          <w:b/>
          <w:sz w:val="22"/>
          <w:szCs w:val="22"/>
        </w:rPr>
        <w:t xml:space="preserve">OPERATIVO </w:t>
      </w:r>
      <w:r w:rsidRPr="00B80246">
        <w:rPr>
          <w:rFonts w:ascii="Arial" w:hAnsi="Arial" w:cs="Arial"/>
          <w:b/>
          <w:sz w:val="22"/>
          <w:szCs w:val="22"/>
        </w:rPr>
        <w:t>PARA LA GESTIÓN CONTABLE</w:t>
      </w:r>
      <w:bookmarkStart w:id="2" w:name="_Toc181004292"/>
      <w:bookmarkStart w:id="3" w:name="_Toc390675290"/>
      <w:bookmarkStart w:id="4" w:name="_Toc397936239"/>
    </w:p>
    <w:p w14:paraId="09145C9A" w14:textId="77777777" w:rsidR="00A87C66" w:rsidRPr="00B80246" w:rsidRDefault="00A87C66" w:rsidP="00F20A17">
      <w:pPr>
        <w:spacing w:line="288" w:lineRule="auto"/>
        <w:rPr>
          <w:rFonts w:ascii="Arial" w:hAnsi="Arial" w:cs="Arial"/>
          <w:sz w:val="22"/>
          <w:szCs w:val="22"/>
        </w:rPr>
      </w:pPr>
    </w:p>
    <w:p w14:paraId="6D3126D5" w14:textId="77777777" w:rsidR="00D7602D" w:rsidRPr="00B80246" w:rsidRDefault="00D7602D" w:rsidP="00F20A17">
      <w:pPr>
        <w:spacing w:line="288" w:lineRule="auto"/>
        <w:rPr>
          <w:rFonts w:ascii="Arial" w:hAnsi="Arial" w:cs="Arial"/>
          <w:sz w:val="22"/>
          <w:szCs w:val="22"/>
        </w:rPr>
      </w:pPr>
    </w:p>
    <w:p w14:paraId="11ABA923" w14:textId="77777777" w:rsidR="00D7602D" w:rsidRPr="00B80246" w:rsidRDefault="00D7602D" w:rsidP="00EF3D59">
      <w:pPr>
        <w:pStyle w:val="Ttulo1"/>
        <w:numPr>
          <w:ilvl w:val="0"/>
          <w:numId w:val="1"/>
        </w:numPr>
        <w:spacing w:line="288" w:lineRule="auto"/>
        <w:jc w:val="both"/>
        <w:rPr>
          <w:rFonts w:ascii="Arial" w:hAnsi="Arial" w:cs="Arial"/>
          <w:sz w:val="22"/>
          <w:szCs w:val="22"/>
        </w:rPr>
      </w:pPr>
      <w:bookmarkStart w:id="5" w:name="_Toc59377807"/>
      <w:bookmarkStart w:id="6" w:name="_Toc490726939"/>
      <w:bookmarkStart w:id="7" w:name="_Toc490727887"/>
      <w:r w:rsidRPr="00B80246">
        <w:rPr>
          <w:rFonts w:ascii="Arial" w:hAnsi="Arial" w:cs="Arial"/>
          <w:sz w:val="22"/>
          <w:szCs w:val="22"/>
        </w:rPr>
        <w:t>INTRODUCCIÓN</w:t>
      </w:r>
      <w:bookmarkEnd w:id="5"/>
      <w:r w:rsidRPr="00B80246">
        <w:rPr>
          <w:rFonts w:ascii="Arial" w:hAnsi="Arial" w:cs="Arial"/>
          <w:sz w:val="22"/>
          <w:szCs w:val="22"/>
        </w:rPr>
        <w:t xml:space="preserve"> </w:t>
      </w:r>
    </w:p>
    <w:p w14:paraId="0184673B" w14:textId="77777777" w:rsidR="00933C1D" w:rsidRPr="00B80246" w:rsidRDefault="00933C1D" w:rsidP="00EF3D59">
      <w:pPr>
        <w:spacing w:line="288" w:lineRule="auto"/>
        <w:rPr>
          <w:rFonts w:ascii="Arial" w:hAnsi="Arial" w:cs="Arial"/>
          <w:sz w:val="22"/>
          <w:szCs w:val="22"/>
        </w:rPr>
      </w:pPr>
    </w:p>
    <w:p w14:paraId="4F78E8CC" w14:textId="40E7D68C" w:rsidR="00933C1D" w:rsidRPr="00B80246" w:rsidRDefault="000019B4" w:rsidP="00EF3D59">
      <w:pPr>
        <w:spacing w:line="288" w:lineRule="auto"/>
        <w:jc w:val="both"/>
        <w:rPr>
          <w:rFonts w:ascii="Arial" w:eastAsia="Calibri" w:hAnsi="Arial" w:cs="Arial"/>
          <w:color w:val="000000"/>
          <w:sz w:val="22"/>
          <w:szCs w:val="22"/>
          <w:lang w:val="es-ES_tradnl" w:eastAsia="en-US"/>
        </w:rPr>
      </w:pPr>
      <w:r w:rsidRPr="00B80246">
        <w:rPr>
          <w:rFonts w:ascii="Arial" w:eastAsia="Calibri" w:hAnsi="Arial" w:cs="Arial"/>
          <w:color w:val="000000"/>
          <w:sz w:val="22"/>
          <w:szCs w:val="22"/>
          <w:lang w:val="es-ES_tradnl" w:eastAsia="en-US"/>
        </w:rPr>
        <w:t xml:space="preserve">De acuerdo con lo señalado en el Marco Normativo para Entidades de Gobierno, las entidades deben </w:t>
      </w:r>
      <w:r w:rsidR="00933C1D" w:rsidRPr="00B80246">
        <w:rPr>
          <w:rFonts w:ascii="Arial" w:eastAsia="Calibri" w:hAnsi="Arial" w:cs="Arial"/>
          <w:color w:val="000000"/>
          <w:sz w:val="22"/>
          <w:szCs w:val="22"/>
          <w:lang w:val="es-ES_tradnl" w:eastAsia="en-US"/>
        </w:rPr>
        <w:t xml:space="preserve">seleccionar y documentar sus políticas, atendiendo las características de representación fiel y relevancia de la información financiera. En tal sentido, </w:t>
      </w:r>
      <w:r w:rsidR="00EA7D75">
        <w:rPr>
          <w:rFonts w:ascii="Arial" w:eastAsia="Calibri" w:hAnsi="Arial" w:cs="Arial"/>
          <w:color w:val="000000"/>
          <w:sz w:val="22"/>
          <w:szCs w:val="22"/>
          <w:lang w:val="es-ES_tradnl" w:eastAsia="en-US"/>
        </w:rPr>
        <w:t xml:space="preserve">mediante Resolución 3849 de 2018 </w:t>
      </w:r>
      <w:r w:rsidR="00933C1D" w:rsidRPr="00B80246">
        <w:rPr>
          <w:rFonts w:ascii="Arial" w:eastAsia="Calibri" w:hAnsi="Arial" w:cs="Arial"/>
          <w:color w:val="000000"/>
          <w:sz w:val="22"/>
          <w:szCs w:val="22"/>
          <w:lang w:val="es-ES_tradnl" w:eastAsia="en-US"/>
        </w:rPr>
        <w:t xml:space="preserve">se ha </w:t>
      </w:r>
      <w:r w:rsidR="00EA7D75">
        <w:rPr>
          <w:rFonts w:ascii="Arial" w:eastAsia="Calibri" w:hAnsi="Arial" w:cs="Arial"/>
          <w:color w:val="000000"/>
          <w:sz w:val="22"/>
          <w:szCs w:val="22"/>
          <w:lang w:val="es-ES_tradnl" w:eastAsia="en-US"/>
        </w:rPr>
        <w:t>adoptado</w:t>
      </w:r>
      <w:r w:rsidR="00EA7D75" w:rsidRPr="00B80246">
        <w:rPr>
          <w:rFonts w:ascii="Arial" w:eastAsia="Calibri" w:hAnsi="Arial" w:cs="Arial"/>
          <w:color w:val="000000"/>
          <w:sz w:val="22"/>
          <w:szCs w:val="22"/>
          <w:lang w:val="es-ES_tradnl" w:eastAsia="en-US"/>
        </w:rPr>
        <w:t xml:space="preserve"> </w:t>
      </w:r>
      <w:r w:rsidR="00933C1D" w:rsidRPr="00B80246">
        <w:rPr>
          <w:rFonts w:ascii="Arial" w:eastAsia="Calibri" w:hAnsi="Arial" w:cs="Arial"/>
          <w:color w:val="000000"/>
          <w:sz w:val="22"/>
          <w:szCs w:val="22"/>
          <w:lang w:val="es-ES_tradnl" w:eastAsia="en-US"/>
        </w:rPr>
        <w:t>el Manual de Políticas Contables como un instrumento que facilita la preparación, presentación e interpretación de la información financiera del Ministerio de Hacienda y Crédito Público- Gestión General.</w:t>
      </w:r>
    </w:p>
    <w:p w14:paraId="6C87B3F2" w14:textId="77777777" w:rsidR="000019B4" w:rsidRPr="00B80246" w:rsidRDefault="000019B4" w:rsidP="00EF3D59">
      <w:pPr>
        <w:spacing w:line="288" w:lineRule="auto"/>
        <w:rPr>
          <w:rFonts w:ascii="Arial" w:hAnsi="Arial" w:cs="Arial"/>
          <w:sz w:val="22"/>
          <w:szCs w:val="22"/>
        </w:rPr>
      </w:pPr>
    </w:p>
    <w:p w14:paraId="2D0F4E6A" w14:textId="77777777" w:rsidR="00B71716" w:rsidRPr="00B80246" w:rsidRDefault="00B80246" w:rsidP="00EF3D59">
      <w:pPr>
        <w:spacing w:line="288" w:lineRule="auto"/>
        <w:jc w:val="both"/>
        <w:rPr>
          <w:rFonts w:ascii="Arial" w:hAnsi="Arial" w:cs="Arial"/>
          <w:sz w:val="22"/>
          <w:szCs w:val="22"/>
        </w:rPr>
      </w:pPr>
      <w:r w:rsidRPr="00B80246">
        <w:rPr>
          <w:rFonts w:ascii="Arial" w:eastAsia="Calibri" w:hAnsi="Arial" w:cs="Arial"/>
          <w:color w:val="000000"/>
          <w:sz w:val="22"/>
          <w:szCs w:val="22"/>
          <w:lang w:val="es-ES_tradnl" w:eastAsia="en-US"/>
        </w:rPr>
        <w:t>Asimismo, y com</w:t>
      </w:r>
      <w:r w:rsidR="00933C1D" w:rsidRPr="00B80246">
        <w:rPr>
          <w:rFonts w:ascii="Arial" w:eastAsia="Calibri" w:hAnsi="Arial" w:cs="Arial"/>
          <w:color w:val="000000"/>
          <w:sz w:val="22"/>
          <w:szCs w:val="22"/>
          <w:lang w:val="es-ES_tradnl" w:eastAsia="en-US"/>
        </w:rPr>
        <w:t xml:space="preserve">o complemento de lo anterior, se requiere crear mecanismos que permitan </w:t>
      </w:r>
      <w:r w:rsidR="00A61018" w:rsidRPr="00B80246">
        <w:rPr>
          <w:rFonts w:ascii="Arial" w:eastAsia="Calibri" w:hAnsi="Arial" w:cs="Arial"/>
          <w:color w:val="000000"/>
          <w:sz w:val="22"/>
          <w:szCs w:val="22"/>
          <w:lang w:val="es-ES_tradnl" w:eastAsia="en-US"/>
        </w:rPr>
        <w:t xml:space="preserve">hacer operativas las políticas definidas </w:t>
      </w:r>
      <w:r w:rsidRPr="00B80246">
        <w:rPr>
          <w:rFonts w:ascii="Arial" w:eastAsia="Calibri" w:hAnsi="Arial" w:cs="Arial"/>
          <w:color w:val="000000"/>
          <w:sz w:val="22"/>
          <w:szCs w:val="22"/>
          <w:lang w:val="es-ES_tradnl" w:eastAsia="en-US"/>
        </w:rPr>
        <w:t>por la entidad</w:t>
      </w:r>
      <w:r w:rsidR="00B71716">
        <w:rPr>
          <w:rFonts w:ascii="Arial" w:eastAsia="Calibri" w:hAnsi="Arial" w:cs="Arial"/>
          <w:color w:val="000000"/>
          <w:sz w:val="22"/>
          <w:szCs w:val="22"/>
          <w:lang w:val="es-ES_tradnl" w:eastAsia="en-US"/>
        </w:rPr>
        <w:t xml:space="preserve">, por lo cual se crea el presente Manual Operativo para la Gestión Contable, mediante el que se establecen </w:t>
      </w:r>
      <w:r w:rsidR="00B71716" w:rsidRPr="00B80246">
        <w:rPr>
          <w:rFonts w:ascii="Arial" w:hAnsi="Arial" w:cs="Arial"/>
          <w:sz w:val="22"/>
          <w:szCs w:val="22"/>
        </w:rPr>
        <w:t xml:space="preserve">los lineamientos </w:t>
      </w:r>
      <w:r w:rsidR="00B71716">
        <w:rPr>
          <w:rFonts w:ascii="Arial" w:hAnsi="Arial" w:cs="Arial"/>
          <w:sz w:val="22"/>
          <w:szCs w:val="22"/>
        </w:rPr>
        <w:t xml:space="preserve">procedimentales </w:t>
      </w:r>
      <w:r w:rsidR="00B71716" w:rsidRPr="00B80246">
        <w:rPr>
          <w:rFonts w:ascii="Arial" w:hAnsi="Arial" w:cs="Arial"/>
          <w:sz w:val="22"/>
          <w:szCs w:val="22"/>
        </w:rPr>
        <w:t>que deben ser observados en la elaboración y presentación de los Estados Financieros del Ministerio de Hacienda y Crédito Público, en consonancia con lo definido en el</w:t>
      </w:r>
      <w:r w:rsidR="00B71716">
        <w:rPr>
          <w:rFonts w:ascii="Arial" w:hAnsi="Arial" w:cs="Arial"/>
          <w:sz w:val="22"/>
          <w:szCs w:val="22"/>
        </w:rPr>
        <w:t xml:space="preserve"> referido Manual de Políticas Contables y</w:t>
      </w:r>
      <w:r w:rsidR="00B71716" w:rsidRPr="00B80246">
        <w:rPr>
          <w:rFonts w:ascii="Arial" w:hAnsi="Arial" w:cs="Arial"/>
          <w:sz w:val="22"/>
          <w:szCs w:val="22"/>
        </w:rPr>
        <w:t xml:space="preserve"> en el Marco Normativo para Entidades de Gobierno expedido por la Contaduría General de la Nación. </w:t>
      </w:r>
    </w:p>
    <w:p w14:paraId="3F4009F5" w14:textId="77777777" w:rsidR="000019B4" w:rsidRPr="00B80246" w:rsidRDefault="000019B4" w:rsidP="00EF3D59">
      <w:pPr>
        <w:spacing w:line="288" w:lineRule="auto"/>
        <w:rPr>
          <w:rFonts w:ascii="Arial" w:hAnsi="Arial" w:cs="Arial"/>
          <w:sz w:val="22"/>
          <w:szCs w:val="22"/>
        </w:rPr>
      </w:pPr>
    </w:p>
    <w:p w14:paraId="16CAC07E" w14:textId="77777777" w:rsidR="001B042C" w:rsidRPr="00B80246" w:rsidRDefault="00E00CE9" w:rsidP="00EF3D59">
      <w:pPr>
        <w:pStyle w:val="Ttulo1"/>
        <w:numPr>
          <w:ilvl w:val="0"/>
          <w:numId w:val="1"/>
        </w:numPr>
        <w:spacing w:line="288" w:lineRule="auto"/>
        <w:jc w:val="both"/>
        <w:rPr>
          <w:rFonts w:ascii="Arial" w:hAnsi="Arial" w:cs="Arial"/>
          <w:sz w:val="22"/>
          <w:szCs w:val="22"/>
        </w:rPr>
      </w:pPr>
      <w:bookmarkStart w:id="8" w:name="_Toc59377808"/>
      <w:r w:rsidRPr="00B80246">
        <w:rPr>
          <w:rFonts w:ascii="Arial" w:hAnsi="Arial" w:cs="Arial"/>
          <w:sz w:val="22"/>
          <w:szCs w:val="22"/>
        </w:rPr>
        <w:t>OBJETIVO</w:t>
      </w:r>
      <w:bookmarkEnd w:id="0"/>
      <w:bookmarkEnd w:id="1"/>
      <w:bookmarkEnd w:id="2"/>
      <w:bookmarkEnd w:id="3"/>
      <w:bookmarkEnd w:id="4"/>
      <w:bookmarkEnd w:id="6"/>
      <w:bookmarkEnd w:id="7"/>
      <w:bookmarkEnd w:id="8"/>
      <w:r w:rsidR="00B35DC7" w:rsidRPr="00B80246">
        <w:rPr>
          <w:rFonts w:ascii="Arial" w:hAnsi="Arial" w:cs="Arial"/>
          <w:sz w:val="22"/>
          <w:szCs w:val="22"/>
        </w:rPr>
        <w:t xml:space="preserve">          </w:t>
      </w:r>
    </w:p>
    <w:p w14:paraId="7B4755FF" w14:textId="77777777" w:rsidR="001B042C" w:rsidRPr="00B80246" w:rsidRDefault="001B042C" w:rsidP="00EF3D59">
      <w:pPr>
        <w:spacing w:line="288" w:lineRule="auto"/>
        <w:rPr>
          <w:rFonts w:ascii="Arial" w:hAnsi="Arial" w:cs="Arial"/>
          <w:sz w:val="22"/>
          <w:szCs w:val="22"/>
        </w:rPr>
      </w:pPr>
    </w:p>
    <w:p w14:paraId="7ABB08A0" w14:textId="77777777" w:rsidR="001B042C" w:rsidRPr="00B80246" w:rsidRDefault="009152C4" w:rsidP="00EF3D59">
      <w:pPr>
        <w:spacing w:line="288" w:lineRule="auto"/>
        <w:jc w:val="both"/>
        <w:rPr>
          <w:rFonts w:ascii="Arial" w:hAnsi="Arial" w:cs="Arial"/>
          <w:sz w:val="22"/>
          <w:szCs w:val="22"/>
        </w:rPr>
      </w:pPr>
      <w:r w:rsidRPr="00B80246">
        <w:rPr>
          <w:rFonts w:ascii="Arial" w:hAnsi="Arial" w:cs="Arial"/>
          <w:sz w:val="22"/>
          <w:szCs w:val="22"/>
        </w:rPr>
        <w:t xml:space="preserve">Establecer los lineamientos </w:t>
      </w:r>
      <w:r w:rsidR="00C26E6C" w:rsidRPr="00B80246">
        <w:rPr>
          <w:rFonts w:ascii="Arial" w:hAnsi="Arial" w:cs="Arial"/>
          <w:sz w:val="22"/>
          <w:szCs w:val="22"/>
        </w:rPr>
        <w:t xml:space="preserve">operativos </w:t>
      </w:r>
      <w:r w:rsidR="00912020" w:rsidRPr="00B80246">
        <w:rPr>
          <w:rFonts w:ascii="Arial" w:hAnsi="Arial" w:cs="Arial"/>
          <w:sz w:val="22"/>
          <w:szCs w:val="22"/>
        </w:rPr>
        <w:t>que deben ser observado</w:t>
      </w:r>
      <w:r w:rsidR="001B042C" w:rsidRPr="00B80246">
        <w:rPr>
          <w:rFonts w:ascii="Arial" w:hAnsi="Arial" w:cs="Arial"/>
          <w:sz w:val="22"/>
          <w:szCs w:val="22"/>
        </w:rPr>
        <w:t xml:space="preserve">s </w:t>
      </w:r>
      <w:r w:rsidR="00912020" w:rsidRPr="00B80246">
        <w:rPr>
          <w:rFonts w:ascii="Arial" w:hAnsi="Arial" w:cs="Arial"/>
          <w:sz w:val="22"/>
          <w:szCs w:val="22"/>
        </w:rPr>
        <w:t>en</w:t>
      </w:r>
      <w:r w:rsidR="001B042C" w:rsidRPr="00B80246">
        <w:rPr>
          <w:rFonts w:ascii="Arial" w:hAnsi="Arial" w:cs="Arial"/>
          <w:sz w:val="22"/>
          <w:szCs w:val="22"/>
        </w:rPr>
        <w:t xml:space="preserve"> la elaboración y presentación de los </w:t>
      </w:r>
      <w:r w:rsidR="00726278" w:rsidRPr="00B80246">
        <w:rPr>
          <w:rFonts w:ascii="Arial" w:hAnsi="Arial" w:cs="Arial"/>
          <w:sz w:val="22"/>
          <w:szCs w:val="22"/>
        </w:rPr>
        <w:t>Estados F</w:t>
      </w:r>
      <w:r w:rsidR="001B042C" w:rsidRPr="00B80246">
        <w:rPr>
          <w:rFonts w:ascii="Arial" w:hAnsi="Arial" w:cs="Arial"/>
          <w:sz w:val="22"/>
          <w:szCs w:val="22"/>
        </w:rPr>
        <w:t xml:space="preserve">inancieros </w:t>
      </w:r>
      <w:r w:rsidR="00726278" w:rsidRPr="00B80246">
        <w:rPr>
          <w:rFonts w:ascii="Arial" w:hAnsi="Arial" w:cs="Arial"/>
          <w:sz w:val="22"/>
          <w:szCs w:val="22"/>
        </w:rPr>
        <w:t xml:space="preserve">del </w:t>
      </w:r>
      <w:r w:rsidR="001B042C" w:rsidRPr="00B80246">
        <w:rPr>
          <w:rFonts w:ascii="Arial" w:hAnsi="Arial" w:cs="Arial"/>
          <w:sz w:val="22"/>
          <w:szCs w:val="22"/>
        </w:rPr>
        <w:t>Ministerio de Hacienda y Créd</w:t>
      </w:r>
      <w:r w:rsidR="00B23732" w:rsidRPr="00B80246">
        <w:rPr>
          <w:rFonts w:ascii="Arial" w:hAnsi="Arial" w:cs="Arial"/>
          <w:sz w:val="22"/>
          <w:szCs w:val="22"/>
        </w:rPr>
        <w:t xml:space="preserve">ito Público, </w:t>
      </w:r>
      <w:r w:rsidR="00B118E1" w:rsidRPr="00B80246">
        <w:rPr>
          <w:rFonts w:ascii="Arial" w:hAnsi="Arial" w:cs="Arial"/>
          <w:sz w:val="22"/>
          <w:szCs w:val="22"/>
        </w:rPr>
        <w:t xml:space="preserve">en consonancia con lo definido </w:t>
      </w:r>
      <w:r w:rsidR="00C26E6C" w:rsidRPr="00B80246">
        <w:rPr>
          <w:rFonts w:ascii="Arial" w:hAnsi="Arial" w:cs="Arial"/>
          <w:sz w:val="22"/>
          <w:szCs w:val="22"/>
        </w:rPr>
        <w:t xml:space="preserve">en el </w:t>
      </w:r>
      <w:r w:rsidRPr="00B80246">
        <w:rPr>
          <w:rFonts w:ascii="Arial" w:hAnsi="Arial" w:cs="Arial"/>
          <w:sz w:val="22"/>
          <w:szCs w:val="22"/>
        </w:rPr>
        <w:t xml:space="preserve">Manual de Políticas Contables del MHCP, y en el </w:t>
      </w:r>
      <w:r w:rsidR="00C26E6C" w:rsidRPr="00B80246">
        <w:rPr>
          <w:rFonts w:ascii="Arial" w:hAnsi="Arial" w:cs="Arial"/>
          <w:sz w:val="22"/>
          <w:szCs w:val="22"/>
        </w:rPr>
        <w:t>Marco Normativo para E</w:t>
      </w:r>
      <w:r w:rsidRPr="00B80246">
        <w:rPr>
          <w:rFonts w:ascii="Arial" w:hAnsi="Arial" w:cs="Arial"/>
          <w:sz w:val="22"/>
          <w:szCs w:val="22"/>
        </w:rPr>
        <w:t xml:space="preserve">ntidades de Gobierno expedido por </w:t>
      </w:r>
      <w:r w:rsidR="00D50057" w:rsidRPr="00B80246">
        <w:rPr>
          <w:rFonts w:ascii="Arial" w:hAnsi="Arial" w:cs="Arial"/>
          <w:sz w:val="22"/>
          <w:szCs w:val="22"/>
        </w:rPr>
        <w:t>la Contaduría General de la Nación</w:t>
      </w:r>
      <w:r w:rsidRPr="00B80246">
        <w:rPr>
          <w:rFonts w:ascii="Arial" w:hAnsi="Arial" w:cs="Arial"/>
          <w:sz w:val="22"/>
          <w:szCs w:val="22"/>
        </w:rPr>
        <w:t xml:space="preserve">. </w:t>
      </w:r>
    </w:p>
    <w:p w14:paraId="7446DF07" w14:textId="77777777" w:rsidR="00D7602D" w:rsidRPr="00B80246" w:rsidRDefault="00D7602D" w:rsidP="00EF3D59">
      <w:pPr>
        <w:spacing w:line="288" w:lineRule="auto"/>
        <w:rPr>
          <w:rFonts w:ascii="Arial" w:hAnsi="Arial" w:cs="Arial"/>
          <w:sz w:val="22"/>
          <w:szCs w:val="22"/>
        </w:rPr>
      </w:pPr>
      <w:bookmarkStart w:id="9" w:name="_Toc490726941"/>
      <w:bookmarkStart w:id="10" w:name="_Toc490727889"/>
      <w:bookmarkStart w:id="11" w:name="_Toc126143692"/>
      <w:bookmarkStart w:id="12" w:name="_Toc126144694"/>
      <w:bookmarkStart w:id="13" w:name="_Toc126144876"/>
      <w:bookmarkStart w:id="14" w:name="_Toc126144946"/>
      <w:bookmarkStart w:id="15" w:name="_Toc126147376"/>
      <w:bookmarkStart w:id="16" w:name="_Toc126301042"/>
    </w:p>
    <w:p w14:paraId="5DE707F4" w14:textId="77777777" w:rsidR="00D7602D" w:rsidRPr="00B80246" w:rsidRDefault="00D7602D" w:rsidP="00EF3D59">
      <w:pPr>
        <w:pStyle w:val="Ttulo1"/>
        <w:numPr>
          <w:ilvl w:val="0"/>
          <w:numId w:val="1"/>
        </w:numPr>
        <w:spacing w:line="288" w:lineRule="auto"/>
        <w:jc w:val="both"/>
        <w:rPr>
          <w:rFonts w:ascii="Arial" w:hAnsi="Arial" w:cs="Arial"/>
          <w:sz w:val="22"/>
          <w:szCs w:val="22"/>
        </w:rPr>
      </w:pPr>
      <w:bookmarkStart w:id="17" w:name="_Toc59377809"/>
      <w:r w:rsidRPr="00B80246">
        <w:rPr>
          <w:rFonts w:ascii="Arial" w:hAnsi="Arial" w:cs="Arial"/>
          <w:sz w:val="22"/>
          <w:szCs w:val="22"/>
        </w:rPr>
        <w:t>ALCANCE</w:t>
      </w:r>
      <w:bookmarkEnd w:id="17"/>
    </w:p>
    <w:p w14:paraId="0328F196" w14:textId="77777777" w:rsidR="00D7602D" w:rsidRPr="00B80246" w:rsidRDefault="00D7602D" w:rsidP="00EF3D59">
      <w:pPr>
        <w:spacing w:line="288" w:lineRule="auto"/>
        <w:rPr>
          <w:rFonts w:ascii="Arial" w:hAnsi="Arial" w:cs="Arial"/>
          <w:sz w:val="22"/>
          <w:szCs w:val="22"/>
        </w:rPr>
      </w:pPr>
    </w:p>
    <w:p w14:paraId="54C8C814" w14:textId="77777777" w:rsidR="00A14B5B" w:rsidRPr="00B80246" w:rsidRDefault="004A7820" w:rsidP="00EF3D59">
      <w:pPr>
        <w:spacing w:line="288" w:lineRule="auto"/>
        <w:jc w:val="both"/>
        <w:rPr>
          <w:rFonts w:ascii="Arial" w:hAnsi="Arial" w:cs="Arial"/>
          <w:sz w:val="22"/>
          <w:szCs w:val="22"/>
        </w:rPr>
      </w:pPr>
      <w:r>
        <w:rPr>
          <w:rFonts w:ascii="Arial" w:hAnsi="Arial" w:cs="Arial"/>
          <w:sz w:val="22"/>
          <w:szCs w:val="22"/>
          <w:lang w:val="es-ES_tradnl"/>
        </w:rPr>
        <w:t>El presente ma</w:t>
      </w:r>
      <w:r w:rsidRPr="00EC6EE7">
        <w:rPr>
          <w:rFonts w:ascii="Arial" w:hAnsi="Arial" w:cs="Arial"/>
          <w:sz w:val="22"/>
          <w:szCs w:val="22"/>
          <w:lang w:val="es-ES_tradnl"/>
        </w:rPr>
        <w:t>nual cubre desde</w:t>
      </w:r>
      <w:r>
        <w:rPr>
          <w:rFonts w:ascii="Arial" w:hAnsi="Arial" w:cs="Arial"/>
          <w:sz w:val="22"/>
          <w:szCs w:val="22"/>
          <w:lang w:val="es-ES_tradnl"/>
        </w:rPr>
        <w:t xml:space="preserve"> la definición de los criterios para la </w:t>
      </w:r>
      <w:r w:rsidRPr="00EC6EE7">
        <w:rPr>
          <w:rFonts w:ascii="Arial" w:hAnsi="Arial" w:cs="Arial"/>
          <w:sz w:val="22"/>
          <w:szCs w:val="22"/>
          <w:lang w:val="es-ES_tradnl"/>
        </w:rPr>
        <w:t>obtención de información financiera hasta la preparación, presentación y publicación de los Estados Financieros del Ministerio de Hacienda y Crédito Público-Gestión General</w:t>
      </w:r>
      <w:r>
        <w:rPr>
          <w:rFonts w:ascii="Arial" w:hAnsi="Arial" w:cs="Arial"/>
          <w:sz w:val="22"/>
          <w:szCs w:val="22"/>
          <w:lang w:val="es-ES_tradnl"/>
        </w:rPr>
        <w:t>.</w:t>
      </w:r>
      <w:r w:rsidR="00A14B5B">
        <w:rPr>
          <w:rFonts w:ascii="Arial" w:hAnsi="Arial" w:cs="Arial"/>
          <w:sz w:val="22"/>
          <w:szCs w:val="22"/>
          <w:lang w:val="es-ES_tradnl"/>
        </w:rPr>
        <w:t xml:space="preserve"> Asimismo, </w:t>
      </w:r>
      <w:r w:rsidR="00A14B5B" w:rsidRPr="00B80246">
        <w:rPr>
          <w:rFonts w:ascii="Arial" w:hAnsi="Arial" w:cs="Arial"/>
          <w:sz w:val="22"/>
          <w:szCs w:val="22"/>
        </w:rPr>
        <w:t>describe la forma en que la entidad desar</w:t>
      </w:r>
      <w:r w:rsidR="0091405A">
        <w:rPr>
          <w:rFonts w:ascii="Arial" w:hAnsi="Arial" w:cs="Arial"/>
          <w:sz w:val="22"/>
          <w:szCs w:val="22"/>
        </w:rPr>
        <w:t xml:space="preserve">rolla las actividades contables y </w:t>
      </w:r>
      <w:r w:rsidR="00A14B5B" w:rsidRPr="00B80246">
        <w:rPr>
          <w:rFonts w:ascii="Arial" w:hAnsi="Arial" w:cs="Arial"/>
          <w:sz w:val="22"/>
          <w:szCs w:val="22"/>
        </w:rPr>
        <w:t>en que se asignan responsabilidades y compromisos a quie</w:t>
      </w:r>
      <w:r w:rsidR="00A14B5B">
        <w:rPr>
          <w:rFonts w:ascii="Arial" w:hAnsi="Arial" w:cs="Arial"/>
          <w:sz w:val="22"/>
          <w:szCs w:val="22"/>
        </w:rPr>
        <w:t xml:space="preserve">nes intervienen en su ejecución, </w:t>
      </w:r>
      <w:r w:rsidR="00A14B5B" w:rsidRPr="00B80246">
        <w:rPr>
          <w:rFonts w:ascii="Arial" w:hAnsi="Arial" w:cs="Arial"/>
          <w:sz w:val="22"/>
          <w:szCs w:val="22"/>
        </w:rPr>
        <w:t>debe ser aplicado en su integridad por los funcionarios responsables de producir y procesar la información, y se constituye en un instrumento que facilita la preparación, presentación e interpretación de la información financiera del Ministerio de Hacienda y Crédito Público.</w:t>
      </w:r>
    </w:p>
    <w:p w14:paraId="35B09723" w14:textId="77777777" w:rsidR="004A7820" w:rsidRDefault="004A7820" w:rsidP="00EF3D59">
      <w:pPr>
        <w:spacing w:line="288" w:lineRule="auto"/>
        <w:jc w:val="both"/>
        <w:rPr>
          <w:rFonts w:ascii="Arial" w:hAnsi="Arial" w:cs="Arial"/>
          <w:sz w:val="22"/>
          <w:szCs w:val="22"/>
        </w:rPr>
      </w:pPr>
    </w:p>
    <w:p w14:paraId="52A2EB76" w14:textId="707B3393" w:rsidR="00D7602D" w:rsidRPr="00B80246" w:rsidRDefault="00E66A54" w:rsidP="00EF3D59">
      <w:pPr>
        <w:spacing w:line="288" w:lineRule="auto"/>
        <w:jc w:val="both"/>
        <w:rPr>
          <w:rFonts w:ascii="Arial" w:hAnsi="Arial" w:cs="Arial"/>
          <w:sz w:val="22"/>
          <w:szCs w:val="22"/>
        </w:rPr>
      </w:pPr>
      <w:r>
        <w:rPr>
          <w:rFonts w:ascii="Arial" w:hAnsi="Arial" w:cs="Arial"/>
          <w:sz w:val="22"/>
          <w:szCs w:val="22"/>
        </w:rPr>
        <w:lastRenderedPageBreak/>
        <w:t xml:space="preserve">En el mismo sentido, </w:t>
      </w:r>
      <w:r w:rsidR="009844E2">
        <w:rPr>
          <w:rFonts w:ascii="Arial" w:hAnsi="Arial" w:cs="Arial"/>
          <w:sz w:val="22"/>
          <w:szCs w:val="22"/>
        </w:rPr>
        <w:t>este manual es</w:t>
      </w:r>
      <w:r w:rsidR="00D7602D" w:rsidRPr="00B80246">
        <w:rPr>
          <w:rFonts w:ascii="Arial" w:hAnsi="Arial" w:cs="Arial"/>
          <w:sz w:val="22"/>
          <w:szCs w:val="22"/>
        </w:rPr>
        <w:t xml:space="preserve">tá en consonancia con el </w:t>
      </w:r>
      <w:r w:rsidR="009844E2">
        <w:rPr>
          <w:rFonts w:ascii="Arial" w:hAnsi="Arial" w:cs="Arial"/>
          <w:i/>
          <w:sz w:val="22"/>
          <w:szCs w:val="22"/>
        </w:rPr>
        <w:t>“Apo3.Man.2</w:t>
      </w:r>
      <w:r w:rsidR="00D7602D" w:rsidRPr="00B80246">
        <w:rPr>
          <w:rFonts w:ascii="Arial" w:hAnsi="Arial" w:cs="Arial"/>
          <w:i/>
          <w:sz w:val="22"/>
          <w:szCs w:val="22"/>
        </w:rPr>
        <w:t>. Manual de Políticas Contables”</w:t>
      </w:r>
      <w:r w:rsidR="00EA7D75">
        <w:rPr>
          <w:rFonts w:ascii="Arial" w:hAnsi="Arial" w:cs="Arial"/>
          <w:i/>
          <w:sz w:val="22"/>
          <w:szCs w:val="22"/>
        </w:rPr>
        <w:t xml:space="preserve"> </w:t>
      </w:r>
      <w:r w:rsidR="00EA7D75" w:rsidRPr="00FB7B51">
        <w:rPr>
          <w:rFonts w:ascii="Arial" w:hAnsi="Arial" w:cs="Arial"/>
          <w:iCs/>
          <w:sz w:val="22"/>
          <w:szCs w:val="22"/>
        </w:rPr>
        <w:t>(adoptado mediante Resolución 3849 de 2018</w:t>
      </w:r>
      <w:r w:rsidR="0016669B" w:rsidRPr="00FB7B51">
        <w:rPr>
          <w:rFonts w:ascii="Arial" w:hAnsi="Arial" w:cs="Arial"/>
          <w:iCs/>
          <w:sz w:val="22"/>
          <w:szCs w:val="22"/>
        </w:rPr>
        <w:t>, y actualizado a diciembre de 2020 según Expediente 22079/2020/MEM</w:t>
      </w:r>
      <w:r w:rsidR="00EA7D75" w:rsidRPr="00FB7B51">
        <w:rPr>
          <w:rFonts w:ascii="Arial" w:hAnsi="Arial" w:cs="Arial"/>
          <w:iCs/>
          <w:sz w:val="22"/>
          <w:szCs w:val="22"/>
        </w:rPr>
        <w:t>)</w:t>
      </w:r>
      <w:r w:rsidR="00D7602D" w:rsidRPr="00B80246">
        <w:rPr>
          <w:rFonts w:ascii="Arial" w:hAnsi="Arial" w:cs="Arial"/>
          <w:i/>
          <w:sz w:val="22"/>
          <w:szCs w:val="22"/>
        </w:rPr>
        <w:t xml:space="preserve">, </w:t>
      </w:r>
      <w:r w:rsidR="00D7602D" w:rsidRPr="00B80246">
        <w:rPr>
          <w:rFonts w:ascii="Arial" w:hAnsi="Arial" w:cs="Arial"/>
          <w:sz w:val="22"/>
          <w:szCs w:val="22"/>
        </w:rPr>
        <w:t xml:space="preserve">y en ningún caso, </w:t>
      </w:r>
      <w:r w:rsidR="009844E2">
        <w:rPr>
          <w:rFonts w:ascii="Arial" w:hAnsi="Arial" w:cs="Arial"/>
          <w:sz w:val="22"/>
          <w:szCs w:val="22"/>
        </w:rPr>
        <w:t xml:space="preserve">los lineamientos </w:t>
      </w:r>
      <w:r w:rsidR="00D7602D" w:rsidRPr="00B80246">
        <w:rPr>
          <w:rFonts w:ascii="Arial" w:hAnsi="Arial" w:cs="Arial"/>
          <w:sz w:val="22"/>
          <w:szCs w:val="22"/>
        </w:rPr>
        <w:t xml:space="preserve">operativos aquí establecidos, así como las demás prácticas contables del Ministerio de Hacienda y Crédito Público, estarán en contravía de lo dispuesto en el Régimen de Contabilidad Pública y, especialmente en el Marco Normativo para Entidades de Gobierno, expedido por la Contaduría General de la Nación. </w:t>
      </w:r>
    </w:p>
    <w:p w14:paraId="4F2FEE39" w14:textId="77777777" w:rsidR="00D7602D" w:rsidRPr="00B80246" w:rsidRDefault="00D7602D" w:rsidP="00EF3D59">
      <w:pPr>
        <w:spacing w:line="288" w:lineRule="auto"/>
        <w:rPr>
          <w:rFonts w:ascii="Arial" w:hAnsi="Arial" w:cs="Arial"/>
          <w:sz w:val="22"/>
          <w:szCs w:val="22"/>
        </w:rPr>
      </w:pPr>
    </w:p>
    <w:p w14:paraId="7CD2F12C" w14:textId="77777777" w:rsidR="00D7602D" w:rsidRPr="00B80246" w:rsidRDefault="00D7602D" w:rsidP="00EF3D59">
      <w:pPr>
        <w:pStyle w:val="Ttulo1"/>
        <w:numPr>
          <w:ilvl w:val="0"/>
          <w:numId w:val="1"/>
        </w:numPr>
        <w:spacing w:line="288" w:lineRule="auto"/>
        <w:jc w:val="both"/>
        <w:rPr>
          <w:rFonts w:ascii="Arial" w:hAnsi="Arial" w:cs="Arial"/>
          <w:sz w:val="22"/>
          <w:szCs w:val="22"/>
        </w:rPr>
      </w:pPr>
      <w:bookmarkStart w:id="18" w:name="_Toc59377810"/>
      <w:r w:rsidRPr="00B80246">
        <w:rPr>
          <w:rFonts w:ascii="Arial" w:hAnsi="Arial" w:cs="Arial"/>
          <w:sz w:val="22"/>
          <w:szCs w:val="22"/>
        </w:rPr>
        <w:t>PRODUCTOS ESPERADOS</w:t>
      </w:r>
      <w:bookmarkEnd w:id="18"/>
    </w:p>
    <w:p w14:paraId="437B177A" w14:textId="77777777" w:rsidR="00D7602D" w:rsidRDefault="00D7602D" w:rsidP="00EF3D59">
      <w:pPr>
        <w:pStyle w:val="Ttulo1"/>
        <w:spacing w:line="288" w:lineRule="auto"/>
        <w:jc w:val="both"/>
        <w:rPr>
          <w:rFonts w:ascii="Arial" w:hAnsi="Arial" w:cs="Arial"/>
          <w:sz w:val="22"/>
          <w:szCs w:val="22"/>
        </w:rPr>
      </w:pPr>
    </w:p>
    <w:p w14:paraId="64406BC6" w14:textId="3B5A3656" w:rsidR="009844E2" w:rsidRPr="007D4B5A" w:rsidRDefault="0016669B" w:rsidP="00EF3D59">
      <w:pPr>
        <w:spacing w:line="288" w:lineRule="auto"/>
        <w:jc w:val="both"/>
        <w:rPr>
          <w:rFonts w:ascii="Arial" w:hAnsi="Arial" w:cs="Arial"/>
          <w:sz w:val="22"/>
          <w:szCs w:val="22"/>
          <w:lang w:val="es-ES_tradnl"/>
        </w:rPr>
      </w:pPr>
      <w:r w:rsidRPr="0016669B">
        <w:rPr>
          <w:rFonts w:ascii="Arial" w:hAnsi="Arial" w:cs="Arial"/>
          <w:sz w:val="22"/>
          <w:szCs w:val="22"/>
          <w:lang w:val="es-ES_tradnl"/>
        </w:rPr>
        <w:t>Estados Financieros, y demás reportes e informes financieros y contables del Ministerio de Hacienda y Crédito Público – Gestión General</w:t>
      </w:r>
      <w:r>
        <w:rPr>
          <w:rFonts w:ascii="Arial" w:hAnsi="Arial" w:cs="Arial"/>
          <w:sz w:val="22"/>
          <w:szCs w:val="22"/>
          <w:lang w:val="es-ES_tradnl"/>
        </w:rPr>
        <w:t xml:space="preserve">, </w:t>
      </w:r>
      <w:r w:rsidR="009844E2" w:rsidRPr="00C95C80">
        <w:rPr>
          <w:rFonts w:ascii="Arial" w:hAnsi="Arial" w:cs="Arial"/>
          <w:sz w:val="22"/>
          <w:szCs w:val="22"/>
          <w:lang w:val="es-ES_tradnl"/>
        </w:rPr>
        <w:t xml:space="preserve">elaborados, publicados y presentados de acuerdo con lo definido </w:t>
      </w:r>
      <w:r w:rsidR="009844E2" w:rsidRPr="007D4B5A">
        <w:rPr>
          <w:rFonts w:ascii="Arial" w:hAnsi="Arial" w:cs="Arial"/>
          <w:sz w:val="22"/>
          <w:szCs w:val="22"/>
          <w:lang w:val="es-ES_tradnl"/>
        </w:rPr>
        <w:t xml:space="preserve">por la Contaduría General de la Nación en la Resolución 533/15 y sus modificaciones, </w:t>
      </w:r>
      <w:r w:rsidR="009844E2">
        <w:rPr>
          <w:rFonts w:ascii="Arial" w:hAnsi="Arial" w:cs="Arial"/>
          <w:sz w:val="22"/>
          <w:szCs w:val="22"/>
          <w:lang w:val="es-ES_tradnl"/>
        </w:rPr>
        <w:t xml:space="preserve">mediante </w:t>
      </w:r>
      <w:r w:rsidR="009844E2" w:rsidRPr="007D4B5A">
        <w:rPr>
          <w:rFonts w:ascii="Arial" w:hAnsi="Arial" w:cs="Arial"/>
          <w:sz w:val="22"/>
          <w:szCs w:val="22"/>
          <w:lang w:val="es-ES_tradnl"/>
        </w:rPr>
        <w:t xml:space="preserve">la cual incorpora, como parte integrante del Régimen de Contabilidad Pública, el Marco Normativo para Entidades de Gobierno. </w:t>
      </w:r>
    </w:p>
    <w:p w14:paraId="16737D93" w14:textId="77777777" w:rsidR="009844E2" w:rsidRPr="009844E2" w:rsidRDefault="009844E2" w:rsidP="00EF3D59">
      <w:pPr>
        <w:spacing w:line="288" w:lineRule="auto"/>
      </w:pPr>
    </w:p>
    <w:p w14:paraId="67A5206E" w14:textId="77777777" w:rsidR="007C155F" w:rsidRPr="007C155F" w:rsidRDefault="007C155F" w:rsidP="00EF3D59">
      <w:pPr>
        <w:pStyle w:val="Ttulo1"/>
        <w:numPr>
          <w:ilvl w:val="0"/>
          <w:numId w:val="1"/>
        </w:numPr>
        <w:spacing w:line="288" w:lineRule="auto"/>
        <w:jc w:val="both"/>
        <w:rPr>
          <w:rFonts w:ascii="Arial" w:hAnsi="Arial" w:cs="Arial"/>
          <w:sz w:val="22"/>
          <w:szCs w:val="22"/>
        </w:rPr>
      </w:pPr>
      <w:bookmarkStart w:id="19" w:name="_Toc59377811"/>
      <w:bookmarkStart w:id="20" w:name="_Toc515549283"/>
      <w:bookmarkStart w:id="21" w:name="_Toc515549677"/>
      <w:bookmarkStart w:id="22" w:name="_Toc520127139"/>
      <w:bookmarkStart w:id="23" w:name="_Toc521089516"/>
      <w:bookmarkEnd w:id="9"/>
      <w:bookmarkEnd w:id="10"/>
      <w:r w:rsidRPr="00E56F22">
        <w:rPr>
          <w:rFonts w:ascii="Arial" w:hAnsi="Arial" w:cs="Arial"/>
          <w:sz w:val="22"/>
          <w:szCs w:val="22"/>
          <w:lang w:val="es-ES_tradnl"/>
          <w14:shadow w14:blurRad="50800" w14:dist="38100" w14:dir="2700000" w14:sx="100000" w14:sy="100000" w14:kx="0" w14:ky="0" w14:algn="tl">
            <w14:srgbClr w14:val="000000">
              <w14:alpha w14:val="60000"/>
            </w14:srgbClr>
          </w14:shadow>
        </w:rPr>
        <w:t>TÉRMINOS Y DEFINICIONES</w:t>
      </w:r>
      <w:bookmarkEnd w:id="19"/>
      <w:r w:rsidRPr="00E56F22">
        <w:rPr>
          <w:rFonts w:ascii="Arial" w:hAnsi="Arial" w:cs="Arial"/>
          <w:sz w:val="22"/>
          <w:szCs w:val="22"/>
          <w:lang w:val="es-ES_tradnl"/>
          <w14:shadow w14:blurRad="50800" w14:dist="38100" w14:dir="2700000" w14:sx="100000" w14:sy="100000" w14:kx="0" w14:ky="0" w14:algn="tl">
            <w14:srgbClr w14:val="000000">
              <w14:alpha w14:val="60000"/>
            </w14:srgbClr>
          </w14:shadow>
        </w:rPr>
        <w:t xml:space="preserve"> </w:t>
      </w:r>
    </w:p>
    <w:p w14:paraId="44DA065C" w14:textId="77777777" w:rsidR="007C155F" w:rsidRDefault="007C155F" w:rsidP="00EF3D59">
      <w:pPr>
        <w:pStyle w:val="Ttulo1"/>
        <w:spacing w:line="288" w:lineRule="auto"/>
        <w:jc w:val="both"/>
        <w:rPr>
          <w:rFonts w:ascii="Arial" w:hAnsi="Arial" w:cs="Arial"/>
          <w:sz w:val="22"/>
          <w:szCs w:val="22"/>
        </w:rPr>
      </w:pPr>
    </w:p>
    <w:p w14:paraId="7B32CE8F" w14:textId="0EE35B76" w:rsidR="007C155F" w:rsidRPr="006428D8" w:rsidRDefault="007C155F" w:rsidP="00EF3D59">
      <w:pPr>
        <w:spacing w:line="288" w:lineRule="auto"/>
        <w:jc w:val="both"/>
        <w:rPr>
          <w:rFonts w:ascii="Arial" w:hAnsi="Arial" w:cs="Arial"/>
          <w:sz w:val="22"/>
          <w:szCs w:val="22"/>
        </w:rPr>
      </w:pPr>
      <w:r w:rsidRPr="006428D8">
        <w:rPr>
          <w:rFonts w:ascii="Arial" w:hAnsi="Arial" w:cs="Arial"/>
          <w:sz w:val="22"/>
          <w:szCs w:val="22"/>
        </w:rPr>
        <w:t xml:space="preserve">Aplica los términos señalados en el </w:t>
      </w:r>
      <w:r w:rsidR="002D39A3" w:rsidRPr="006428D8">
        <w:rPr>
          <w:rFonts w:ascii="Arial" w:hAnsi="Arial" w:cs="Arial"/>
          <w:sz w:val="22"/>
          <w:szCs w:val="22"/>
        </w:rPr>
        <w:t xml:space="preserve">Apo.3.Man.2. Manual de políticas Contables. </w:t>
      </w:r>
      <w:r w:rsidR="00FC25D9" w:rsidRPr="006428D8">
        <w:rPr>
          <w:rFonts w:ascii="Arial" w:hAnsi="Arial" w:cs="Arial"/>
          <w:sz w:val="22"/>
          <w:szCs w:val="22"/>
        </w:rPr>
        <w:t>S</w:t>
      </w:r>
      <w:r w:rsidRPr="006428D8">
        <w:rPr>
          <w:rFonts w:ascii="Arial" w:hAnsi="Arial" w:cs="Arial"/>
          <w:sz w:val="22"/>
          <w:szCs w:val="22"/>
        </w:rPr>
        <w:t>in embargo</w:t>
      </w:r>
      <w:r w:rsidR="00FC25D9" w:rsidRPr="006428D8">
        <w:rPr>
          <w:rFonts w:ascii="Arial" w:hAnsi="Arial" w:cs="Arial"/>
          <w:sz w:val="22"/>
          <w:szCs w:val="22"/>
        </w:rPr>
        <w:t>,</w:t>
      </w:r>
      <w:r w:rsidRPr="006428D8">
        <w:rPr>
          <w:rFonts w:ascii="Arial" w:hAnsi="Arial" w:cs="Arial"/>
          <w:sz w:val="22"/>
          <w:szCs w:val="22"/>
        </w:rPr>
        <w:t xml:space="preserve"> a </w:t>
      </w:r>
      <w:r w:rsidR="0016669B" w:rsidRPr="006428D8">
        <w:rPr>
          <w:rFonts w:ascii="Arial" w:hAnsi="Arial" w:cs="Arial"/>
          <w:sz w:val="22"/>
          <w:szCs w:val="22"/>
        </w:rPr>
        <w:t>continuación,</w:t>
      </w:r>
      <w:r w:rsidR="00FD5AD7">
        <w:rPr>
          <w:rFonts w:ascii="Arial" w:hAnsi="Arial" w:cs="Arial"/>
          <w:sz w:val="22"/>
          <w:szCs w:val="22"/>
        </w:rPr>
        <w:t xml:space="preserve"> se presentan las siglas empleadas en el </w:t>
      </w:r>
      <w:r w:rsidR="00FC25D9" w:rsidRPr="006428D8">
        <w:rPr>
          <w:rFonts w:ascii="Arial" w:hAnsi="Arial" w:cs="Arial"/>
          <w:sz w:val="22"/>
          <w:szCs w:val="22"/>
        </w:rPr>
        <w:t>presente manual</w:t>
      </w:r>
      <w:r w:rsidR="00FD5AD7">
        <w:rPr>
          <w:rFonts w:ascii="Arial" w:hAnsi="Arial" w:cs="Arial"/>
          <w:sz w:val="22"/>
          <w:szCs w:val="22"/>
        </w:rPr>
        <w:t>:</w:t>
      </w:r>
      <w:r w:rsidR="00D63789" w:rsidRPr="006428D8">
        <w:rPr>
          <w:rFonts w:ascii="Arial" w:hAnsi="Arial" w:cs="Arial"/>
          <w:sz w:val="22"/>
          <w:szCs w:val="22"/>
        </w:rPr>
        <w:t xml:space="preserve"> </w:t>
      </w:r>
    </w:p>
    <w:bookmarkEnd w:id="20"/>
    <w:bookmarkEnd w:id="21"/>
    <w:bookmarkEnd w:id="22"/>
    <w:bookmarkEnd w:id="23"/>
    <w:p w14:paraId="672B4DAA" w14:textId="77777777" w:rsidR="002667FF" w:rsidRPr="00B80246" w:rsidRDefault="002667FF" w:rsidP="00EF3D59">
      <w:pPr>
        <w:spacing w:line="288" w:lineRule="auto"/>
        <w:rPr>
          <w:rFonts w:ascii="Arial" w:hAnsi="Arial" w:cs="Arial"/>
          <w:sz w:val="22"/>
          <w:szCs w:val="22"/>
        </w:rPr>
      </w:pPr>
    </w:p>
    <w:p w14:paraId="034F6D92" w14:textId="77777777" w:rsidR="00653BF1" w:rsidRPr="00B80246" w:rsidRDefault="00653BF1" w:rsidP="00EF3D59">
      <w:pPr>
        <w:spacing w:line="288" w:lineRule="auto"/>
        <w:rPr>
          <w:rFonts w:ascii="Arial" w:hAnsi="Arial" w:cs="Arial"/>
          <w:sz w:val="22"/>
          <w:szCs w:val="22"/>
        </w:rPr>
      </w:pPr>
      <w:r w:rsidRPr="00B80246">
        <w:rPr>
          <w:rFonts w:ascii="Arial" w:hAnsi="Arial" w:cs="Arial"/>
          <w:b/>
          <w:sz w:val="22"/>
          <w:szCs w:val="22"/>
        </w:rPr>
        <w:t>CGN:</w:t>
      </w:r>
      <w:r w:rsidRPr="00B80246">
        <w:rPr>
          <w:rFonts w:ascii="Arial" w:hAnsi="Arial" w:cs="Arial"/>
          <w:sz w:val="22"/>
          <w:szCs w:val="22"/>
        </w:rPr>
        <w:t xml:space="preserve"> Contaduría General de la Nación </w:t>
      </w:r>
    </w:p>
    <w:p w14:paraId="192B225A" w14:textId="77777777" w:rsidR="00653BF1" w:rsidRPr="00B80246" w:rsidRDefault="00653BF1" w:rsidP="00EF3D59">
      <w:pPr>
        <w:spacing w:line="288" w:lineRule="auto"/>
        <w:rPr>
          <w:rFonts w:ascii="Arial" w:hAnsi="Arial" w:cs="Arial"/>
          <w:sz w:val="22"/>
          <w:szCs w:val="22"/>
        </w:rPr>
      </w:pPr>
      <w:r w:rsidRPr="00B80246">
        <w:rPr>
          <w:rFonts w:ascii="Arial" w:hAnsi="Arial" w:cs="Arial"/>
          <w:b/>
          <w:sz w:val="22"/>
          <w:szCs w:val="22"/>
        </w:rPr>
        <w:t>CHIP:</w:t>
      </w:r>
      <w:r w:rsidRPr="00B80246">
        <w:rPr>
          <w:rFonts w:ascii="Arial" w:hAnsi="Arial" w:cs="Arial"/>
          <w:sz w:val="22"/>
          <w:szCs w:val="22"/>
        </w:rPr>
        <w:t xml:space="preserve"> Sistema Consolidador de Hacienda e Información Financiera Pública</w:t>
      </w:r>
    </w:p>
    <w:p w14:paraId="26D1A5E6" w14:textId="77777777" w:rsidR="0008498A" w:rsidRPr="00B80246" w:rsidRDefault="0008498A" w:rsidP="00EF3D59">
      <w:pPr>
        <w:spacing w:line="288" w:lineRule="auto"/>
        <w:jc w:val="both"/>
        <w:rPr>
          <w:rFonts w:ascii="Arial" w:hAnsi="Arial" w:cs="Arial"/>
          <w:sz w:val="22"/>
          <w:szCs w:val="22"/>
        </w:rPr>
      </w:pPr>
      <w:r w:rsidRPr="00B80246">
        <w:rPr>
          <w:rFonts w:ascii="Arial" w:hAnsi="Arial" w:cs="Arial"/>
          <w:b/>
          <w:sz w:val="22"/>
          <w:szCs w:val="22"/>
        </w:rPr>
        <w:t>MHCP:</w:t>
      </w:r>
      <w:r w:rsidRPr="00B80246">
        <w:rPr>
          <w:rFonts w:ascii="Arial" w:hAnsi="Arial" w:cs="Arial"/>
          <w:sz w:val="22"/>
          <w:szCs w:val="22"/>
        </w:rPr>
        <w:t xml:space="preserve"> Ministerio de Hacienda y Crédito Público</w:t>
      </w:r>
    </w:p>
    <w:p w14:paraId="53D632CF" w14:textId="77777777" w:rsidR="00E27006" w:rsidRPr="00B80246" w:rsidRDefault="00E27006" w:rsidP="00EF3D59">
      <w:pPr>
        <w:spacing w:line="288" w:lineRule="auto"/>
        <w:jc w:val="both"/>
        <w:rPr>
          <w:rFonts w:ascii="Arial" w:hAnsi="Arial" w:cs="Arial"/>
          <w:sz w:val="22"/>
          <w:szCs w:val="22"/>
        </w:rPr>
      </w:pPr>
      <w:r w:rsidRPr="00B80246">
        <w:rPr>
          <w:rFonts w:ascii="Arial" w:hAnsi="Arial" w:cs="Arial"/>
          <w:b/>
          <w:sz w:val="22"/>
          <w:szCs w:val="22"/>
        </w:rPr>
        <w:t>MNEG:</w:t>
      </w:r>
      <w:r w:rsidRPr="00B80246">
        <w:rPr>
          <w:rFonts w:ascii="Arial" w:hAnsi="Arial" w:cs="Arial"/>
          <w:sz w:val="22"/>
          <w:szCs w:val="22"/>
        </w:rPr>
        <w:t xml:space="preserve"> Marco Normativo para Entidades de Gobierno</w:t>
      </w:r>
    </w:p>
    <w:p w14:paraId="5B680943" w14:textId="77777777" w:rsidR="0008498A" w:rsidRPr="00B80246" w:rsidRDefault="0008498A" w:rsidP="00EF3D59">
      <w:pPr>
        <w:spacing w:line="288" w:lineRule="auto"/>
        <w:jc w:val="both"/>
        <w:rPr>
          <w:rFonts w:ascii="Arial" w:hAnsi="Arial" w:cs="Arial"/>
          <w:sz w:val="22"/>
          <w:szCs w:val="22"/>
        </w:rPr>
      </w:pPr>
      <w:r w:rsidRPr="00B80246">
        <w:rPr>
          <w:rFonts w:ascii="Arial" w:hAnsi="Arial" w:cs="Arial"/>
          <w:b/>
          <w:sz w:val="22"/>
          <w:szCs w:val="22"/>
        </w:rPr>
        <w:t>RCP:</w:t>
      </w:r>
      <w:r w:rsidRPr="00B80246">
        <w:rPr>
          <w:rFonts w:ascii="Arial" w:hAnsi="Arial" w:cs="Arial"/>
          <w:sz w:val="22"/>
          <w:szCs w:val="22"/>
        </w:rPr>
        <w:t xml:space="preserve"> Régimen de Contabilidad Pública</w:t>
      </w:r>
    </w:p>
    <w:p w14:paraId="413835EB" w14:textId="77777777" w:rsidR="00653BF1" w:rsidRPr="00B80246" w:rsidRDefault="00653BF1" w:rsidP="00EF3D59">
      <w:pPr>
        <w:spacing w:line="288" w:lineRule="auto"/>
        <w:jc w:val="both"/>
        <w:rPr>
          <w:rFonts w:ascii="Arial" w:hAnsi="Arial" w:cs="Arial"/>
          <w:sz w:val="22"/>
          <w:szCs w:val="22"/>
        </w:rPr>
      </w:pPr>
      <w:r w:rsidRPr="00B80246">
        <w:rPr>
          <w:rFonts w:ascii="Arial" w:hAnsi="Arial" w:cs="Arial"/>
          <w:b/>
          <w:sz w:val="22"/>
          <w:szCs w:val="22"/>
        </w:rPr>
        <w:t>SIIF:</w:t>
      </w:r>
      <w:r w:rsidRPr="00B80246">
        <w:rPr>
          <w:rFonts w:ascii="Arial" w:hAnsi="Arial" w:cs="Arial"/>
          <w:sz w:val="22"/>
          <w:szCs w:val="22"/>
        </w:rPr>
        <w:t xml:space="preserve"> Sistema Integrado de Información Financiera</w:t>
      </w:r>
    </w:p>
    <w:p w14:paraId="24794566" w14:textId="77777777" w:rsidR="00E27006" w:rsidRPr="00B80246" w:rsidRDefault="00E27006" w:rsidP="00EF3D59">
      <w:pPr>
        <w:spacing w:line="288" w:lineRule="auto"/>
        <w:jc w:val="both"/>
        <w:rPr>
          <w:rFonts w:ascii="Arial" w:hAnsi="Arial" w:cs="Arial"/>
          <w:sz w:val="22"/>
          <w:szCs w:val="22"/>
        </w:rPr>
      </w:pPr>
    </w:p>
    <w:p w14:paraId="5B682967" w14:textId="77777777" w:rsidR="0046335B" w:rsidRPr="00B80246" w:rsidRDefault="0046335B" w:rsidP="00EF3D59">
      <w:pPr>
        <w:pStyle w:val="Ttulo1"/>
        <w:numPr>
          <w:ilvl w:val="0"/>
          <w:numId w:val="1"/>
        </w:numPr>
        <w:spacing w:line="288" w:lineRule="auto"/>
        <w:jc w:val="both"/>
        <w:rPr>
          <w:rFonts w:ascii="Arial" w:hAnsi="Arial" w:cs="Arial"/>
          <w:sz w:val="22"/>
          <w:szCs w:val="22"/>
        </w:rPr>
      </w:pPr>
      <w:bookmarkStart w:id="24" w:name="_Toc397936246"/>
      <w:bookmarkStart w:id="25" w:name="_Toc459991345"/>
      <w:bookmarkStart w:id="26" w:name="_Toc490726944"/>
      <w:bookmarkStart w:id="27" w:name="_Toc490727892"/>
      <w:bookmarkStart w:id="28" w:name="_Toc59377812"/>
      <w:bookmarkStart w:id="29" w:name="_Toc390675293"/>
      <w:bookmarkEnd w:id="11"/>
      <w:bookmarkEnd w:id="12"/>
      <w:bookmarkEnd w:id="13"/>
      <w:bookmarkEnd w:id="14"/>
      <w:bookmarkEnd w:id="15"/>
      <w:bookmarkEnd w:id="16"/>
      <w:r w:rsidRPr="00B80246">
        <w:rPr>
          <w:rFonts w:ascii="Arial" w:hAnsi="Arial" w:cs="Arial"/>
          <w:sz w:val="22"/>
          <w:szCs w:val="22"/>
        </w:rPr>
        <w:t>GENERALIDADES</w:t>
      </w:r>
      <w:bookmarkEnd w:id="24"/>
      <w:bookmarkEnd w:id="25"/>
      <w:bookmarkEnd w:id="26"/>
      <w:bookmarkEnd w:id="27"/>
      <w:bookmarkEnd w:id="28"/>
    </w:p>
    <w:p w14:paraId="46093BF8" w14:textId="77777777" w:rsidR="0046335B" w:rsidRPr="00B80246" w:rsidRDefault="0046335B" w:rsidP="00EF3D59">
      <w:pPr>
        <w:spacing w:line="288" w:lineRule="auto"/>
        <w:jc w:val="both"/>
        <w:rPr>
          <w:rFonts w:ascii="Arial" w:hAnsi="Arial" w:cs="Arial"/>
          <w:sz w:val="22"/>
          <w:szCs w:val="22"/>
        </w:rPr>
      </w:pPr>
    </w:p>
    <w:p w14:paraId="6B4E73FB" w14:textId="77777777" w:rsidR="00A87C66" w:rsidRPr="00B80246" w:rsidRDefault="00E8639B" w:rsidP="00EF3D59">
      <w:pPr>
        <w:pStyle w:val="Ttulo2"/>
        <w:numPr>
          <w:ilvl w:val="1"/>
          <w:numId w:val="1"/>
        </w:numPr>
        <w:spacing w:line="288" w:lineRule="auto"/>
        <w:ind w:left="426" w:hanging="426"/>
        <w:rPr>
          <w:rFonts w:ascii="Arial" w:hAnsi="Arial" w:cs="Arial"/>
          <w:sz w:val="22"/>
          <w:szCs w:val="22"/>
        </w:rPr>
      </w:pPr>
      <w:bookmarkStart w:id="30" w:name="_Toc490726945"/>
      <w:bookmarkStart w:id="31" w:name="_Toc490727893"/>
      <w:bookmarkStart w:id="32" w:name="_Toc59377813"/>
      <w:bookmarkStart w:id="33" w:name="_Toc397936247"/>
      <w:bookmarkStart w:id="34" w:name="_Toc459991346"/>
      <w:r w:rsidRPr="00B80246">
        <w:rPr>
          <w:rFonts w:ascii="Arial" w:hAnsi="Arial" w:cs="Arial"/>
          <w:sz w:val="22"/>
          <w:szCs w:val="22"/>
        </w:rPr>
        <w:t>ESTRUCTURA ORGANIZACIONAL Y NORMATIVIDAD CONTABLE APLICABLE AL MINISTERIO DE HACIENDA Y CRÉDITO PÚBLICO</w:t>
      </w:r>
      <w:bookmarkEnd w:id="30"/>
      <w:bookmarkEnd w:id="31"/>
      <w:bookmarkEnd w:id="32"/>
      <w:r w:rsidRPr="00B80246">
        <w:rPr>
          <w:rFonts w:ascii="Arial" w:hAnsi="Arial" w:cs="Arial"/>
          <w:sz w:val="22"/>
          <w:szCs w:val="22"/>
        </w:rPr>
        <w:t xml:space="preserve"> </w:t>
      </w:r>
    </w:p>
    <w:p w14:paraId="3BC44AB0" w14:textId="77777777" w:rsidR="00A87C66" w:rsidRPr="00B80246" w:rsidRDefault="00A87C66" w:rsidP="00EF3D59">
      <w:pPr>
        <w:spacing w:line="288" w:lineRule="auto"/>
        <w:rPr>
          <w:rFonts w:ascii="Arial" w:hAnsi="Arial" w:cs="Arial"/>
          <w:sz w:val="22"/>
          <w:szCs w:val="22"/>
        </w:rPr>
      </w:pPr>
    </w:p>
    <w:p w14:paraId="747207FE" w14:textId="77777777" w:rsidR="001869B6" w:rsidRPr="00B80246" w:rsidRDefault="00BA1542" w:rsidP="00EF3D59">
      <w:pPr>
        <w:pStyle w:val="Ttulo3"/>
        <w:numPr>
          <w:ilvl w:val="2"/>
          <w:numId w:val="1"/>
        </w:numPr>
        <w:spacing w:line="288" w:lineRule="auto"/>
        <w:ind w:left="567" w:hanging="567"/>
        <w:jc w:val="both"/>
        <w:rPr>
          <w:rFonts w:ascii="Arial" w:hAnsi="Arial" w:cs="Arial"/>
          <w:b/>
          <w:sz w:val="22"/>
          <w:szCs w:val="22"/>
        </w:rPr>
      </w:pPr>
      <w:bookmarkStart w:id="35" w:name="_Toc490726946"/>
      <w:bookmarkStart w:id="36" w:name="_Toc490727894"/>
      <w:bookmarkStart w:id="37" w:name="_Toc59377814"/>
      <w:r w:rsidRPr="00B80246">
        <w:rPr>
          <w:rFonts w:ascii="Arial" w:hAnsi="Arial" w:cs="Arial"/>
          <w:b/>
          <w:sz w:val="22"/>
          <w:szCs w:val="22"/>
        </w:rPr>
        <w:t xml:space="preserve">Régimen Jurídico y </w:t>
      </w:r>
      <w:r w:rsidR="0046335B" w:rsidRPr="00B80246">
        <w:rPr>
          <w:rFonts w:ascii="Arial" w:hAnsi="Arial" w:cs="Arial"/>
          <w:b/>
          <w:sz w:val="22"/>
          <w:szCs w:val="22"/>
        </w:rPr>
        <w:t xml:space="preserve">Estructura Orgánica </w:t>
      </w:r>
      <w:bookmarkEnd w:id="33"/>
      <w:bookmarkEnd w:id="34"/>
      <w:r w:rsidRPr="00B80246">
        <w:rPr>
          <w:rFonts w:ascii="Arial" w:hAnsi="Arial" w:cs="Arial"/>
          <w:b/>
          <w:sz w:val="22"/>
          <w:szCs w:val="22"/>
        </w:rPr>
        <w:t>del Ministerio de Hacienda y Crédito Público</w:t>
      </w:r>
      <w:bookmarkEnd w:id="35"/>
      <w:bookmarkEnd w:id="36"/>
      <w:bookmarkEnd w:id="37"/>
    </w:p>
    <w:p w14:paraId="55A9951B" w14:textId="77777777" w:rsidR="00170533" w:rsidRDefault="00170533" w:rsidP="00EF3D59">
      <w:pPr>
        <w:spacing w:line="288" w:lineRule="auto"/>
        <w:rPr>
          <w:rFonts w:ascii="Arial" w:hAnsi="Arial" w:cs="Arial"/>
          <w:sz w:val="22"/>
          <w:szCs w:val="22"/>
        </w:rPr>
      </w:pPr>
    </w:p>
    <w:p w14:paraId="283FCA25" w14:textId="77777777" w:rsidR="00EE7EE5" w:rsidRPr="001B3378" w:rsidRDefault="00EE7EE5" w:rsidP="00EF3D59">
      <w:pPr>
        <w:spacing w:line="288" w:lineRule="auto"/>
        <w:jc w:val="both"/>
        <w:rPr>
          <w:rFonts w:ascii="Arial" w:hAnsi="Arial" w:cs="Arial"/>
          <w:sz w:val="22"/>
          <w:szCs w:val="22"/>
          <w:lang w:val="es-CO"/>
        </w:rPr>
      </w:pPr>
      <w:bookmarkStart w:id="38" w:name="_Toc397936248"/>
      <w:bookmarkStart w:id="39" w:name="_Toc459991347"/>
      <w:r w:rsidRPr="001B3378">
        <w:rPr>
          <w:rFonts w:ascii="Arial" w:eastAsia="Calibri" w:hAnsi="Arial" w:cs="Arial"/>
          <w:sz w:val="22"/>
          <w:szCs w:val="22"/>
          <w:lang w:val="es-CO" w:eastAsia="en-US"/>
        </w:rPr>
        <w:t xml:space="preserve">El Ministerio de Hacienda se creó con la Ley 7ª de agosto 25 de 1886, y con la Ley 31 de 1923 </w:t>
      </w:r>
      <w:r w:rsidRPr="001B3378">
        <w:rPr>
          <w:rFonts w:ascii="Arial" w:hAnsi="Arial" w:cs="Arial"/>
          <w:sz w:val="22"/>
          <w:szCs w:val="22"/>
          <w:lang w:val="es-CO"/>
        </w:rPr>
        <w:t xml:space="preserve">cambió su denominación a Ministerio de Hacienda y Crédito Público. Actualmente se rige por el Decreto 4712 de 2008, mediante el cual se modificó su estructura orgánica. </w:t>
      </w:r>
    </w:p>
    <w:p w14:paraId="323AC5EF" w14:textId="77777777" w:rsidR="00EE7EE5" w:rsidRPr="001B3378" w:rsidRDefault="00EE7EE5" w:rsidP="00EF3D59">
      <w:pPr>
        <w:spacing w:line="288" w:lineRule="auto"/>
        <w:jc w:val="both"/>
        <w:rPr>
          <w:rFonts w:ascii="Arial" w:hAnsi="Arial" w:cs="Arial"/>
          <w:sz w:val="22"/>
          <w:szCs w:val="22"/>
          <w:lang w:val="es-CO"/>
        </w:rPr>
      </w:pPr>
    </w:p>
    <w:p w14:paraId="13C82929" w14:textId="77777777" w:rsidR="00EE7EE5" w:rsidRPr="001B3378" w:rsidRDefault="00EE7EE5" w:rsidP="00EF3D59">
      <w:pPr>
        <w:spacing w:line="288" w:lineRule="auto"/>
        <w:jc w:val="both"/>
        <w:rPr>
          <w:rFonts w:ascii="Arial" w:eastAsia="Calibri" w:hAnsi="Arial" w:cs="Arial"/>
          <w:sz w:val="22"/>
          <w:szCs w:val="22"/>
          <w:lang w:val="es-CO" w:eastAsia="en-US"/>
        </w:rPr>
      </w:pPr>
      <w:r w:rsidRPr="001B3378">
        <w:rPr>
          <w:rFonts w:ascii="Arial" w:hAnsi="Arial" w:cs="Arial"/>
          <w:sz w:val="22"/>
          <w:szCs w:val="22"/>
          <w:lang w:val="es-CO"/>
        </w:rPr>
        <w:lastRenderedPageBreak/>
        <w:t>El Ministerio de Hacienda y Crédito Público e</w:t>
      </w:r>
      <w:r w:rsidRPr="001B3378">
        <w:rPr>
          <w:rFonts w:ascii="Arial" w:eastAsia="Calibri" w:hAnsi="Arial" w:cs="Arial"/>
          <w:sz w:val="22"/>
          <w:szCs w:val="22"/>
          <w:lang w:val="es-CO" w:eastAsia="en-US"/>
        </w:rPr>
        <w:t>s la entidad del Gobierno que coordina la política macroeconómica; define, formula y ejecuta la política fiscal del país; incide en los sectores económicos, gubernamentales y políticos; y gestiona los recursos públicos de la Nación, desde la perspectiva presupuestal y financiera, mediante actuaciones transparentes, personal competente y procesos eficientes, con el fin de propiciar: las condiciones para el crecimiento económico sostenible, la estabilidad y solidez de la economía y del sistema financiero; en pro del fortalecimiento de las instituciones, el apoyo a la descentralización y el bienestar social de los ciudadanos.</w:t>
      </w:r>
    </w:p>
    <w:p w14:paraId="00DFBA61" w14:textId="77777777" w:rsidR="00EE7EE5" w:rsidRPr="001B3378" w:rsidRDefault="00EE7EE5" w:rsidP="00EF3D59">
      <w:pPr>
        <w:spacing w:line="288" w:lineRule="auto"/>
        <w:jc w:val="both"/>
        <w:rPr>
          <w:rFonts w:ascii="Arial" w:hAnsi="Arial" w:cs="Arial"/>
          <w:sz w:val="22"/>
          <w:szCs w:val="22"/>
          <w:lang w:val="es-CO"/>
        </w:rPr>
      </w:pPr>
    </w:p>
    <w:p w14:paraId="21FDBC5C" w14:textId="77777777" w:rsidR="00EE7EE5" w:rsidRPr="00EF3D59" w:rsidRDefault="00EE7EE5" w:rsidP="00EF3D59">
      <w:pPr>
        <w:pStyle w:val="Prrafodelista"/>
        <w:spacing w:line="288" w:lineRule="auto"/>
        <w:ind w:left="0"/>
        <w:jc w:val="both"/>
        <w:rPr>
          <w:rFonts w:ascii="Arial" w:eastAsia="Calibri" w:hAnsi="Arial" w:cs="Arial"/>
          <w:b/>
          <w:sz w:val="22"/>
          <w:szCs w:val="22"/>
          <w:lang w:val="es-CO" w:eastAsia="en-US"/>
        </w:rPr>
      </w:pPr>
      <w:bookmarkStart w:id="40" w:name="_Toc519762212"/>
      <w:bookmarkStart w:id="41" w:name="_Toc523504265"/>
      <w:bookmarkStart w:id="42" w:name="_Toc50652731"/>
      <w:r w:rsidRPr="00EF3D59">
        <w:rPr>
          <w:rFonts w:ascii="Arial" w:eastAsia="Calibri" w:hAnsi="Arial" w:cs="Arial"/>
          <w:b/>
          <w:sz w:val="22"/>
          <w:szCs w:val="22"/>
          <w:lang w:val="es-CO" w:eastAsia="en-US"/>
        </w:rPr>
        <w:t>Objetivo General</w:t>
      </w:r>
      <w:bookmarkEnd w:id="40"/>
      <w:bookmarkEnd w:id="41"/>
      <w:bookmarkEnd w:id="42"/>
    </w:p>
    <w:p w14:paraId="1E2FD3D7" w14:textId="77777777" w:rsidR="00EE7EE5" w:rsidRPr="001B3378" w:rsidRDefault="00EE7EE5" w:rsidP="00EF3D59">
      <w:pPr>
        <w:spacing w:line="288" w:lineRule="auto"/>
        <w:jc w:val="both"/>
        <w:rPr>
          <w:rFonts w:ascii="Arial" w:eastAsia="Calibri" w:hAnsi="Arial" w:cs="Arial"/>
          <w:sz w:val="22"/>
          <w:szCs w:val="22"/>
          <w:lang w:val="es-CO" w:eastAsia="en-US"/>
        </w:rPr>
      </w:pPr>
    </w:p>
    <w:p w14:paraId="2BDEA9D9" w14:textId="77777777" w:rsidR="00EE7EE5" w:rsidRPr="001B3378" w:rsidRDefault="00EE7EE5" w:rsidP="00EF3D59">
      <w:pPr>
        <w:spacing w:line="288" w:lineRule="auto"/>
        <w:jc w:val="both"/>
        <w:rPr>
          <w:rFonts w:ascii="Arial" w:eastAsia="Calibri" w:hAnsi="Arial" w:cs="Arial"/>
          <w:sz w:val="22"/>
          <w:szCs w:val="22"/>
          <w:lang w:val="es-CO" w:eastAsia="en-US"/>
        </w:rPr>
      </w:pPr>
      <w:r w:rsidRPr="001B3378">
        <w:rPr>
          <w:rFonts w:ascii="Arial" w:eastAsia="Calibri" w:hAnsi="Arial" w:cs="Arial"/>
          <w:sz w:val="22"/>
          <w:szCs w:val="22"/>
          <w:lang w:val="es-CO" w:eastAsia="en-US"/>
        </w:rPr>
        <w:t>Definir, formular y ejecutar la política económica del país, los planes generales, programas y proyectos relacionados con ésta, así como la preparación de las leyes, decretos y la regulación, en materia fiscal, tributaria, aduanera, de crédito público, presupuestal, de tesorería, cooperativa, financiera, cambiaria, monetaria y crediticia, sin perjuicio de las atribuciones conferidas a la Junta Directiva del Banco de la República y las que ejerza, a través de organismos adscritos o vinculados, para el ejercicio de las actividades que correspondan a la intervención del Estado en las actividades financiera, bursátil, aseguradora y cualquiera otra relacionada con el manejo, aprovechamiento e inversión de los recursos del ahorro público y el tesoro nacional, de conformidad con la Constitución Política y la Ley.</w:t>
      </w:r>
    </w:p>
    <w:p w14:paraId="1826B7A6" w14:textId="77777777" w:rsidR="00EE7EE5" w:rsidRPr="001B3378" w:rsidRDefault="00EE7EE5" w:rsidP="00EF3D59">
      <w:pPr>
        <w:spacing w:line="288" w:lineRule="auto"/>
        <w:jc w:val="both"/>
        <w:rPr>
          <w:rFonts w:ascii="Arial" w:hAnsi="Arial" w:cs="Arial"/>
          <w:sz w:val="22"/>
          <w:szCs w:val="22"/>
          <w:lang w:val="es-CO"/>
        </w:rPr>
      </w:pPr>
    </w:p>
    <w:p w14:paraId="206013EA" w14:textId="77777777" w:rsidR="00EE7EE5" w:rsidRPr="001B3378" w:rsidRDefault="00EE7EE5" w:rsidP="00EF3D59">
      <w:pPr>
        <w:pStyle w:val="Default"/>
        <w:spacing w:line="288" w:lineRule="auto"/>
        <w:jc w:val="both"/>
        <w:rPr>
          <w:rFonts w:eastAsia="Times New Roman"/>
          <w:color w:val="auto"/>
          <w:sz w:val="22"/>
          <w:szCs w:val="22"/>
          <w:lang w:eastAsia="es-ES"/>
        </w:rPr>
      </w:pPr>
      <w:r w:rsidRPr="001B3378">
        <w:rPr>
          <w:color w:val="auto"/>
          <w:sz w:val="22"/>
          <w:szCs w:val="22"/>
        </w:rPr>
        <w:t xml:space="preserve">Por su parte, </w:t>
      </w:r>
      <w:r w:rsidRPr="001B3378">
        <w:rPr>
          <w:rFonts w:eastAsia="Times New Roman"/>
          <w:color w:val="auto"/>
          <w:sz w:val="22"/>
          <w:szCs w:val="22"/>
          <w:lang w:eastAsia="es-ES"/>
        </w:rPr>
        <w:t>la estructura del Ministerio de Hacienda y Crédito Público está definida por el Decreto 4712 del 15 de diciembre de 2008 y sus modificaciones, así:</w:t>
      </w:r>
    </w:p>
    <w:p w14:paraId="20E8C779" w14:textId="77777777" w:rsidR="00EE7EE5" w:rsidRPr="001B3378" w:rsidRDefault="00EE7EE5" w:rsidP="00EE7EE5">
      <w:pPr>
        <w:spacing w:line="288" w:lineRule="auto"/>
        <w:jc w:val="both"/>
        <w:rPr>
          <w:rFonts w:ascii="Arial" w:hAnsi="Arial" w:cs="Arial"/>
          <w:sz w:val="22"/>
          <w:szCs w:val="22"/>
          <w:lang w:val="es-CO"/>
        </w:rPr>
      </w:pPr>
    </w:p>
    <w:p w14:paraId="1D39256B" w14:textId="17FFC6D8" w:rsidR="00EE7EE5" w:rsidRPr="00C67577" w:rsidRDefault="00EE7EE5" w:rsidP="00EE7EE5">
      <w:pPr>
        <w:spacing w:line="288" w:lineRule="auto"/>
        <w:jc w:val="both"/>
        <w:rPr>
          <w:rFonts w:ascii="Arial" w:hAnsi="Arial" w:cs="Arial"/>
          <w:b/>
          <w:sz w:val="22"/>
          <w:szCs w:val="22"/>
          <w:lang w:val="es-CO"/>
        </w:rPr>
      </w:pPr>
      <w:r w:rsidRPr="00C67577">
        <w:rPr>
          <w:noProof/>
          <w:lang w:val="es-CO" w:eastAsia="es-CO"/>
        </w:rPr>
        <w:lastRenderedPageBreak/>
        <w:drawing>
          <wp:inline distT="0" distB="0" distL="0" distR="0" wp14:anchorId="768004A9" wp14:editId="63A6FB33">
            <wp:extent cx="5613400" cy="5121275"/>
            <wp:effectExtent l="0" t="0" r="6350" b="3175"/>
            <wp:docPr id="10" name="Imagen 10" descr="Organigrama MHCP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Organigrama MHCP 02-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5121275"/>
                    </a:xfrm>
                    <a:prstGeom prst="rect">
                      <a:avLst/>
                    </a:prstGeom>
                    <a:noFill/>
                    <a:ln>
                      <a:noFill/>
                    </a:ln>
                  </pic:spPr>
                </pic:pic>
              </a:graphicData>
            </a:graphic>
          </wp:inline>
        </w:drawing>
      </w:r>
    </w:p>
    <w:p w14:paraId="345D3B66" w14:textId="77777777" w:rsidR="00EE7EE5" w:rsidRPr="00C67577" w:rsidRDefault="00EE7EE5" w:rsidP="00EE7EE5">
      <w:pPr>
        <w:spacing w:line="288" w:lineRule="auto"/>
        <w:jc w:val="both"/>
        <w:rPr>
          <w:rFonts w:ascii="Arial" w:hAnsi="Arial" w:cs="Arial"/>
          <w:sz w:val="16"/>
          <w:szCs w:val="16"/>
          <w:lang w:val="es-CO"/>
        </w:rPr>
      </w:pPr>
      <w:r w:rsidRPr="00C67577">
        <w:rPr>
          <w:rFonts w:ascii="Arial" w:hAnsi="Arial" w:cs="Arial"/>
          <w:sz w:val="16"/>
          <w:szCs w:val="16"/>
          <w:lang w:val="es-CO"/>
        </w:rPr>
        <w:t xml:space="preserve">Fuente: </w:t>
      </w:r>
      <w:hyperlink r:id="rId15" w:history="1">
        <w:r w:rsidRPr="00C67577">
          <w:rPr>
            <w:rStyle w:val="Hipervnculo"/>
            <w:rFonts w:ascii="Arial" w:hAnsi="Arial" w:cs="Arial"/>
            <w:color w:val="auto"/>
            <w:sz w:val="16"/>
            <w:szCs w:val="16"/>
            <w:lang w:val="es-CO"/>
          </w:rPr>
          <w:t>www.minhacienda.gov.co</w:t>
        </w:r>
      </w:hyperlink>
    </w:p>
    <w:p w14:paraId="08C9AA43" w14:textId="77777777" w:rsidR="00891E0A" w:rsidRPr="00290062" w:rsidRDefault="00891E0A" w:rsidP="004F1786">
      <w:pPr>
        <w:spacing w:line="288" w:lineRule="auto"/>
        <w:rPr>
          <w:rFonts w:ascii="Arial Narrow" w:hAnsi="Arial Narrow"/>
        </w:rPr>
      </w:pPr>
    </w:p>
    <w:p w14:paraId="3B95892F" w14:textId="77777777" w:rsidR="001869B6" w:rsidRPr="00B80246" w:rsidRDefault="0046335B" w:rsidP="00EF3D59">
      <w:pPr>
        <w:pStyle w:val="Ttulo3"/>
        <w:numPr>
          <w:ilvl w:val="2"/>
          <w:numId w:val="1"/>
        </w:numPr>
        <w:tabs>
          <w:tab w:val="left" w:pos="567"/>
        </w:tabs>
        <w:spacing w:line="288" w:lineRule="auto"/>
        <w:ind w:left="567" w:hanging="567"/>
        <w:jc w:val="both"/>
        <w:rPr>
          <w:rFonts w:ascii="Arial" w:hAnsi="Arial" w:cs="Arial"/>
          <w:b/>
          <w:sz w:val="22"/>
          <w:szCs w:val="22"/>
        </w:rPr>
      </w:pPr>
      <w:bookmarkStart w:id="43" w:name="_Toc490726947"/>
      <w:bookmarkStart w:id="44" w:name="_Toc490727895"/>
      <w:bookmarkStart w:id="45" w:name="_Toc59377815"/>
      <w:r w:rsidRPr="00B80246">
        <w:rPr>
          <w:rFonts w:ascii="Arial" w:hAnsi="Arial" w:cs="Arial"/>
          <w:b/>
          <w:sz w:val="22"/>
          <w:szCs w:val="22"/>
        </w:rPr>
        <w:t>Aplicación del Régimen de Contabilidad Pública y demás normas expedidas por la Contaduría General de la Nación</w:t>
      </w:r>
      <w:bookmarkEnd w:id="38"/>
      <w:bookmarkEnd w:id="39"/>
      <w:bookmarkEnd w:id="43"/>
      <w:bookmarkEnd w:id="44"/>
      <w:bookmarkEnd w:id="45"/>
    </w:p>
    <w:p w14:paraId="72BC966E" w14:textId="77777777" w:rsidR="00DB6854" w:rsidRPr="00B80246" w:rsidRDefault="00DB6854" w:rsidP="00EF3D59">
      <w:pPr>
        <w:spacing w:line="288" w:lineRule="auto"/>
        <w:rPr>
          <w:rFonts w:ascii="Arial" w:hAnsi="Arial" w:cs="Arial"/>
          <w:sz w:val="22"/>
          <w:szCs w:val="22"/>
        </w:rPr>
      </w:pPr>
    </w:p>
    <w:p w14:paraId="47E3E94E" w14:textId="77777777" w:rsidR="00FF51B7" w:rsidRPr="00EC6EE7" w:rsidRDefault="00FF51B7" w:rsidP="00EF3D59">
      <w:pPr>
        <w:spacing w:line="288" w:lineRule="auto"/>
        <w:jc w:val="both"/>
        <w:rPr>
          <w:rFonts w:ascii="Arial" w:hAnsi="Arial" w:cs="Arial"/>
          <w:sz w:val="22"/>
          <w:szCs w:val="22"/>
          <w:lang w:val="es-ES_tradnl"/>
        </w:rPr>
      </w:pPr>
      <w:r w:rsidRPr="00EC6EE7">
        <w:rPr>
          <w:rFonts w:ascii="Arial" w:hAnsi="Arial" w:cs="Arial"/>
          <w:sz w:val="22"/>
          <w:szCs w:val="22"/>
          <w:lang w:val="es-ES_tradnl"/>
        </w:rPr>
        <w:t>Para el proceso de reconocimiento, medición, revelación y presentación de sus operaciones, el Ministerio de Hacienda y Crédito Público</w:t>
      </w:r>
      <w:r>
        <w:rPr>
          <w:rFonts w:ascii="Arial" w:hAnsi="Arial" w:cs="Arial"/>
          <w:sz w:val="22"/>
          <w:szCs w:val="22"/>
          <w:lang w:val="es-ES_tradnl"/>
        </w:rPr>
        <w:t xml:space="preserve"> – Gestión General</w:t>
      </w:r>
      <w:r w:rsidRPr="00EC6EE7">
        <w:rPr>
          <w:rFonts w:ascii="Arial" w:hAnsi="Arial" w:cs="Arial"/>
          <w:sz w:val="22"/>
          <w:szCs w:val="22"/>
          <w:lang w:val="es-ES_tradnl"/>
        </w:rPr>
        <w:t xml:space="preserve"> aplica lo establecido en el Régimen de Contabilidad Pública (especialmente en el Marco Normativo para Entidades de Gobierno), así como las demás normas que expida la Contaduría General de la Nación.</w:t>
      </w:r>
    </w:p>
    <w:p w14:paraId="0D7A2C2E" w14:textId="77777777" w:rsidR="00FF51B7" w:rsidRPr="00EC6EE7" w:rsidRDefault="00FF51B7" w:rsidP="00EF3D59">
      <w:pPr>
        <w:spacing w:line="288" w:lineRule="auto"/>
        <w:jc w:val="both"/>
        <w:rPr>
          <w:rFonts w:ascii="Arial" w:hAnsi="Arial" w:cs="Arial"/>
          <w:sz w:val="22"/>
          <w:szCs w:val="22"/>
          <w:lang w:val="es-ES_tradnl"/>
        </w:rPr>
      </w:pPr>
    </w:p>
    <w:p w14:paraId="22FDA832" w14:textId="77777777" w:rsidR="00FF51B7" w:rsidRPr="00EC6EE7" w:rsidRDefault="00FF51B7" w:rsidP="00EF3D59">
      <w:pPr>
        <w:spacing w:line="288" w:lineRule="auto"/>
        <w:jc w:val="both"/>
        <w:rPr>
          <w:rFonts w:ascii="Arial" w:hAnsi="Arial" w:cs="Arial"/>
          <w:sz w:val="22"/>
          <w:szCs w:val="22"/>
          <w:lang w:val="es-ES_tradnl"/>
        </w:rPr>
      </w:pPr>
      <w:r w:rsidRPr="00EC6EE7">
        <w:rPr>
          <w:rFonts w:ascii="Arial" w:hAnsi="Arial" w:cs="Arial"/>
          <w:sz w:val="22"/>
          <w:szCs w:val="22"/>
          <w:lang w:val="es-ES_tradnl"/>
        </w:rPr>
        <w:t xml:space="preserve">Dicho Marco Normativo está integrado por los siguientes elementos: </w:t>
      </w:r>
    </w:p>
    <w:p w14:paraId="782A4494" w14:textId="77777777" w:rsidR="00FF51B7" w:rsidRPr="00EC6EE7" w:rsidRDefault="004C0137" w:rsidP="00EF3D59">
      <w:pPr>
        <w:spacing w:line="288" w:lineRule="auto"/>
        <w:jc w:val="both"/>
        <w:rPr>
          <w:rFonts w:ascii="Arial" w:hAnsi="Arial" w:cs="Arial"/>
          <w:sz w:val="22"/>
          <w:szCs w:val="22"/>
          <w:lang w:val="es-ES_tradnl"/>
        </w:rPr>
      </w:pPr>
      <w:r>
        <w:rPr>
          <w:rFonts w:ascii="Arial" w:hAnsi="Arial" w:cs="Arial"/>
          <w:sz w:val="22"/>
          <w:szCs w:val="22"/>
          <w:lang w:val="es-ES_tradnl"/>
        </w:rPr>
        <w:tab/>
      </w:r>
    </w:p>
    <w:p w14:paraId="0895C75F"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t>Marco Conceptual para la Preparación y Presentación de la Información Financiera</w:t>
      </w:r>
    </w:p>
    <w:p w14:paraId="750E46AC"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lastRenderedPageBreak/>
        <w:t>Normas para el Reconocimiento, Medición, Revelación y Presentación de los Hechos Económicos</w:t>
      </w:r>
    </w:p>
    <w:p w14:paraId="3FBA3968"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t>Catálogo General de Cuentas</w:t>
      </w:r>
    </w:p>
    <w:p w14:paraId="66392D9C"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t>Doctrina Contable Pública</w:t>
      </w:r>
    </w:p>
    <w:p w14:paraId="3A97A9EA"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t>Procedimientos contables</w:t>
      </w:r>
    </w:p>
    <w:p w14:paraId="675E5397" w14:textId="77777777" w:rsidR="00FF51B7" w:rsidRPr="00EC6EE7" w:rsidRDefault="00FF51B7" w:rsidP="00343ECE">
      <w:pPr>
        <w:numPr>
          <w:ilvl w:val="0"/>
          <w:numId w:val="35"/>
        </w:numPr>
        <w:spacing w:line="288" w:lineRule="auto"/>
        <w:ind w:left="284" w:hanging="284"/>
        <w:jc w:val="both"/>
        <w:rPr>
          <w:rFonts w:ascii="Arial" w:hAnsi="Arial" w:cs="Arial"/>
          <w:sz w:val="22"/>
          <w:szCs w:val="22"/>
          <w:lang w:val="es-ES_tradnl"/>
        </w:rPr>
      </w:pPr>
      <w:r w:rsidRPr="00EC6EE7">
        <w:rPr>
          <w:rFonts w:ascii="Arial" w:hAnsi="Arial" w:cs="Arial"/>
          <w:sz w:val="22"/>
          <w:szCs w:val="22"/>
          <w:lang w:val="es-ES_tradnl"/>
        </w:rPr>
        <w:t>Guías de aplicación</w:t>
      </w:r>
    </w:p>
    <w:p w14:paraId="28B9C30A" w14:textId="77777777" w:rsidR="00FF51B7" w:rsidRPr="00EC6EE7" w:rsidRDefault="00FF51B7" w:rsidP="00EF3D59">
      <w:pPr>
        <w:spacing w:line="288" w:lineRule="auto"/>
        <w:jc w:val="both"/>
        <w:rPr>
          <w:rFonts w:ascii="Arial" w:hAnsi="Arial" w:cs="Arial"/>
          <w:sz w:val="22"/>
          <w:szCs w:val="22"/>
          <w:lang w:val="es-ES_tradnl"/>
        </w:rPr>
      </w:pPr>
    </w:p>
    <w:p w14:paraId="797C21C8" w14:textId="6BC8927E" w:rsidR="00FF51B7" w:rsidRPr="00EC6EE7" w:rsidRDefault="00FF51B7" w:rsidP="00EF3D59">
      <w:pPr>
        <w:spacing w:line="288" w:lineRule="auto"/>
        <w:jc w:val="both"/>
        <w:rPr>
          <w:rFonts w:ascii="Arial" w:hAnsi="Arial" w:cs="Arial"/>
          <w:sz w:val="22"/>
          <w:szCs w:val="22"/>
          <w:lang w:val="es-ES_tradnl"/>
        </w:rPr>
      </w:pPr>
      <w:r w:rsidRPr="00EC6EE7">
        <w:rPr>
          <w:rFonts w:ascii="Arial" w:hAnsi="Arial" w:cs="Arial"/>
          <w:sz w:val="22"/>
          <w:szCs w:val="22"/>
          <w:lang w:val="es-ES_tradnl"/>
        </w:rPr>
        <w:t>El registro de las transacciones y operaciones se realiza a nivel de documento fuente, debidamente legalizados y registrados en los libros de contabilidad principales</w:t>
      </w:r>
      <w:r w:rsidR="001832F6">
        <w:rPr>
          <w:rFonts w:ascii="Arial" w:hAnsi="Arial" w:cs="Arial"/>
          <w:sz w:val="22"/>
          <w:szCs w:val="22"/>
          <w:lang w:val="es-ES_tradnl"/>
        </w:rPr>
        <w:t xml:space="preserve"> y auxiliares</w:t>
      </w:r>
      <w:r w:rsidRPr="00EC6EE7">
        <w:rPr>
          <w:rFonts w:ascii="Arial" w:hAnsi="Arial" w:cs="Arial"/>
          <w:sz w:val="22"/>
          <w:szCs w:val="22"/>
          <w:lang w:val="es-ES_tradnl"/>
        </w:rPr>
        <w:t xml:space="preserve">, siguiendo ordenadamente el proceso contable, desde la planeación y ejecución de los ingresos y gastos hasta la revelación y presentación de los estados financieros, y utilizando el Sistema Integrado de Información Financiera </w:t>
      </w:r>
      <w:r>
        <w:rPr>
          <w:rFonts w:ascii="Arial" w:hAnsi="Arial" w:cs="Arial"/>
          <w:sz w:val="22"/>
          <w:szCs w:val="22"/>
          <w:lang w:val="es-ES_tradnl"/>
        </w:rPr>
        <w:t xml:space="preserve">– </w:t>
      </w:r>
      <w:r w:rsidRPr="00EC6EE7">
        <w:rPr>
          <w:rFonts w:ascii="Arial" w:hAnsi="Arial" w:cs="Arial"/>
          <w:sz w:val="22"/>
          <w:szCs w:val="22"/>
          <w:lang w:val="es-ES_tradnl"/>
        </w:rPr>
        <w:t xml:space="preserve">SIIF Nación. </w:t>
      </w:r>
    </w:p>
    <w:p w14:paraId="2A28FCFA" w14:textId="77777777" w:rsidR="0046335B" w:rsidRPr="00B80246" w:rsidRDefault="0046335B" w:rsidP="00EF3D59">
      <w:pPr>
        <w:pStyle w:val="Ttulo1"/>
        <w:spacing w:line="288" w:lineRule="auto"/>
        <w:jc w:val="both"/>
        <w:rPr>
          <w:rFonts w:ascii="Arial" w:hAnsi="Arial" w:cs="Arial"/>
          <w:b w:val="0"/>
          <w:sz w:val="22"/>
          <w:szCs w:val="22"/>
        </w:rPr>
      </w:pPr>
      <w:r w:rsidRPr="00B80246">
        <w:rPr>
          <w:rFonts w:ascii="Arial" w:hAnsi="Arial" w:cs="Arial"/>
          <w:b w:val="0"/>
          <w:sz w:val="22"/>
          <w:szCs w:val="22"/>
        </w:rPr>
        <w:tab/>
      </w:r>
    </w:p>
    <w:p w14:paraId="017DDE76" w14:textId="77777777" w:rsidR="0046335B" w:rsidRPr="00B80246" w:rsidRDefault="0046335B" w:rsidP="00EF3D59">
      <w:pPr>
        <w:pStyle w:val="Ttulo3"/>
        <w:numPr>
          <w:ilvl w:val="2"/>
          <w:numId w:val="1"/>
        </w:numPr>
        <w:tabs>
          <w:tab w:val="left" w:pos="567"/>
        </w:tabs>
        <w:spacing w:line="288" w:lineRule="auto"/>
        <w:ind w:left="0" w:firstLine="0"/>
        <w:jc w:val="both"/>
        <w:rPr>
          <w:rFonts w:ascii="Arial" w:hAnsi="Arial" w:cs="Arial"/>
          <w:b/>
          <w:sz w:val="22"/>
          <w:szCs w:val="22"/>
        </w:rPr>
      </w:pPr>
      <w:bookmarkStart w:id="46" w:name="_Toc397936249"/>
      <w:bookmarkStart w:id="47" w:name="_Toc459991348"/>
      <w:bookmarkStart w:id="48" w:name="_Toc490726948"/>
      <w:bookmarkStart w:id="49" w:name="_Toc490727896"/>
      <w:bookmarkStart w:id="50" w:name="_Toc59377816"/>
      <w:r w:rsidRPr="00B80246">
        <w:rPr>
          <w:rFonts w:ascii="Arial" w:hAnsi="Arial" w:cs="Arial"/>
          <w:b/>
          <w:sz w:val="22"/>
          <w:szCs w:val="22"/>
        </w:rPr>
        <w:t>Información referida al proceso de agregación y/o consolidación de información contable pública</w:t>
      </w:r>
      <w:bookmarkEnd w:id="46"/>
      <w:bookmarkEnd w:id="47"/>
      <w:bookmarkEnd w:id="48"/>
      <w:bookmarkEnd w:id="49"/>
      <w:bookmarkEnd w:id="50"/>
    </w:p>
    <w:p w14:paraId="54CC0DF6" w14:textId="77777777" w:rsidR="0046335B" w:rsidRPr="00B80246" w:rsidRDefault="0046335B" w:rsidP="00EF3D59">
      <w:pPr>
        <w:spacing w:line="288" w:lineRule="auto"/>
        <w:jc w:val="both"/>
        <w:rPr>
          <w:rFonts w:ascii="Arial" w:hAnsi="Arial" w:cs="Arial"/>
          <w:b/>
          <w:sz w:val="22"/>
          <w:szCs w:val="22"/>
        </w:rPr>
      </w:pPr>
    </w:p>
    <w:p w14:paraId="33407FF2" w14:textId="08A8D25B" w:rsidR="00CF0278" w:rsidRPr="00EC6EE7" w:rsidRDefault="00CF0278" w:rsidP="00EF3D59">
      <w:pPr>
        <w:spacing w:line="288" w:lineRule="auto"/>
        <w:jc w:val="both"/>
        <w:rPr>
          <w:rFonts w:ascii="Arial" w:hAnsi="Arial" w:cs="Arial"/>
          <w:sz w:val="22"/>
          <w:szCs w:val="22"/>
          <w:lang w:val="es-ES_tradnl"/>
        </w:rPr>
      </w:pPr>
      <w:r w:rsidRPr="00EC6EE7">
        <w:rPr>
          <w:rFonts w:ascii="Arial" w:hAnsi="Arial" w:cs="Arial"/>
          <w:sz w:val="22"/>
          <w:szCs w:val="22"/>
          <w:lang w:val="es-ES_tradnl"/>
        </w:rPr>
        <w:t xml:space="preserve">De acuerdo con lo establecido en el Instructivo 01/11, expedido por la Contaduría General de la Nación, a partir de enero del 2011 el Ministerio de Hacienda y Crédito Público se desagrega en sus tres unidades de negocio, que se constituyen, cada una de ellas, en una ENTIDAD CONTABLE PÚBLICA, así: </w:t>
      </w:r>
    </w:p>
    <w:p w14:paraId="4C79233B" w14:textId="77777777" w:rsidR="00CF0278" w:rsidRPr="00EC6EE7" w:rsidRDefault="00CF0278" w:rsidP="004F1786">
      <w:pPr>
        <w:spacing w:line="288" w:lineRule="auto"/>
        <w:jc w:val="both"/>
        <w:rPr>
          <w:rFonts w:ascii="Arial" w:hAnsi="Arial" w:cs="Arial"/>
          <w:sz w:val="22"/>
          <w:szCs w:val="22"/>
          <w:lang w:val="es-ES_tradnl"/>
        </w:rPr>
      </w:pPr>
    </w:p>
    <w:tbl>
      <w:tblPr>
        <w:tblW w:w="0" w:type="auto"/>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20" w:firstRow="1" w:lastRow="0" w:firstColumn="0" w:lastColumn="0" w:noHBand="0" w:noVBand="1"/>
      </w:tblPr>
      <w:tblGrid>
        <w:gridCol w:w="2915"/>
        <w:gridCol w:w="5023"/>
      </w:tblGrid>
      <w:tr w:rsidR="00CF0278" w:rsidRPr="001832F6" w14:paraId="66C1D77A" w14:textId="77777777" w:rsidTr="00DE1B37">
        <w:trPr>
          <w:jc w:val="center"/>
        </w:trPr>
        <w:tc>
          <w:tcPr>
            <w:tcW w:w="2915" w:type="dxa"/>
            <w:tcBorders>
              <w:bottom w:val="single" w:sz="12" w:space="0" w:color="8EAADB"/>
            </w:tcBorders>
            <w:shd w:val="clear" w:color="auto" w:fill="3366CC"/>
          </w:tcPr>
          <w:p w14:paraId="5E4970BD" w14:textId="77777777" w:rsidR="00CF0278" w:rsidRPr="001832F6" w:rsidRDefault="00CF0278" w:rsidP="00401581">
            <w:pPr>
              <w:spacing w:line="288" w:lineRule="auto"/>
              <w:jc w:val="center"/>
              <w:rPr>
                <w:rFonts w:ascii="Arial" w:hAnsi="Arial" w:cs="Arial"/>
                <w:b/>
                <w:iCs/>
                <w:color w:val="FFFFFF"/>
                <w:lang w:val="es-ES_tradnl"/>
              </w:rPr>
            </w:pPr>
            <w:r w:rsidRPr="001832F6">
              <w:rPr>
                <w:rFonts w:ascii="Arial" w:hAnsi="Arial" w:cs="Arial"/>
                <w:b/>
                <w:iCs/>
                <w:color w:val="FFFFFF"/>
                <w:lang w:val="es-ES_tradnl"/>
              </w:rPr>
              <w:t>CÓDIGO INSTITUCIONAL</w:t>
            </w:r>
          </w:p>
        </w:tc>
        <w:tc>
          <w:tcPr>
            <w:tcW w:w="5023" w:type="dxa"/>
            <w:tcBorders>
              <w:bottom w:val="single" w:sz="12" w:space="0" w:color="8EAADB"/>
            </w:tcBorders>
            <w:shd w:val="clear" w:color="auto" w:fill="3366CC"/>
          </w:tcPr>
          <w:p w14:paraId="4276E87D" w14:textId="77777777" w:rsidR="00CF0278" w:rsidRPr="001832F6" w:rsidRDefault="00CF0278" w:rsidP="00401581">
            <w:pPr>
              <w:spacing w:line="288" w:lineRule="auto"/>
              <w:jc w:val="center"/>
              <w:rPr>
                <w:rFonts w:ascii="Arial" w:hAnsi="Arial" w:cs="Arial"/>
                <w:b/>
                <w:iCs/>
                <w:color w:val="FFFFFF"/>
                <w:lang w:val="es-ES_tradnl"/>
              </w:rPr>
            </w:pPr>
            <w:r w:rsidRPr="001832F6">
              <w:rPr>
                <w:rFonts w:ascii="Arial" w:hAnsi="Arial" w:cs="Arial"/>
                <w:b/>
                <w:iCs/>
                <w:color w:val="FFFFFF"/>
                <w:lang w:val="es-ES_tradnl"/>
              </w:rPr>
              <w:t>DENOMINACIÓN</w:t>
            </w:r>
          </w:p>
        </w:tc>
      </w:tr>
      <w:tr w:rsidR="00CF0278" w:rsidRPr="001832F6" w14:paraId="2A9C6E3D" w14:textId="77777777" w:rsidTr="00401581">
        <w:trPr>
          <w:jc w:val="center"/>
        </w:trPr>
        <w:tc>
          <w:tcPr>
            <w:tcW w:w="2915" w:type="dxa"/>
            <w:shd w:val="clear" w:color="auto" w:fill="auto"/>
          </w:tcPr>
          <w:p w14:paraId="35745BE2" w14:textId="77777777" w:rsidR="00CF0278" w:rsidRPr="001832F6" w:rsidRDefault="00CF0278" w:rsidP="00401581">
            <w:pPr>
              <w:spacing w:line="288" w:lineRule="auto"/>
              <w:jc w:val="center"/>
              <w:rPr>
                <w:rFonts w:ascii="Arial" w:hAnsi="Arial" w:cs="Arial"/>
                <w:b/>
                <w:bCs/>
                <w:lang w:val="es-ES_tradnl"/>
              </w:rPr>
            </w:pPr>
            <w:r w:rsidRPr="001832F6">
              <w:rPr>
                <w:rFonts w:ascii="Arial" w:hAnsi="Arial" w:cs="Arial"/>
                <w:b/>
                <w:bCs/>
                <w:lang w:val="es-ES_tradnl"/>
              </w:rPr>
              <w:t>011500000</w:t>
            </w:r>
          </w:p>
        </w:tc>
        <w:tc>
          <w:tcPr>
            <w:tcW w:w="5023" w:type="dxa"/>
            <w:shd w:val="clear" w:color="auto" w:fill="auto"/>
          </w:tcPr>
          <w:p w14:paraId="4BF5AA8B" w14:textId="77777777" w:rsidR="00CF0278" w:rsidRPr="001832F6" w:rsidRDefault="00CF0278" w:rsidP="00401581">
            <w:pPr>
              <w:spacing w:line="288" w:lineRule="auto"/>
              <w:jc w:val="both"/>
              <w:rPr>
                <w:rFonts w:ascii="Arial" w:hAnsi="Arial" w:cs="Arial"/>
                <w:lang w:val="es-ES_tradnl"/>
              </w:rPr>
            </w:pPr>
            <w:r w:rsidRPr="001832F6">
              <w:rPr>
                <w:rFonts w:ascii="Arial" w:hAnsi="Arial" w:cs="Arial"/>
                <w:lang w:val="es-ES_tradnl"/>
              </w:rPr>
              <w:t>Ministerio de Hacienda y Crédito Público -Gestión General</w:t>
            </w:r>
          </w:p>
        </w:tc>
      </w:tr>
      <w:tr w:rsidR="00CF0278" w:rsidRPr="001832F6" w14:paraId="2587D79B" w14:textId="77777777" w:rsidTr="00401581">
        <w:trPr>
          <w:jc w:val="center"/>
        </w:trPr>
        <w:tc>
          <w:tcPr>
            <w:tcW w:w="2915" w:type="dxa"/>
            <w:shd w:val="clear" w:color="auto" w:fill="auto"/>
          </w:tcPr>
          <w:p w14:paraId="4E3DE889" w14:textId="77777777" w:rsidR="00CF0278" w:rsidRPr="001832F6" w:rsidRDefault="00CF0278" w:rsidP="00401581">
            <w:pPr>
              <w:spacing w:line="288" w:lineRule="auto"/>
              <w:jc w:val="center"/>
              <w:rPr>
                <w:rFonts w:ascii="Arial" w:hAnsi="Arial" w:cs="Arial"/>
                <w:b/>
                <w:bCs/>
                <w:lang w:val="es-ES_tradnl"/>
              </w:rPr>
            </w:pPr>
            <w:r w:rsidRPr="001832F6">
              <w:rPr>
                <w:rFonts w:ascii="Arial" w:hAnsi="Arial" w:cs="Arial"/>
                <w:b/>
                <w:bCs/>
                <w:lang w:val="es-ES_tradnl"/>
              </w:rPr>
              <w:t>923272394</w:t>
            </w:r>
          </w:p>
        </w:tc>
        <w:tc>
          <w:tcPr>
            <w:tcW w:w="5023" w:type="dxa"/>
            <w:shd w:val="clear" w:color="auto" w:fill="auto"/>
          </w:tcPr>
          <w:p w14:paraId="380EA976" w14:textId="77777777" w:rsidR="00CF0278" w:rsidRPr="001832F6" w:rsidRDefault="00CF0278" w:rsidP="00401581">
            <w:pPr>
              <w:spacing w:line="288" w:lineRule="auto"/>
              <w:jc w:val="both"/>
              <w:rPr>
                <w:rFonts w:ascii="Arial" w:hAnsi="Arial" w:cs="Arial"/>
                <w:lang w:val="es-ES_tradnl"/>
              </w:rPr>
            </w:pPr>
            <w:r w:rsidRPr="001832F6">
              <w:rPr>
                <w:rFonts w:ascii="Arial" w:hAnsi="Arial" w:cs="Arial"/>
                <w:lang w:val="es-ES_tradnl"/>
              </w:rPr>
              <w:t>Tesoro Nacional</w:t>
            </w:r>
          </w:p>
        </w:tc>
      </w:tr>
      <w:tr w:rsidR="00CF0278" w:rsidRPr="001832F6" w14:paraId="5EC8DC51" w14:textId="77777777" w:rsidTr="00401581">
        <w:trPr>
          <w:jc w:val="center"/>
        </w:trPr>
        <w:tc>
          <w:tcPr>
            <w:tcW w:w="2915" w:type="dxa"/>
            <w:shd w:val="clear" w:color="auto" w:fill="auto"/>
          </w:tcPr>
          <w:p w14:paraId="67671093" w14:textId="77777777" w:rsidR="00CF0278" w:rsidRPr="001832F6" w:rsidRDefault="00CF0278" w:rsidP="00401581">
            <w:pPr>
              <w:spacing w:line="288" w:lineRule="auto"/>
              <w:jc w:val="center"/>
              <w:rPr>
                <w:rFonts w:ascii="Arial" w:hAnsi="Arial" w:cs="Arial"/>
                <w:b/>
                <w:bCs/>
                <w:lang w:val="es-ES_tradnl"/>
              </w:rPr>
            </w:pPr>
            <w:r w:rsidRPr="001832F6">
              <w:rPr>
                <w:rFonts w:ascii="Arial" w:hAnsi="Arial" w:cs="Arial"/>
                <w:b/>
                <w:bCs/>
                <w:lang w:val="es-ES_tradnl"/>
              </w:rPr>
              <w:t>923272395</w:t>
            </w:r>
          </w:p>
        </w:tc>
        <w:tc>
          <w:tcPr>
            <w:tcW w:w="5023" w:type="dxa"/>
            <w:shd w:val="clear" w:color="auto" w:fill="auto"/>
          </w:tcPr>
          <w:p w14:paraId="77F3CB3D" w14:textId="77777777" w:rsidR="00CF0278" w:rsidRPr="001832F6" w:rsidRDefault="00CF0278" w:rsidP="00401581">
            <w:pPr>
              <w:spacing w:line="288" w:lineRule="auto"/>
              <w:jc w:val="both"/>
              <w:rPr>
                <w:rFonts w:ascii="Arial" w:hAnsi="Arial" w:cs="Arial"/>
                <w:lang w:val="es-ES_tradnl"/>
              </w:rPr>
            </w:pPr>
            <w:r w:rsidRPr="001832F6">
              <w:rPr>
                <w:rFonts w:ascii="Arial" w:hAnsi="Arial" w:cs="Arial"/>
                <w:lang w:val="es-ES_tradnl"/>
              </w:rPr>
              <w:t xml:space="preserve">Deuda Pública Nación </w:t>
            </w:r>
          </w:p>
        </w:tc>
      </w:tr>
    </w:tbl>
    <w:p w14:paraId="5AB904B0" w14:textId="77777777" w:rsidR="00CF0278" w:rsidRPr="00EC6EE7" w:rsidRDefault="00CF0278" w:rsidP="00CF0278">
      <w:pPr>
        <w:spacing w:line="288" w:lineRule="auto"/>
        <w:jc w:val="both"/>
        <w:rPr>
          <w:rFonts w:ascii="Arial" w:hAnsi="Arial" w:cs="Arial"/>
          <w:sz w:val="22"/>
          <w:szCs w:val="22"/>
          <w:lang w:val="es-ES_tradnl"/>
        </w:rPr>
      </w:pPr>
    </w:p>
    <w:p w14:paraId="06F5B80C" w14:textId="3AAA9874" w:rsidR="00CF0278" w:rsidRPr="00F20A17" w:rsidRDefault="00CF0278" w:rsidP="00EF3D59">
      <w:pPr>
        <w:spacing w:line="288" w:lineRule="auto"/>
        <w:jc w:val="both"/>
        <w:rPr>
          <w:rFonts w:ascii="Arial" w:hAnsi="Arial" w:cs="Arial"/>
          <w:sz w:val="22"/>
          <w:szCs w:val="22"/>
          <w:lang w:val="es-ES_tradnl"/>
        </w:rPr>
      </w:pPr>
      <w:r w:rsidRPr="00F20A17">
        <w:rPr>
          <w:rFonts w:ascii="Arial" w:hAnsi="Arial" w:cs="Arial"/>
          <w:sz w:val="22"/>
          <w:szCs w:val="22"/>
          <w:lang w:val="es-ES_tradnl"/>
        </w:rPr>
        <w:t xml:space="preserve">En tal sentido, las </w:t>
      </w:r>
      <w:r w:rsidR="00EF3D59">
        <w:rPr>
          <w:rFonts w:ascii="Arial" w:hAnsi="Arial" w:cs="Arial"/>
          <w:sz w:val="22"/>
          <w:szCs w:val="22"/>
          <w:lang w:val="es-ES_tradnl"/>
        </w:rPr>
        <w:t>tres (</w:t>
      </w:r>
      <w:r w:rsidRPr="00F20A17">
        <w:rPr>
          <w:rFonts w:ascii="Arial" w:hAnsi="Arial" w:cs="Arial"/>
          <w:sz w:val="22"/>
          <w:szCs w:val="22"/>
          <w:lang w:val="es-ES_tradnl"/>
        </w:rPr>
        <w:t>3</w:t>
      </w:r>
      <w:r w:rsidR="00EF3D59">
        <w:rPr>
          <w:rFonts w:ascii="Arial" w:hAnsi="Arial" w:cs="Arial"/>
          <w:sz w:val="22"/>
          <w:szCs w:val="22"/>
          <w:lang w:val="es-ES_tradnl"/>
        </w:rPr>
        <w:t>)</w:t>
      </w:r>
      <w:r w:rsidRPr="00F20A17">
        <w:rPr>
          <w:rFonts w:ascii="Arial" w:hAnsi="Arial" w:cs="Arial"/>
          <w:sz w:val="22"/>
          <w:szCs w:val="22"/>
          <w:lang w:val="es-ES_tradnl"/>
        </w:rPr>
        <w:t xml:space="preserve"> unidades del Ministerio de Hacienda y Crédito Público preparan su información contable en forma independiente en el Sistema Integrado de Información Financiera – SIIF Nación, y reportan de manera independiente a la Contaduría General de la Nación, de acuerdo con los códigos institucionales asignados. </w:t>
      </w:r>
    </w:p>
    <w:p w14:paraId="1BA24B40" w14:textId="77777777" w:rsidR="00CF0278" w:rsidRPr="00F20A17" w:rsidRDefault="00CF0278" w:rsidP="00EF3D59">
      <w:pPr>
        <w:spacing w:line="288" w:lineRule="auto"/>
        <w:jc w:val="both"/>
        <w:rPr>
          <w:rFonts w:ascii="Arial" w:hAnsi="Arial" w:cs="Arial"/>
          <w:sz w:val="22"/>
          <w:szCs w:val="22"/>
          <w:lang w:val="es-ES_tradnl"/>
        </w:rPr>
      </w:pPr>
    </w:p>
    <w:p w14:paraId="3C2D9424" w14:textId="77777777" w:rsidR="00CF0278" w:rsidRPr="00F20A17" w:rsidRDefault="00CF0278" w:rsidP="00EF3D59">
      <w:pPr>
        <w:spacing w:line="288" w:lineRule="auto"/>
        <w:jc w:val="both"/>
        <w:rPr>
          <w:rFonts w:ascii="Arial" w:hAnsi="Arial" w:cs="Arial"/>
          <w:sz w:val="22"/>
          <w:szCs w:val="22"/>
          <w:lang w:val="es-ES_tradnl"/>
        </w:rPr>
      </w:pPr>
      <w:r w:rsidRPr="00F20A17">
        <w:rPr>
          <w:rFonts w:ascii="Arial" w:hAnsi="Arial" w:cs="Arial"/>
          <w:sz w:val="22"/>
          <w:szCs w:val="22"/>
          <w:lang w:val="es-ES_tradnl"/>
        </w:rPr>
        <w:t xml:space="preserve">La operación del Ministerio de Hacienda y Crédito Público – Gestión General se orienta de acuerdo con lo establecido en el proceso </w:t>
      </w:r>
      <w:proofErr w:type="spellStart"/>
      <w:r w:rsidRPr="00F20A17">
        <w:rPr>
          <w:rFonts w:ascii="Arial" w:hAnsi="Arial" w:cs="Arial"/>
          <w:i/>
          <w:sz w:val="22"/>
          <w:szCs w:val="22"/>
          <w:lang w:val="es-ES_tradnl"/>
        </w:rPr>
        <w:t>Apo</w:t>
      </w:r>
      <w:proofErr w:type="spellEnd"/>
      <w:r w:rsidRPr="00F20A17">
        <w:rPr>
          <w:rFonts w:ascii="Arial" w:hAnsi="Arial" w:cs="Arial"/>
          <w:i/>
          <w:sz w:val="22"/>
          <w:szCs w:val="22"/>
          <w:lang w:val="es-ES_tradnl"/>
        </w:rPr>
        <w:t>. 3 Apoyo a la Gestión Financiera</w:t>
      </w:r>
      <w:r w:rsidRPr="00F20A17">
        <w:rPr>
          <w:rFonts w:ascii="Arial" w:hAnsi="Arial" w:cs="Arial"/>
          <w:sz w:val="22"/>
          <w:szCs w:val="22"/>
          <w:lang w:val="es-ES_tradnl"/>
        </w:rPr>
        <w:t xml:space="preserve">. Por su parte, las entidades contables públicas </w:t>
      </w:r>
      <w:r w:rsidRPr="00F20A17">
        <w:rPr>
          <w:rFonts w:ascii="Arial" w:hAnsi="Arial" w:cs="Arial"/>
          <w:i/>
          <w:sz w:val="22"/>
          <w:szCs w:val="22"/>
          <w:lang w:val="es-ES_tradnl"/>
        </w:rPr>
        <w:t>Tesoro Nacional</w:t>
      </w:r>
      <w:r w:rsidRPr="00F20A17">
        <w:rPr>
          <w:rFonts w:ascii="Arial" w:hAnsi="Arial" w:cs="Arial"/>
          <w:sz w:val="22"/>
          <w:szCs w:val="22"/>
          <w:lang w:val="es-ES_tradnl"/>
        </w:rPr>
        <w:t xml:space="preserve"> y </w:t>
      </w:r>
      <w:r w:rsidRPr="00F20A17">
        <w:rPr>
          <w:rFonts w:ascii="Arial" w:hAnsi="Arial" w:cs="Arial"/>
          <w:i/>
          <w:sz w:val="22"/>
          <w:szCs w:val="22"/>
          <w:lang w:val="es-ES_tradnl"/>
        </w:rPr>
        <w:t>Deuda Pública Nacional</w:t>
      </w:r>
      <w:r w:rsidRPr="00F20A17">
        <w:rPr>
          <w:rFonts w:ascii="Arial" w:hAnsi="Arial" w:cs="Arial"/>
          <w:sz w:val="22"/>
          <w:szCs w:val="22"/>
          <w:lang w:val="es-ES_tradnl"/>
        </w:rPr>
        <w:t xml:space="preserve"> se gestionan por medio del proceso </w:t>
      </w:r>
      <w:r w:rsidRPr="00F20A17">
        <w:rPr>
          <w:rFonts w:ascii="Arial" w:hAnsi="Arial" w:cs="Arial"/>
          <w:i/>
          <w:sz w:val="22"/>
          <w:szCs w:val="22"/>
          <w:lang w:val="es-ES_tradnl"/>
        </w:rPr>
        <w:t>Mis 3.5. Gestión de Ingresos, Pagos y Registro</w:t>
      </w:r>
      <w:r w:rsidRPr="00F20A17">
        <w:rPr>
          <w:rFonts w:ascii="Arial" w:hAnsi="Arial" w:cs="Arial"/>
          <w:sz w:val="22"/>
          <w:szCs w:val="22"/>
          <w:lang w:val="es-ES_tradnl"/>
        </w:rPr>
        <w:t>. En ambos casos aplican las directrices establecidas por la Contaduría General de la Nación.</w:t>
      </w:r>
    </w:p>
    <w:p w14:paraId="3B990444" w14:textId="650EF1AF" w:rsidR="0046335B" w:rsidRDefault="0046335B" w:rsidP="00EF3D59">
      <w:pPr>
        <w:spacing w:line="288" w:lineRule="auto"/>
        <w:jc w:val="both"/>
        <w:rPr>
          <w:rFonts w:ascii="Arial" w:hAnsi="Arial" w:cs="Arial"/>
          <w:sz w:val="22"/>
          <w:szCs w:val="22"/>
        </w:rPr>
      </w:pPr>
    </w:p>
    <w:p w14:paraId="095ABEC3" w14:textId="7954FFCD" w:rsidR="00CA76B9" w:rsidRDefault="00CA76B9" w:rsidP="00EF3D59">
      <w:pPr>
        <w:spacing w:line="288" w:lineRule="auto"/>
        <w:jc w:val="both"/>
        <w:rPr>
          <w:rFonts w:ascii="Arial" w:hAnsi="Arial" w:cs="Arial"/>
          <w:sz w:val="22"/>
          <w:szCs w:val="22"/>
        </w:rPr>
      </w:pPr>
    </w:p>
    <w:p w14:paraId="4CE647D2" w14:textId="77777777" w:rsidR="00CA76B9" w:rsidRPr="00F20A17" w:rsidRDefault="00CA76B9" w:rsidP="00EF3D59">
      <w:pPr>
        <w:spacing w:line="288" w:lineRule="auto"/>
        <w:jc w:val="both"/>
        <w:rPr>
          <w:rFonts w:ascii="Arial" w:hAnsi="Arial" w:cs="Arial"/>
          <w:sz w:val="22"/>
          <w:szCs w:val="22"/>
        </w:rPr>
      </w:pPr>
    </w:p>
    <w:p w14:paraId="784580B6" w14:textId="77777777" w:rsidR="0046335B" w:rsidRPr="00BE1913" w:rsidRDefault="00E8639B" w:rsidP="00EF3D59">
      <w:pPr>
        <w:pStyle w:val="Ttulo2"/>
        <w:numPr>
          <w:ilvl w:val="1"/>
          <w:numId w:val="1"/>
        </w:numPr>
        <w:tabs>
          <w:tab w:val="left" w:pos="426"/>
        </w:tabs>
        <w:spacing w:line="288" w:lineRule="auto"/>
        <w:ind w:left="0" w:firstLine="0"/>
        <w:rPr>
          <w:rFonts w:ascii="Arial" w:hAnsi="Arial" w:cs="Arial"/>
          <w:sz w:val="22"/>
          <w:szCs w:val="22"/>
        </w:rPr>
      </w:pPr>
      <w:bookmarkStart w:id="51" w:name="_Toc459373658"/>
      <w:bookmarkStart w:id="52" w:name="_Toc459373659"/>
      <w:bookmarkStart w:id="53" w:name="_Toc459373660"/>
      <w:bookmarkStart w:id="54" w:name="_Toc459373661"/>
      <w:bookmarkStart w:id="55" w:name="_Toc459373662"/>
      <w:bookmarkStart w:id="56" w:name="_Toc459373663"/>
      <w:bookmarkStart w:id="57" w:name="_Toc459373664"/>
      <w:bookmarkStart w:id="58" w:name="_Toc490726949"/>
      <w:bookmarkStart w:id="59" w:name="_Toc490727897"/>
      <w:bookmarkStart w:id="60" w:name="_Toc397936250"/>
      <w:bookmarkStart w:id="61" w:name="_Toc459991349"/>
      <w:bookmarkStart w:id="62" w:name="_Toc59377817"/>
      <w:bookmarkEnd w:id="51"/>
      <w:bookmarkEnd w:id="52"/>
      <w:bookmarkEnd w:id="53"/>
      <w:bookmarkEnd w:id="54"/>
      <w:bookmarkEnd w:id="55"/>
      <w:bookmarkEnd w:id="56"/>
      <w:bookmarkEnd w:id="57"/>
      <w:r w:rsidRPr="00BE1913">
        <w:rPr>
          <w:rFonts w:ascii="Arial" w:hAnsi="Arial" w:cs="Arial"/>
          <w:sz w:val="22"/>
          <w:szCs w:val="22"/>
        </w:rPr>
        <w:lastRenderedPageBreak/>
        <w:t>EVALUACIÓN</w:t>
      </w:r>
      <w:r w:rsidR="0046335B" w:rsidRPr="00BE1913">
        <w:rPr>
          <w:rFonts w:ascii="Arial" w:hAnsi="Arial" w:cs="Arial"/>
          <w:sz w:val="22"/>
          <w:szCs w:val="22"/>
        </w:rPr>
        <w:t xml:space="preserve"> DE PERTINENCIA DE </w:t>
      </w:r>
      <w:r w:rsidRPr="00BE1913">
        <w:rPr>
          <w:rFonts w:ascii="Arial" w:hAnsi="Arial" w:cs="Arial"/>
          <w:sz w:val="22"/>
          <w:szCs w:val="22"/>
        </w:rPr>
        <w:t>CREACIÓN</w:t>
      </w:r>
      <w:r w:rsidR="0046335B" w:rsidRPr="00BE1913">
        <w:rPr>
          <w:rFonts w:ascii="Arial" w:hAnsi="Arial" w:cs="Arial"/>
          <w:sz w:val="22"/>
          <w:szCs w:val="22"/>
        </w:rPr>
        <w:t xml:space="preserve"> DEL COMITÉ TÉCNICO DE SOSTENIBILIDAD CONTABLE</w:t>
      </w:r>
      <w:bookmarkEnd w:id="58"/>
      <w:bookmarkEnd w:id="59"/>
      <w:bookmarkEnd w:id="60"/>
      <w:bookmarkEnd w:id="61"/>
      <w:bookmarkEnd w:id="62"/>
    </w:p>
    <w:p w14:paraId="1D67C86C" w14:textId="77777777" w:rsidR="00144209" w:rsidRPr="00F20A17" w:rsidRDefault="00144209" w:rsidP="00EF3D59">
      <w:pPr>
        <w:spacing w:line="288" w:lineRule="auto"/>
        <w:ind w:left="4678"/>
        <w:rPr>
          <w:rFonts w:ascii="Arial" w:hAnsi="Arial" w:cs="Arial"/>
          <w:sz w:val="22"/>
          <w:szCs w:val="22"/>
        </w:rPr>
      </w:pPr>
    </w:p>
    <w:p w14:paraId="318085EA" w14:textId="77777777" w:rsidR="0046335B" w:rsidRPr="00F20A17" w:rsidRDefault="0046335B" w:rsidP="00EF3D59">
      <w:pPr>
        <w:tabs>
          <w:tab w:val="left" w:pos="284"/>
        </w:tabs>
        <w:spacing w:line="288" w:lineRule="auto"/>
        <w:jc w:val="both"/>
        <w:rPr>
          <w:rFonts w:ascii="Arial" w:hAnsi="Arial" w:cs="Arial"/>
          <w:sz w:val="22"/>
          <w:szCs w:val="22"/>
        </w:rPr>
      </w:pPr>
      <w:r w:rsidRPr="00F20A17">
        <w:rPr>
          <w:rFonts w:ascii="Arial" w:hAnsi="Arial" w:cs="Arial"/>
          <w:sz w:val="22"/>
          <w:szCs w:val="22"/>
        </w:rPr>
        <w:t xml:space="preserve">En el año 2012, el MHCP realizó un estudio para determinar la viabilidad de constituir el Comité Técnico de Sostenibilidad contable. </w:t>
      </w:r>
      <w:r w:rsidR="002E13D7" w:rsidRPr="00F20A17">
        <w:rPr>
          <w:rFonts w:ascii="Arial" w:hAnsi="Arial" w:cs="Arial"/>
          <w:sz w:val="22"/>
          <w:szCs w:val="22"/>
        </w:rPr>
        <w:t xml:space="preserve">A </w:t>
      </w:r>
      <w:proofErr w:type="gramStart"/>
      <w:r w:rsidR="002E13D7" w:rsidRPr="00F20A17">
        <w:rPr>
          <w:rFonts w:ascii="Arial" w:hAnsi="Arial" w:cs="Arial"/>
          <w:sz w:val="22"/>
          <w:szCs w:val="22"/>
        </w:rPr>
        <w:t>continuación</w:t>
      </w:r>
      <w:proofErr w:type="gramEnd"/>
      <w:r w:rsidR="002E13D7" w:rsidRPr="00F20A17">
        <w:rPr>
          <w:rFonts w:ascii="Arial" w:hAnsi="Arial" w:cs="Arial"/>
          <w:sz w:val="22"/>
          <w:szCs w:val="22"/>
        </w:rPr>
        <w:t xml:space="preserve"> se presentan las</w:t>
      </w:r>
      <w:r w:rsidRPr="00F20A17">
        <w:rPr>
          <w:rFonts w:ascii="Arial" w:hAnsi="Arial" w:cs="Arial"/>
          <w:sz w:val="22"/>
          <w:szCs w:val="22"/>
        </w:rPr>
        <w:t xml:space="preserve"> conclusiones de dicho estudio</w:t>
      </w:r>
      <w:r w:rsidR="002E13D7" w:rsidRPr="00F20A17">
        <w:rPr>
          <w:rFonts w:ascii="Arial" w:hAnsi="Arial" w:cs="Arial"/>
          <w:sz w:val="22"/>
          <w:szCs w:val="22"/>
        </w:rPr>
        <w:t>, actualizadas conforme a la normatividad vigente sobre la materia</w:t>
      </w:r>
      <w:r w:rsidRPr="00F20A17">
        <w:rPr>
          <w:rStyle w:val="Refdenotaalpie"/>
          <w:rFonts w:ascii="Arial" w:hAnsi="Arial" w:cs="Arial"/>
          <w:sz w:val="22"/>
          <w:szCs w:val="22"/>
        </w:rPr>
        <w:footnoteReference w:id="1"/>
      </w:r>
      <w:r w:rsidRPr="00F20A17">
        <w:rPr>
          <w:rFonts w:ascii="Arial" w:hAnsi="Arial" w:cs="Arial"/>
          <w:sz w:val="22"/>
          <w:szCs w:val="22"/>
        </w:rPr>
        <w:t xml:space="preserve">: </w:t>
      </w:r>
    </w:p>
    <w:p w14:paraId="2A9E4211" w14:textId="77777777" w:rsidR="001869B6" w:rsidRPr="00F20A17" w:rsidRDefault="001869B6" w:rsidP="00EF3D59">
      <w:pPr>
        <w:spacing w:line="288" w:lineRule="auto"/>
        <w:jc w:val="both"/>
        <w:rPr>
          <w:rFonts w:ascii="Arial" w:hAnsi="Arial" w:cs="Arial"/>
          <w:sz w:val="22"/>
          <w:szCs w:val="22"/>
        </w:rPr>
      </w:pPr>
      <w:bookmarkStart w:id="63" w:name="_Toc397936251"/>
      <w:bookmarkStart w:id="64" w:name="_Toc459991350"/>
      <w:bookmarkStart w:id="65" w:name="_Toc490726950"/>
      <w:bookmarkStart w:id="66" w:name="_Toc490727898"/>
      <w:r w:rsidRPr="00F20A17">
        <w:rPr>
          <w:rFonts w:ascii="Arial" w:hAnsi="Arial" w:cs="Arial"/>
          <w:sz w:val="22"/>
          <w:szCs w:val="22"/>
        </w:rPr>
        <w:t xml:space="preserve">  </w:t>
      </w:r>
    </w:p>
    <w:p w14:paraId="14595AC6" w14:textId="77777777" w:rsidR="0046335B" w:rsidRPr="00F20A17" w:rsidRDefault="0046335B" w:rsidP="00343ECE">
      <w:pPr>
        <w:pStyle w:val="Ttulo3"/>
        <w:numPr>
          <w:ilvl w:val="2"/>
          <w:numId w:val="13"/>
        </w:numPr>
        <w:spacing w:line="288" w:lineRule="auto"/>
        <w:rPr>
          <w:rFonts w:ascii="Arial" w:hAnsi="Arial" w:cs="Arial"/>
          <w:b/>
          <w:sz w:val="22"/>
          <w:szCs w:val="22"/>
        </w:rPr>
      </w:pPr>
      <w:bookmarkStart w:id="67" w:name="_Toc59377818"/>
      <w:r w:rsidRPr="00F20A17">
        <w:rPr>
          <w:rFonts w:ascii="Arial" w:hAnsi="Arial" w:cs="Arial"/>
          <w:b/>
          <w:sz w:val="22"/>
          <w:szCs w:val="22"/>
        </w:rPr>
        <w:t>Fundamento legal</w:t>
      </w:r>
      <w:bookmarkEnd w:id="63"/>
      <w:bookmarkEnd w:id="64"/>
      <w:bookmarkEnd w:id="65"/>
      <w:bookmarkEnd w:id="66"/>
      <w:bookmarkEnd w:id="67"/>
    </w:p>
    <w:p w14:paraId="42FC142E" w14:textId="77777777" w:rsidR="00FB37AD" w:rsidRPr="00F20A17" w:rsidRDefault="00FB37AD" w:rsidP="00EF3D59">
      <w:pPr>
        <w:spacing w:line="288" w:lineRule="auto"/>
        <w:rPr>
          <w:rFonts w:ascii="Arial" w:hAnsi="Arial" w:cs="Arial"/>
          <w:sz w:val="22"/>
          <w:szCs w:val="22"/>
        </w:rPr>
      </w:pPr>
    </w:p>
    <w:p w14:paraId="5B9EEFAB" w14:textId="77777777" w:rsidR="0046335B" w:rsidRPr="00F20A17" w:rsidRDefault="0046335B" w:rsidP="00EF3D59">
      <w:pPr>
        <w:spacing w:line="288" w:lineRule="auto"/>
        <w:jc w:val="both"/>
        <w:rPr>
          <w:rFonts w:ascii="Arial" w:hAnsi="Arial" w:cs="Arial"/>
          <w:bCs/>
          <w:sz w:val="22"/>
          <w:szCs w:val="22"/>
          <w:lang w:val="es-CO"/>
        </w:rPr>
      </w:pPr>
      <w:r w:rsidRPr="00F20A17">
        <w:rPr>
          <w:rFonts w:ascii="Arial" w:hAnsi="Arial" w:cs="Arial"/>
          <w:bCs/>
          <w:sz w:val="22"/>
          <w:szCs w:val="22"/>
        </w:rPr>
        <w:t>L</w:t>
      </w:r>
      <w:r w:rsidRPr="00F20A17">
        <w:rPr>
          <w:rFonts w:ascii="Arial" w:hAnsi="Arial" w:cs="Arial"/>
          <w:bCs/>
          <w:sz w:val="22"/>
          <w:szCs w:val="22"/>
          <w:lang w:val="es-CO"/>
        </w:rPr>
        <w:t>os artículos 209 y 269 de la Constitución Política determinan el marco general sobre la obligatoriedad de diseñar y aplicar métodos y procedimientos de Control Interno por parte de las entidades y organismos del Sector Público.</w:t>
      </w:r>
    </w:p>
    <w:p w14:paraId="7B5D4D7B" w14:textId="77777777" w:rsidR="0046335B" w:rsidRPr="00F20A17" w:rsidRDefault="0046335B" w:rsidP="00EF3D59">
      <w:pPr>
        <w:spacing w:line="288" w:lineRule="auto"/>
        <w:jc w:val="both"/>
        <w:rPr>
          <w:rFonts w:ascii="Arial" w:hAnsi="Arial" w:cs="Arial"/>
          <w:b/>
          <w:sz w:val="22"/>
          <w:szCs w:val="22"/>
        </w:rPr>
      </w:pPr>
    </w:p>
    <w:p w14:paraId="45726A22" w14:textId="77777777" w:rsidR="0046335B" w:rsidRPr="00F20A17" w:rsidRDefault="0046335B" w:rsidP="00EF3D59">
      <w:pPr>
        <w:pStyle w:val="estilo1"/>
        <w:spacing w:before="0" w:after="0" w:line="288" w:lineRule="auto"/>
        <w:ind w:left="0"/>
        <w:jc w:val="both"/>
        <w:rPr>
          <w:rFonts w:ascii="Arial" w:hAnsi="Arial" w:cs="Arial"/>
          <w:color w:val="auto"/>
          <w:sz w:val="22"/>
          <w:szCs w:val="22"/>
        </w:rPr>
      </w:pPr>
      <w:r w:rsidRPr="00F20A17">
        <w:rPr>
          <w:rFonts w:ascii="Arial" w:hAnsi="Arial" w:cs="Arial"/>
          <w:color w:val="auto"/>
          <w:sz w:val="22"/>
          <w:szCs w:val="22"/>
          <w:lang w:val="es-MX"/>
        </w:rPr>
        <w:t>E</w:t>
      </w:r>
      <w:r w:rsidRPr="00F20A17">
        <w:rPr>
          <w:rFonts w:ascii="Arial" w:hAnsi="Arial" w:cs="Arial"/>
          <w:color w:val="auto"/>
          <w:sz w:val="22"/>
          <w:szCs w:val="22"/>
        </w:rPr>
        <w:t>l literal a) del artí</w:t>
      </w:r>
      <w:r w:rsidR="00FD4E09" w:rsidRPr="00F20A17">
        <w:rPr>
          <w:rFonts w:ascii="Arial" w:hAnsi="Arial" w:cs="Arial"/>
          <w:color w:val="auto"/>
          <w:sz w:val="22"/>
          <w:szCs w:val="22"/>
        </w:rPr>
        <w:t>culo 3° de la Ley 87 de 1993, “</w:t>
      </w:r>
      <w:r w:rsidR="00FD4E09" w:rsidRPr="00DF709C">
        <w:rPr>
          <w:rFonts w:ascii="Arial" w:hAnsi="Arial" w:cs="Arial"/>
          <w:i/>
          <w:iCs/>
          <w:color w:val="auto"/>
          <w:sz w:val="22"/>
          <w:szCs w:val="22"/>
        </w:rPr>
        <w:t>P</w:t>
      </w:r>
      <w:r w:rsidRPr="00DF709C">
        <w:rPr>
          <w:rFonts w:ascii="Arial" w:hAnsi="Arial" w:cs="Arial"/>
          <w:i/>
          <w:iCs/>
          <w:color w:val="auto"/>
          <w:sz w:val="22"/>
          <w:szCs w:val="22"/>
        </w:rPr>
        <w:t xml:space="preserve">or la cual se establecen normas para el ejercicio del control interno en las entidades y organismos del Estado y se dictan </w:t>
      </w:r>
      <w:r w:rsidR="00FD4E09" w:rsidRPr="00DF709C">
        <w:rPr>
          <w:rFonts w:ascii="Arial" w:hAnsi="Arial" w:cs="Arial"/>
          <w:i/>
          <w:iCs/>
          <w:color w:val="auto"/>
          <w:sz w:val="22"/>
          <w:szCs w:val="22"/>
        </w:rPr>
        <w:t>otras disposiciones</w:t>
      </w:r>
      <w:r w:rsidR="00FD4E09" w:rsidRPr="00F20A17">
        <w:rPr>
          <w:rFonts w:ascii="Arial" w:hAnsi="Arial" w:cs="Arial"/>
          <w:color w:val="auto"/>
          <w:sz w:val="22"/>
          <w:szCs w:val="22"/>
        </w:rPr>
        <w:t>”, establece</w:t>
      </w:r>
      <w:r w:rsidRPr="00F20A17">
        <w:rPr>
          <w:rFonts w:ascii="Arial" w:hAnsi="Arial" w:cs="Arial"/>
          <w:color w:val="auto"/>
          <w:sz w:val="22"/>
          <w:szCs w:val="22"/>
        </w:rPr>
        <w:t xml:space="preserve"> que el Sistema de Control Interno forma parte integrante de los sistemas contables, financieros, de planeación, información y operacionales de la respectiva entidad.</w:t>
      </w:r>
    </w:p>
    <w:p w14:paraId="515E7D55" w14:textId="77777777" w:rsidR="0046335B" w:rsidRPr="00F20A17" w:rsidRDefault="0046335B" w:rsidP="00EF3D59">
      <w:pPr>
        <w:pStyle w:val="estilo1"/>
        <w:spacing w:before="0" w:after="0" w:line="288" w:lineRule="auto"/>
        <w:ind w:left="0"/>
        <w:jc w:val="both"/>
        <w:rPr>
          <w:rFonts w:ascii="Arial" w:hAnsi="Arial" w:cs="Arial"/>
          <w:color w:val="auto"/>
          <w:sz w:val="22"/>
          <w:szCs w:val="22"/>
        </w:rPr>
      </w:pPr>
    </w:p>
    <w:p w14:paraId="30FAFDB2" w14:textId="77777777" w:rsidR="0046335B" w:rsidRPr="00F20A17" w:rsidRDefault="0046335B" w:rsidP="00EF3D59">
      <w:pPr>
        <w:pStyle w:val="estilo1"/>
        <w:spacing w:before="0" w:after="0" w:line="288" w:lineRule="auto"/>
        <w:ind w:left="0"/>
        <w:jc w:val="both"/>
        <w:rPr>
          <w:rFonts w:ascii="Arial" w:hAnsi="Arial" w:cs="Arial"/>
          <w:color w:val="auto"/>
          <w:sz w:val="22"/>
          <w:szCs w:val="22"/>
        </w:rPr>
      </w:pPr>
      <w:r w:rsidRPr="00F20A17">
        <w:rPr>
          <w:rFonts w:ascii="Arial" w:hAnsi="Arial" w:cs="Arial"/>
          <w:color w:val="auto"/>
          <w:sz w:val="22"/>
          <w:szCs w:val="22"/>
        </w:rPr>
        <w:t xml:space="preserve">El literal b) del artículo 3° de la misma Ley 87 de 1993, </w:t>
      </w:r>
      <w:r w:rsidR="00FD4E09" w:rsidRPr="00F20A17">
        <w:rPr>
          <w:rFonts w:ascii="Arial" w:hAnsi="Arial" w:cs="Arial"/>
          <w:color w:val="auto"/>
          <w:sz w:val="22"/>
          <w:szCs w:val="22"/>
        </w:rPr>
        <w:t>determina</w:t>
      </w:r>
      <w:r w:rsidRPr="00F20A17">
        <w:rPr>
          <w:rFonts w:ascii="Arial" w:hAnsi="Arial" w:cs="Arial"/>
          <w:color w:val="auto"/>
          <w:sz w:val="22"/>
          <w:szCs w:val="22"/>
        </w:rPr>
        <w:t xml:space="preserve"> que corresponde a la máxima autoridad del organismo o entidad, la responsabilidad de establecer, mantener y perfeccionar el Sistema de Control Interno, el cual debe ser adecuado a la naturaleza, estructura y misión de la organización.</w:t>
      </w:r>
    </w:p>
    <w:p w14:paraId="27E36B02" w14:textId="77777777" w:rsidR="0046335B" w:rsidRPr="00F20A17" w:rsidRDefault="0046335B" w:rsidP="00EF3D59">
      <w:pPr>
        <w:pStyle w:val="estilo1"/>
        <w:spacing w:before="0" w:after="0" w:line="288" w:lineRule="auto"/>
        <w:ind w:left="0"/>
        <w:jc w:val="both"/>
        <w:rPr>
          <w:rFonts w:ascii="Arial" w:hAnsi="Arial" w:cs="Arial"/>
          <w:color w:val="auto"/>
          <w:sz w:val="22"/>
          <w:szCs w:val="22"/>
        </w:rPr>
      </w:pPr>
    </w:p>
    <w:p w14:paraId="5A8D014B" w14:textId="77777777" w:rsidR="0046335B" w:rsidRPr="00F20A17" w:rsidRDefault="00FD4E09" w:rsidP="00EF3D59">
      <w:pPr>
        <w:autoSpaceDE w:val="0"/>
        <w:autoSpaceDN w:val="0"/>
        <w:adjustRightInd w:val="0"/>
        <w:spacing w:line="288" w:lineRule="auto"/>
        <w:jc w:val="both"/>
        <w:rPr>
          <w:rFonts w:ascii="Arial" w:hAnsi="Arial" w:cs="Arial"/>
          <w:sz w:val="22"/>
          <w:szCs w:val="22"/>
          <w:lang w:val="es-CO" w:eastAsia="es-CO"/>
        </w:rPr>
      </w:pPr>
      <w:r w:rsidRPr="00F20A17">
        <w:rPr>
          <w:rFonts w:ascii="Arial" w:hAnsi="Arial" w:cs="Arial"/>
          <w:sz w:val="22"/>
          <w:szCs w:val="22"/>
          <w:lang w:val="es-CO" w:eastAsia="es-CO"/>
        </w:rPr>
        <w:t>El artículo 7°</w:t>
      </w:r>
      <w:r w:rsidR="0046335B" w:rsidRPr="00F20A17">
        <w:rPr>
          <w:rFonts w:ascii="Arial" w:hAnsi="Arial" w:cs="Arial"/>
          <w:sz w:val="22"/>
          <w:szCs w:val="22"/>
          <w:lang w:val="es-CO" w:eastAsia="es-CO"/>
        </w:rPr>
        <w:t xml:space="preserve"> del Decreto 1914 de 2003 señala que el representante legal y el máximo organismo colegiado de dirección, según sea la entidad pública que se trate, serán responsables de adelantar las gestiones necesarias que conduzcan a garantizar la sostenibilidad y permanencia de un sistema contable que produzca información razonable y oportuna.</w:t>
      </w:r>
    </w:p>
    <w:p w14:paraId="6E7784B7" w14:textId="77777777" w:rsidR="0046335B" w:rsidRPr="00F20A17" w:rsidRDefault="0046335B" w:rsidP="00EF3D59">
      <w:pPr>
        <w:pStyle w:val="Textoindependiente"/>
        <w:spacing w:line="288" w:lineRule="auto"/>
        <w:rPr>
          <w:rFonts w:ascii="Arial" w:hAnsi="Arial" w:cs="Arial"/>
          <w:sz w:val="22"/>
          <w:szCs w:val="22"/>
        </w:rPr>
      </w:pPr>
    </w:p>
    <w:p w14:paraId="7A2B64F3"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 xml:space="preserve">El Contador General de la Nación expidió la Resolución </w:t>
      </w:r>
      <w:r w:rsidR="009857DF" w:rsidRPr="00F20A17">
        <w:rPr>
          <w:rFonts w:ascii="Arial" w:hAnsi="Arial" w:cs="Arial"/>
          <w:sz w:val="22"/>
          <w:szCs w:val="22"/>
        </w:rPr>
        <w:t>193 de mayo 5 de 2016 “</w:t>
      </w:r>
      <w:r w:rsidR="009857DF" w:rsidRPr="00DF709C">
        <w:rPr>
          <w:rFonts w:ascii="Arial" w:hAnsi="Arial" w:cs="Arial"/>
          <w:i/>
          <w:iCs/>
          <w:sz w:val="22"/>
          <w:szCs w:val="22"/>
        </w:rPr>
        <w:t>Por la cual se incorpora, en los Procedimientos Transversales del Régimen de Contabilidad Pública, el Procedimiento para la evaluación del control interno contable</w:t>
      </w:r>
      <w:r w:rsidR="009857DF" w:rsidRPr="00F20A17">
        <w:rPr>
          <w:rFonts w:ascii="Arial" w:hAnsi="Arial" w:cs="Arial"/>
          <w:sz w:val="22"/>
          <w:szCs w:val="22"/>
        </w:rPr>
        <w:t xml:space="preserve">”. </w:t>
      </w:r>
    </w:p>
    <w:p w14:paraId="6DCCC3DF" w14:textId="77777777" w:rsidR="0046335B" w:rsidRPr="00F20A17" w:rsidRDefault="0046335B" w:rsidP="00EF3D59">
      <w:pPr>
        <w:pStyle w:val="Textoindependiente"/>
        <w:spacing w:line="288" w:lineRule="auto"/>
        <w:ind w:firstLine="283"/>
        <w:rPr>
          <w:rFonts w:ascii="Arial" w:hAnsi="Arial" w:cs="Arial"/>
          <w:sz w:val="22"/>
          <w:szCs w:val="22"/>
        </w:rPr>
      </w:pPr>
    </w:p>
    <w:p w14:paraId="63833D1E" w14:textId="37F0F359" w:rsidR="009857DF" w:rsidRPr="00DF709C" w:rsidRDefault="009857DF" w:rsidP="00EF3D59">
      <w:pPr>
        <w:spacing w:line="288" w:lineRule="auto"/>
        <w:jc w:val="both"/>
        <w:rPr>
          <w:rFonts w:ascii="Arial" w:hAnsi="Arial" w:cs="Arial"/>
          <w:i/>
          <w:iCs/>
          <w:sz w:val="22"/>
          <w:szCs w:val="22"/>
        </w:rPr>
      </w:pPr>
      <w:r w:rsidRPr="00F20A17">
        <w:rPr>
          <w:rFonts w:ascii="Arial" w:hAnsi="Arial" w:cs="Arial"/>
          <w:sz w:val="22"/>
          <w:szCs w:val="22"/>
        </w:rPr>
        <w:t>El artículo</w:t>
      </w:r>
      <w:r w:rsidR="0046335B" w:rsidRPr="00F20A17">
        <w:rPr>
          <w:rFonts w:ascii="Arial" w:hAnsi="Arial" w:cs="Arial"/>
          <w:sz w:val="22"/>
          <w:szCs w:val="22"/>
        </w:rPr>
        <w:t xml:space="preserve"> 1º de la </w:t>
      </w:r>
      <w:r w:rsidRPr="00F20A17">
        <w:rPr>
          <w:rFonts w:ascii="Arial" w:hAnsi="Arial" w:cs="Arial"/>
          <w:sz w:val="22"/>
          <w:szCs w:val="22"/>
        </w:rPr>
        <w:t>Resolución 193 de 2016, señala: “</w:t>
      </w:r>
      <w:r w:rsidRPr="00DF709C">
        <w:rPr>
          <w:rFonts w:ascii="Arial" w:hAnsi="Arial" w:cs="Arial"/>
          <w:i/>
          <w:iCs/>
          <w:sz w:val="22"/>
          <w:szCs w:val="22"/>
        </w:rPr>
        <w:t xml:space="preserve">Incorpórese, en los Procedimientos Transversales del Régimen de Contabilidad Pública, el Procedimiento para la evaluación </w:t>
      </w:r>
      <w:r w:rsidRPr="00DF709C">
        <w:rPr>
          <w:rFonts w:ascii="Arial" w:hAnsi="Arial" w:cs="Arial"/>
          <w:i/>
          <w:iCs/>
          <w:sz w:val="22"/>
          <w:szCs w:val="22"/>
        </w:rPr>
        <w:lastRenderedPageBreak/>
        <w:t>del control interno contable</w:t>
      </w:r>
      <w:r w:rsidR="00DF709C">
        <w:rPr>
          <w:rFonts w:ascii="Arial" w:hAnsi="Arial" w:cs="Arial"/>
          <w:sz w:val="22"/>
          <w:szCs w:val="22"/>
        </w:rPr>
        <w:t>”</w:t>
      </w:r>
      <w:r w:rsidRPr="00F20A17">
        <w:rPr>
          <w:rFonts w:ascii="Arial" w:hAnsi="Arial" w:cs="Arial"/>
          <w:sz w:val="22"/>
          <w:szCs w:val="22"/>
        </w:rPr>
        <w:t>. Por su parte, el numeral 3.2.2 del anexo del Procedimiento para la evaluación del control interno contable, definido en la Resolución 193 de 2016, establece: “</w:t>
      </w:r>
      <w:r w:rsidRPr="00DF709C">
        <w:rPr>
          <w:rFonts w:ascii="Arial" w:hAnsi="Arial" w:cs="Arial"/>
          <w:i/>
          <w:iCs/>
          <w:sz w:val="22"/>
          <w:szCs w:val="22"/>
        </w:rPr>
        <w:t>Dada la característica recursiva de los sistemas organizacionales y la interrelación necesaria entre los diferentes procesos que desarrollan las entidades, estas deberán contar con herramientas tendientes a la mejora continua y de sostenibilidad de la información financiera de manera que se genere información con las características fundamentales de relevancia y representación fiel. Estas herramientas pueden ser de diversa índole, como la creación del Comité Técnico de Sostenibilidad Contable o la implementación de herramientas sustentadas en políticas, procedimientos, directrices, instructivos, lineamientos o reglas de negocio que propendan por garantizar de manera permanente la depuración y mejora de la calidad de la información financiera.</w:t>
      </w:r>
    </w:p>
    <w:p w14:paraId="3CCC9286" w14:textId="77777777" w:rsidR="009857DF" w:rsidRPr="00DF709C" w:rsidRDefault="009857DF" w:rsidP="00EF3D59">
      <w:pPr>
        <w:spacing w:line="288" w:lineRule="auto"/>
        <w:jc w:val="both"/>
        <w:rPr>
          <w:rFonts w:ascii="Arial" w:hAnsi="Arial" w:cs="Arial"/>
          <w:i/>
          <w:iCs/>
          <w:sz w:val="22"/>
          <w:szCs w:val="22"/>
        </w:rPr>
      </w:pPr>
    </w:p>
    <w:p w14:paraId="0F1DE45E" w14:textId="77777777" w:rsidR="009857DF" w:rsidRPr="00F20A17" w:rsidRDefault="009857DF" w:rsidP="00EF3D59">
      <w:pPr>
        <w:spacing w:line="288" w:lineRule="auto"/>
        <w:jc w:val="both"/>
        <w:rPr>
          <w:rFonts w:ascii="Arial" w:hAnsi="Arial" w:cs="Arial"/>
          <w:sz w:val="22"/>
          <w:szCs w:val="22"/>
        </w:rPr>
      </w:pPr>
      <w:r w:rsidRPr="00DF709C">
        <w:rPr>
          <w:rFonts w:ascii="Arial" w:hAnsi="Arial" w:cs="Arial"/>
          <w:i/>
          <w:iCs/>
          <w:sz w:val="22"/>
          <w:szCs w:val="22"/>
        </w:rPr>
        <w:t>Lo anterior, sin perjuicio de las responsabilidades y autonomía que caracterizan el ejercicio profesional del contador público encargado del área contable de la entidad y del jefe de la oficina de control interno o quien haga sus veces</w:t>
      </w:r>
      <w:r w:rsidRPr="00F20A17">
        <w:rPr>
          <w:rFonts w:ascii="Arial" w:hAnsi="Arial" w:cs="Arial"/>
          <w:sz w:val="22"/>
          <w:szCs w:val="22"/>
        </w:rPr>
        <w:t>”.</w:t>
      </w:r>
    </w:p>
    <w:p w14:paraId="08CE9AC8" w14:textId="77777777" w:rsidR="0046335B" w:rsidRPr="00F20A17" w:rsidRDefault="0046335B" w:rsidP="00EF3D59">
      <w:pPr>
        <w:pStyle w:val="Textoindependiente"/>
        <w:spacing w:line="288" w:lineRule="auto"/>
        <w:rPr>
          <w:rFonts w:ascii="Arial" w:hAnsi="Arial" w:cs="Arial"/>
          <w:sz w:val="22"/>
          <w:szCs w:val="22"/>
        </w:rPr>
      </w:pPr>
    </w:p>
    <w:p w14:paraId="791499B5" w14:textId="77777777" w:rsidR="0046335B" w:rsidRPr="00F20A17" w:rsidRDefault="0046335B" w:rsidP="00343ECE">
      <w:pPr>
        <w:pStyle w:val="Ttulo3"/>
        <w:numPr>
          <w:ilvl w:val="2"/>
          <w:numId w:val="12"/>
        </w:numPr>
        <w:spacing w:line="288" w:lineRule="auto"/>
        <w:rPr>
          <w:rFonts w:ascii="Arial" w:hAnsi="Arial" w:cs="Arial"/>
          <w:b/>
          <w:sz w:val="22"/>
          <w:szCs w:val="22"/>
        </w:rPr>
      </w:pPr>
      <w:bookmarkStart w:id="68" w:name="_Toc397936252"/>
      <w:bookmarkStart w:id="69" w:name="_Toc459991351"/>
      <w:bookmarkStart w:id="70" w:name="_Toc490726951"/>
      <w:bookmarkStart w:id="71" w:name="_Toc490727899"/>
      <w:bookmarkStart w:id="72" w:name="_Toc59377819"/>
      <w:r w:rsidRPr="00F20A17">
        <w:rPr>
          <w:rFonts w:ascii="Arial" w:hAnsi="Arial" w:cs="Arial"/>
          <w:b/>
          <w:sz w:val="22"/>
          <w:szCs w:val="22"/>
        </w:rPr>
        <w:t>Definición</w:t>
      </w:r>
      <w:bookmarkEnd w:id="68"/>
      <w:bookmarkEnd w:id="69"/>
      <w:bookmarkEnd w:id="70"/>
      <w:bookmarkEnd w:id="71"/>
      <w:bookmarkEnd w:id="72"/>
    </w:p>
    <w:p w14:paraId="2659B7A8" w14:textId="77777777" w:rsidR="003048C0" w:rsidRPr="00F20A17" w:rsidRDefault="003048C0" w:rsidP="00EF3D59">
      <w:pPr>
        <w:spacing w:line="288" w:lineRule="auto"/>
        <w:rPr>
          <w:rFonts w:ascii="Arial" w:hAnsi="Arial" w:cs="Arial"/>
          <w:sz w:val="22"/>
          <w:szCs w:val="22"/>
        </w:rPr>
      </w:pPr>
    </w:p>
    <w:p w14:paraId="5AE76818" w14:textId="77777777" w:rsidR="0046335B" w:rsidRPr="00F20A17" w:rsidRDefault="0046335B" w:rsidP="00EF3D59">
      <w:pPr>
        <w:autoSpaceDE w:val="0"/>
        <w:autoSpaceDN w:val="0"/>
        <w:adjustRightInd w:val="0"/>
        <w:spacing w:line="288" w:lineRule="auto"/>
        <w:jc w:val="both"/>
        <w:rPr>
          <w:rFonts w:ascii="Arial" w:hAnsi="Arial" w:cs="Arial"/>
          <w:sz w:val="22"/>
          <w:szCs w:val="22"/>
          <w:lang w:val="es-CO" w:eastAsia="es-CO"/>
        </w:rPr>
      </w:pPr>
      <w:r w:rsidRPr="00F20A17">
        <w:rPr>
          <w:rFonts w:ascii="Arial" w:hAnsi="Arial" w:cs="Arial"/>
          <w:b/>
          <w:sz w:val="22"/>
          <w:szCs w:val="22"/>
          <w:lang w:val="es-ES_tradnl"/>
        </w:rPr>
        <w:t>Comité Técnico de Sostenibilidad Contable:</w:t>
      </w:r>
      <w:r w:rsidRPr="00F20A17">
        <w:rPr>
          <w:rFonts w:ascii="Arial" w:hAnsi="Arial" w:cs="Arial"/>
          <w:sz w:val="22"/>
          <w:szCs w:val="22"/>
          <w:lang w:val="es-ES_tradnl"/>
        </w:rPr>
        <w:t xml:space="preserve"> Es el grupo de trabajo, conformado en una entidad, para recomendar al representante legal, la adopción de directrices, políticas y procedimientos encaminados a la ejecución, control y mejora continua de los procesos que garanticen la existencia y permanencia de un sistema contable que produzca información razonable y oportuna</w:t>
      </w:r>
      <w:r w:rsidRPr="00F20A17">
        <w:rPr>
          <w:rFonts w:ascii="Arial" w:hAnsi="Arial" w:cs="Arial"/>
          <w:sz w:val="22"/>
          <w:szCs w:val="22"/>
          <w:lang w:val="es-CO" w:eastAsia="es-CO"/>
        </w:rPr>
        <w:t>.</w:t>
      </w:r>
    </w:p>
    <w:p w14:paraId="7A91462B" w14:textId="77777777" w:rsidR="0046335B" w:rsidRPr="00F20A17" w:rsidRDefault="0046335B" w:rsidP="00EF3D59">
      <w:pPr>
        <w:autoSpaceDE w:val="0"/>
        <w:autoSpaceDN w:val="0"/>
        <w:adjustRightInd w:val="0"/>
        <w:spacing w:line="288" w:lineRule="auto"/>
        <w:jc w:val="both"/>
        <w:rPr>
          <w:rFonts w:ascii="Arial" w:hAnsi="Arial" w:cs="Arial"/>
          <w:sz w:val="22"/>
          <w:szCs w:val="22"/>
          <w:lang w:val="es-CO" w:eastAsia="es-CO"/>
        </w:rPr>
      </w:pPr>
    </w:p>
    <w:p w14:paraId="323DDD94" w14:textId="77777777" w:rsidR="0046335B" w:rsidRPr="00F20A17" w:rsidRDefault="0046335B" w:rsidP="00343ECE">
      <w:pPr>
        <w:pStyle w:val="Ttulo3"/>
        <w:numPr>
          <w:ilvl w:val="2"/>
          <w:numId w:val="12"/>
        </w:numPr>
        <w:spacing w:line="288" w:lineRule="auto"/>
        <w:rPr>
          <w:rFonts w:ascii="Arial" w:hAnsi="Arial" w:cs="Arial"/>
          <w:b/>
          <w:sz w:val="22"/>
          <w:szCs w:val="22"/>
        </w:rPr>
      </w:pPr>
      <w:bookmarkStart w:id="73" w:name="_Toc397936253"/>
      <w:bookmarkStart w:id="74" w:name="_Toc459991352"/>
      <w:bookmarkStart w:id="75" w:name="_Toc490726952"/>
      <w:bookmarkStart w:id="76" w:name="_Toc490727900"/>
      <w:bookmarkStart w:id="77" w:name="_Toc59377820"/>
      <w:r w:rsidRPr="00F20A17">
        <w:rPr>
          <w:rFonts w:ascii="Arial" w:hAnsi="Arial" w:cs="Arial"/>
          <w:b/>
          <w:sz w:val="22"/>
          <w:szCs w:val="22"/>
        </w:rPr>
        <w:t>Funciones del comité</w:t>
      </w:r>
      <w:bookmarkEnd w:id="73"/>
      <w:bookmarkEnd w:id="74"/>
      <w:bookmarkEnd w:id="75"/>
      <w:bookmarkEnd w:id="76"/>
      <w:bookmarkEnd w:id="77"/>
    </w:p>
    <w:p w14:paraId="0A6A3748" w14:textId="77777777" w:rsidR="003048C0" w:rsidRPr="00F20A17" w:rsidRDefault="003048C0" w:rsidP="00EF3D59">
      <w:pPr>
        <w:spacing w:line="288" w:lineRule="auto"/>
        <w:rPr>
          <w:rFonts w:ascii="Arial" w:hAnsi="Arial" w:cs="Arial"/>
          <w:sz w:val="22"/>
          <w:szCs w:val="22"/>
        </w:rPr>
      </w:pPr>
    </w:p>
    <w:p w14:paraId="27D787B2"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 xml:space="preserve">Las siguientes son </w:t>
      </w:r>
      <w:r w:rsidR="009B51A7" w:rsidRPr="00F20A17">
        <w:rPr>
          <w:rFonts w:ascii="Arial" w:hAnsi="Arial" w:cs="Arial"/>
          <w:sz w:val="22"/>
          <w:szCs w:val="22"/>
        </w:rPr>
        <w:t xml:space="preserve">algunas </w:t>
      </w:r>
      <w:r w:rsidRPr="00F20A17">
        <w:rPr>
          <w:rFonts w:ascii="Arial" w:hAnsi="Arial" w:cs="Arial"/>
          <w:sz w:val="22"/>
          <w:szCs w:val="22"/>
        </w:rPr>
        <w:t>funciones asignadas al Comité de Sostenibilidad Contable en las entidades que lo han creado:</w:t>
      </w:r>
    </w:p>
    <w:p w14:paraId="127D7688" w14:textId="77777777" w:rsidR="0046335B" w:rsidRPr="00F20A17" w:rsidRDefault="0046335B" w:rsidP="00EF3D59">
      <w:pPr>
        <w:pStyle w:val="Textoindependiente"/>
        <w:spacing w:line="288" w:lineRule="auto"/>
        <w:rPr>
          <w:rFonts w:ascii="Arial" w:hAnsi="Arial" w:cs="Arial"/>
          <w:sz w:val="22"/>
          <w:szCs w:val="22"/>
        </w:rPr>
      </w:pPr>
    </w:p>
    <w:p w14:paraId="72390217" w14:textId="77777777" w:rsidR="0046335B" w:rsidRPr="00F20A17" w:rsidRDefault="0046335B" w:rsidP="00EF3D59">
      <w:pPr>
        <w:pStyle w:val="Textoindependiente"/>
        <w:numPr>
          <w:ilvl w:val="0"/>
          <w:numId w:val="3"/>
        </w:numPr>
        <w:suppressAutoHyphens/>
        <w:spacing w:line="288" w:lineRule="auto"/>
        <w:ind w:left="284" w:hanging="284"/>
        <w:rPr>
          <w:rFonts w:ascii="Arial" w:hAnsi="Arial" w:cs="Arial"/>
          <w:sz w:val="22"/>
          <w:szCs w:val="22"/>
        </w:rPr>
      </w:pPr>
      <w:r w:rsidRPr="00F20A17">
        <w:rPr>
          <w:rFonts w:ascii="Arial" w:hAnsi="Arial" w:cs="Arial"/>
          <w:sz w:val="22"/>
          <w:szCs w:val="22"/>
        </w:rPr>
        <w:t xml:space="preserve">Recomendar al representante legal las políticas, directrices y procedimientos que se requieran para depurar la información contable de la entidad, particularmente en las siguientes situaciones: </w:t>
      </w:r>
    </w:p>
    <w:p w14:paraId="10121F86" w14:textId="77777777" w:rsidR="0046335B" w:rsidRPr="00F20A17" w:rsidRDefault="0046335B" w:rsidP="00EF3D59">
      <w:pPr>
        <w:pStyle w:val="Textoindependiente"/>
        <w:suppressAutoHyphens/>
        <w:spacing w:line="288" w:lineRule="auto"/>
        <w:ind w:left="284"/>
        <w:rPr>
          <w:rFonts w:ascii="Arial" w:hAnsi="Arial" w:cs="Arial"/>
          <w:sz w:val="22"/>
          <w:szCs w:val="22"/>
        </w:rPr>
      </w:pPr>
    </w:p>
    <w:p w14:paraId="22501233"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Valores que afecten la situación patrimonial y no representen derechos, bienes y obligaciones ciertos para la entidad;</w:t>
      </w:r>
    </w:p>
    <w:p w14:paraId="74D7030B"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 xml:space="preserve">Derechos u obligaciones que, no </w:t>
      </w:r>
      <w:proofErr w:type="gramStart"/>
      <w:r w:rsidRPr="00F20A17">
        <w:rPr>
          <w:rFonts w:ascii="Arial" w:hAnsi="Arial" w:cs="Arial"/>
          <w:sz w:val="22"/>
          <w:szCs w:val="22"/>
        </w:rPr>
        <w:t>obstante</w:t>
      </w:r>
      <w:proofErr w:type="gramEnd"/>
      <w:r w:rsidRPr="00F20A17">
        <w:rPr>
          <w:rFonts w:ascii="Arial" w:hAnsi="Arial" w:cs="Arial"/>
          <w:sz w:val="22"/>
          <w:szCs w:val="22"/>
        </w:rPr>
        <w:t xml:space="preserve"> su existencia, no es posible realizarlos mediante la jurisdicción coactiva;</w:t>
      </w:r>
    </w:p>
    <w:p w14:paraId="779CB900"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Derechos y obligaciones respecto de los cuales no es posible ejercer su cobro o pago, por cuanto opera alguna causal relacionada con su extinción, según sea el caso;</w:t>
      </w:r>
    </w:p>
    <w:p w14:paraId="52722684"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 xml:space="preserve">Derechos y obligaciones que carecen de documentos soporte idóneos, a través de </w:t>
      </w:r>
      <w:r w:rsidRPr="00F20A17">
        <w:rPr>
          <w:rFonts w:ascii="Arial" w:hAnsi="Arial" w:cs="Arial"/>
          <w:sz w:val="22"/>
          <w:szCs w:val="22"/>
        </w:rPr>
        <w:lastRenderedPageBreak/>
        <w:t>los cuales se puedan adelantar los procedimientos pertinentes para obtener su cobro o pago;</w:t>
      </w:r>
    </w:p>
    <w:p w14:paraId="003C76FD"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Valores respecto de los cuales no haya sido legalmente posible su imputación a alguna persona por la pérdida de los bienes o derechos que representan;</w:t>
      </w:r>
    </w:p>
    <w:p w14:paraId="2AAD8401"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Los inmuebles que carecen de título de propiedad idóneo y respecto de los cuales sea necesario llevar a cabo el proceso de titulación correspondiente.</w:t>
      </w:r>
    </w:p>
    <w:p w14:paraId="5DADE7C4" w14:textId="77777777" w:rsidR="0046335B" w:rsidRPr="00F20A17" w:rsidRDefault="0046335B" w:rsidP="00EF3D59">
      <w:pPr>
        <w:pStyle w:val="Textoindependiente"/>
        <w:numPr>
          <w:ilvl w:val="1"/>
          <w:numId w:val="2"/>
        </w:numPr>
        <w:tabs>
          <w:tab w:val="clear" w:pos="2059"/>
          <w:tab w:val="num" w:pos="567"/>
        </w:tabs>
        <w:suppressAutoHyphens/>
        <w:spacing w:line="288" w:lineRule="auto"/>
        <w:ind w:left="567" w:hanging="283"/>
        <w:rPr>
          <w:rFonts w:ascii="Arial" w:hAnsi="Arial" w:cs="Arial"/>
          <w:sz w:val="22"/>
          <w:szCs w:val="22"/>
        </w:rPr>
      </w:pPr>
      <w:r w:rsidRPr="00F20A17">
        <w:rPr>
          <w:rFonts w:ascii="Arial" w:hAnsi="Arial" w:cs="Arial"/>
          <w:sz w:val="22"/>
          <w:szCs w:val="22"/>
        </w:rPr>
        <w:t>Derechos y obligaciones que, por tratarse de mínimas cuantías, no procede adelantar gestiones para obtener su cobro o pago, considerada para el efecto la relación costo-beneficio. Se consideran de mínima cuantía, aquellos montos equivalentes a dos (2) salarios diarios mínimos legales vigentes.</w:t>
      </w:r>
    </w:p>
    <w:p w14:paraId="73A1246A" w14:textId="77777777" w:rsidR="0046335B" w:rsidRPr="00F20A17" w:rsidRDefault="0046335B" w:rsidP="00EF3D59">
      <w:pPr>
        <w:pStyle w:val="Textoindependiente"/>
        <w:suppressAutoHyphens/>
        <w:spacing w:line="288" w:lineRule="auto"/>
        <w:ind w:left="567"/>
        <w:rPr>
          <w:rFonts w:ascii="Arial" w:hAnsi="Arial" w:cs="Arial"/>
          <w:sz w:val="22"/>
          <w:szCs w:val="22"/>
        </w:rPr>
      </w:pPr>
      <w:r w:rsidRPr="00F20A17">
        <w:rPr>
          <w:rFonts w:ascii="Arial" w:hAnsi="Arial" w:cs="Arial"/>
          <w:sz w:val="22"/>
          <w:szCs w:val="22"/>
        </w:rPr>
        <w:t xml:space="preserve"> </w:t>
      </w:r>
    </w:p>
    <w:p w14:paraId="07FEEB06" w14:textId="77777777" w:rsidR="0046335B" w:rsidRPr="00F20A17" w:rsidRDefault="0046335B" w:rsidP="00EF3D59">
      <w:pPr>
        <w:pStyle w:val="Textoindependiente"/>
        <w:numPr>
          <w:ilvl w:val="0"/>
          <w:numId w:val="3"/>
        </w:numPr>
        <w:suppressAutoHyphens/>
        <w:autoSpaceDE w:val="0"/>
        <w:autoSpaceDN w:val="0"/>
        <w:adjustRightInd w:val="0"/>
        <w:spacing w:line="288" w:lineRule="auto"/>
        <w:ind w:left="284" w:hanging="284"/>
        <w:contextualSpacing/>
        <w:rPr>
          <w:rFonts w:ascii="Arial" w:hAnsi="Arial" w:cs="Arial"/>
          <w:sz w:val="22"/>
          <w:szCs w:val="22"/>
          <w:lang w:val="es-CO" w:eastAsia="es-CO"/>
        </w:rPr>
      </w:pPr>
      <w:r w:rsidRPr="00F20A17">
        <w:rPr>
          <w:rFonts w:ascii="Arial" w:hAnsi="Arial" w:cs="Arial"/>
          <w:sz w:val="22"/>
          <w:szCs w:val="22"/>
        </w:rPr>
        <w:t>Recomendar mediante acta, cuando exista prueba sumaria, la depuración y/o descargue de los registros contables de la entidad de las situaciones descritas en el numeral anterior</w:t>
      </w:r>
    </w:p>
    <w:p w14:paraId="598B0A0A" w14:textId="77777777" w:rsidR="0046335B" w:rsidRPr="00F20A17" w:rsidRDefault="0046335B" w:rsidP="00EF3D59">
      <w:pPr>
        <w:pStyle w:val="Textoindependiente"/>
        <w:suppressAutoHyphens/>
        <w:autoSpaceDE w:val="0"/>
        <w:autoSpaceDN w:val="0"/>
        <w:adjustRightInd w:val="0"/>
        <w:spacing w:line="288" w:lineRule="auto"/>
        <w:ind w:left="284"/>
        <w:contextualSpacing/>
        <w:rPr>
          <w:rFonts w:ascii="Arial" w:hAnsi="Arial" w:cs="Arial"/>
          <w:sz w:val="22"/>
          <w:szCs w:val="22"/>
          <w:lang w:val="es-CO" w:eastAsia="es-CO"/>
        </w:rPr>
      </w:pPr>
    </w:p>
    <w:p w14:paraId="460CF8B3" w14:textId="77777777" w:rsidR="0046335B" w:rsidRPr="00F20A17" w:rsidRDefault="0046335B" w:rsidP="00EF3D59">
      <w:pPr>
        <w:pStyle w:val="Textoindependiente"/>
        <w:numPr>
          <w:ilvl w:val="0"/>
          <w:numId w:val="3"/>
        </w:numPr>
        <w:suppressAutoHyphens/>
        <w:autoSpaceDE w:val="0"/>
        <w:autoSpaceDN w:val="0"/>
        <w:adjustRightInd w:val="0"/>
        <w:spacing w:line="288" w:lineRule="auto"/>
        <w:ind w:left="284" w:hanging="284"/>
        <w:contextualSpacing/>
        <w:rPr>
          <w:rFonts w:ascii="Arial" w:hAnsi="Arial" w:cs="Arial"/>
          <w:sz w:val="22"/>
          <w:szCs w:val="22"/>
          <w:lang w:val="es-CO" w:eastAsia="es-CO"/>
        </w:rPr>
      </w:pPr>
      <w:r w:rsidRPr="00F20A17">
        <w:rPr>
          <w:rFonts w:ascii="Arial" w:hAnsi="Arial" w:cs="Arial"/>
          <w:sz w:val="22"/>
          <w:szCs w:val="22"/>
          <w:lang w:val="es-ES_tradnl"/>
        </w:rPr>
        <w:t>Asesorar al representante legal en la adopción de directrices, políticas y procedimientos encaminados a la ejecución, control y mejora continua de los procesos que permitan tener en la entidad un sistema contable que produzca información razonable y oportuna y la sostenibilidad y permanencia</w:t>
      </w:r>
      <w:r w:rsidRPr="00F20A17">
        <w:rPr>
          <w:rFonts w:ascii="Arial" w:hAnsi="Arial" w:cs="Arial"/>
          <w:sz w:val="22"/>
          <w:szCs w:val="22"/>
          <w:lang w:val="es-CO" w:eastAsia="es-CO"/>
        </w:rPr>
        <w:t xml:space="preserve"> del mismo.</w:t>
      </w:r>
    </w:p>
    <w:p w14:paraId="7AADC769" w14:textId="77777777" w:rsidR="0046335B" w:rsidRPr="00F20A17" w:rsidRDefault="0046335B" w:rsidP="00EF3D59">
      <w:pPr>
        <w:pStyle w:val="Prrafodelista"/>
        <w:spacing w:line="288" w:lineRule="auto"/>
        <w:jc w:val="both"/>
        <w:rPr>
          <w:rFonts w:ascii="Arial" w:hAnsi="Arial" w:cs="Arial"/>
          <w:sz w:val="22"/>
          <w:szCs w:val="22"/>
          <w:lang w:val="es-CO" w:eastAsia="es-CO"/>
        </w:rPr>
      </w:pPr>
    </w:p>
    <w:p w14:paraId="77C805EC" w14:textId="77777777" w:rsidR="0046335B" w:rsidRPr="00F20A17" w:rsidRDefault="0046335B" w:rsidP="00EF3D59">
      <w:pPr>
        <w:pStyle w:val="Textoindependiente"/>
        <w:numPr>
          <w:ilvl w:val="0"/>
          <w:numId w:val="3"/>
        </w:numPr>
        <w:suppressAutoHyphens/>
        <w:spacing w:line="288" w:lineRule="auto"/>
        <w:ind w:left="284" w:hanging="284"/>
        <w:rPr>
          <w:rFonts w:ascii="Arial" w:hAnsi="Arial" w:cs="Arial"/>
          <w:sz w:val="22"/>
          <w:szCs w:val="22"/>
        </w:rPr>
      </w:pPr>
      <w:r w:rsidRPr="00F20A17">
        <w:rPr>
          <w:rFonts w:ascii="Arial" w:hAnsi="Arial" w:cs="Arial"/>
          <w:sz w:val="22"/>
          <w:szCs w:val="22"/>
        </w:rPr>
        <w:t>Las demás que le sean asignadas por el Representante legal, según la naturaleza de sus funciones.</w:t>
      </w:r>
    </w:p>
    <w:p w14:paraId="4F981576" w14:textId="77777777" w:rsidR="0046335B" w:rsidRPr="00F20A17" w:rsidRDefault="0046335B" w:rsidP="00EF3D59">
      <w:pPr>
        <w:pStyle w:val="Textoindependiente"/>
        <w:spacing w:line="288" w:lineRule="auto"/>
        <w:rPr>
          <w:rFonts w:ascii="Arial" w:hAnsi="Arial" w:cs="Arial"/>
          <w:b/>
          <w:sz w:val="22"/>
          <w:szCs w:val="22"/>
        </w:rPr>
      </w:pPr>
    </w:p>
    <w:p w14:paraId="187C2AE8" w14:textId="77777777" w:rsidR="0046335B" w:rsidRPr="00F20A17" w:rsidRDefault="0046335B" w:rsidP="00343ECE">
      <w:pPr>
        <w:pStyle w:val="Ttulo3"/>
        <w:numPr>
          <w:ilvl w:val="2"/>
          <w:numId w:val="12"/>
        </w:numPr>
        <w:spacing w:line="288" w:lineRule="auto"/>
        <w:rPr>
          <w:rFonts w:ascii="Arial" w:hAnsi="Arial" w:cs="Arial"/>
          <w:b/>
          <w:sz w:val="22"/>
          <w:szCs w:val="22"/>
        </w:rPr>
      </w:pPr>
      <w:bookmarkStart w:id="78" w:name="_Toc397936254"/>
      <w:bookmarkStart w:id="79" w:name="_Toc459991353"/>
      <w:bookmarkStart w:id="80" w:name="_Toc490726953"/>
      <w:bookmarkStart w:id="81" w:name="_Toc490727901"/>
      <w:bookmarkStart w:id="82" w:name="_Toc59377821"/>
      <w:r w:rsidRPr="00F20A17">
        <w:rPr>
          <w:rFonts w:ascii="Arial" w:hAnsi="Arial" w:cs="Arial"/>
          <w:b/>
          <w:sz w:val="22"/>
          <w:szCs w:val="22"/>
        </w:rPr>
        <w:t>Consideraciones</w:t>
      </w:r>
      <w:bookmarkEnd w:id="78"/>
      <w:bookmarkEnd w:id="79"/>
      <w:bookmarkEnd w:id="80"/>
      <w:bookmarkEnd w:id="81"/>
      <w:bookmarkEnd w:id="82"/>
    </w:p>
    <w:p w14:paraId="6E86D45B" w14:textId="77777777" w:rsidR="0046335B" w:rsidRPr="00F20A17" w:rsidRDefault="0046335B" w:rsidP="00EF3D59">
      <w:pPr>
        <w:pStyle w:val="Textoindependiente"/>
        <w:spacing w:line="288" w:lineRule="auto"/>
        <w:ind w:left="360"/>
        <w:rPr>
          <w:rFonts w:ascii="Arial" w:hAnsi="Arial" w:cs="Arial"/>
          <w:b/>
          <w:sz w:val="22"/>
          <w:szCs w:val="22"/>
        </w:rPr>
      </w:pPr>
    </w:p>
    <w:p w14:paraId="458D8B3D" w14:textId="77777777" w:rsidR="00BC2BB1" w:rsidRPr="00F20A17" w:rsidRDefault="00BC2BB1" w:rsidP="00EF3D59">
      <w:pPr>
        <w:spacing w:line="288" w:lineRule="auto"/>
        <w:jc w:val="both"/>
        <w:rPr>
          <w:rFonts w:ascii="Arial" w:hAnsi="Arial" w:cs="Arial"/>
          <w:sz w:val="22"/>
          <w:szCs w:val="22"/>
        </w:rPr>
      </w:pPr>
      <w:r w:rsidRPr="00F20A17">
        <w:rPr>
          <w:rFonts w:ascii="Arial" w:hAnsi="Arial" w:cs="Arial"/>
          <w:sz w:val="22"/>
          <w:szCs w:val="22"/>
        </w:rPr>
        <w:t xml:space="preserve">Ante lo planteado en el numeral 3.2.2 del anexo del Procedimiento para la evaluación del control interno contable, definido en la Resolución 193 de 2016, el cual establece que: </w:t>
      </w:r>
      <w:r w:rsidRPr="00DF709C">
        <w:rPr>
          <w:rFonts w:ascii="Arial" w:hAnsi="Arial" w:cs="Arial"/>
          <w:i/>
          <w:iCs/>
          <w:sz w:val="22"/>
          <w:szCs w:val="22"/>
        </w:rPr>
        <w:t>“Dada la característica recursiva de los sistemas organizacionales y la interrelación necesaria entre los diferentes procesos que desarrollan las entidades, estas deberán contar con herramientas tendientes a la mejora continua y de sostenibilidad de la información financiera de manera que se genere información con las características fundamentales de relevancia y representación fiel. Estas herramientas pueden ser de diversa índole, como la creación del Comité Técnico de Sostenibilidad Contable o la implementación de herramientas sustentadas en políticas, procedimientos, directrices, instructivos, lineamientos o reglas de negocio que propendan por garantizar de manera permanente la depuración y mejora de la calidad de la información financiera (…)”</w:t>
      </w:r>
      <w:r w:rsidRPr="00F20A17">
        <w:rPr>
          <w:rFonts w:ascii="Arial" w:hAnsi="Arial" w:cs="Arial"/>
          <w:sz w:val="22"/>
          <w:szCs w:val="22"/>
        </w:rPr>
        <w:t xml:space="preserve">, se precisa que el Comité es apenas una de las herramientas tendientes a la mejora continua, sin que sea obligatoria su creación. </w:t>
      </w:r>
    </w:p>
    <w:p w14:paraId="62237774" w14:textId="77777777" w:rsidR="00065D2D" w:rsidRPr="00F20A17" w:rsidRDefault="00065D2D" w:rsidP="00EF3D59">
      <w:pPr>
        <w:pStyle w:val="Textoindependiente"/>
        <w:spacing w:line="288" w:lineRule="auto"/>
        <w:rPr>
          <w:rFonts w:ascii="Arial" w:hAnsi="Arial" w:cs="Arial"/>
          <w:sz w:val="22"/>
          <w:szCs w:val="22"/>
        </w:rPr>
      </w:pPr>
    </w:p>
    <w:p w14:paraId="05AA843F" w14:textId="77777777" w:rsidR="00E55124" w:rsidRPr="00F20A17" w:rsidRDefault="00BC2BB1" w:rsidP="00EF3D59">
      <w:pPr>
        <w:pStyle w:val="Textoindependiente"/>
        <w:spacing w:line="288" w:lineRule="auto"/>
        <w:rPr>
          <w:rFonts w:ascii="Arial" w:hAnsi="Arial" w:cs="Arial"/>
          <w:sz w:val="22"/>
          <w:szCs w:val="22"/>
        </w:rPr>
      </w:pPr>
      <w:r w:rsidRPr="00F20A17">
        <w:rPr>
          <w:rFonts w:ascii="Arial" w:hAnsi="Arial" w:cs="Arial"/>
          <w:sz w:val="22"/>
          <w:szCs w:val="22"/>
        </w:rPr>
        <w:t>Ahora bien, a</w:t>
      </w:r>
      <w:r w:rsidR="00E55124" w:rsidRPr="00F20A17">
        <w:rPr>
          <w:rFonts w:ascii="Arial" w:hAnsi="Arial" w:cs="Arial"/>
          <w:sz w:val="22"/>
          <w:szCs w:val="22"/>
        </w:rPr>
        <w:t xml:space="preserve"> </w:t>
      </w:r>
      <w:proofErr w:type="gramStart"/>
      <w:r w:rsidR="00E55124" w:rsidRPr="00F20A17">
        <w:rPr>
          <w:rFonts w:ascii="Arial" w:hAnsi="Arial" w:cs="Arial"/>
          <w:sz w:val="22"/>
          <w:szCs w:val="22"/>
        </w:rPr>
        <w:t>continuación</w:t>
      </w:r>
      <w:proofErr w:type="gramEnd"/>
      <w:r w:rsidR="00E55124" w:rsidRPr="00F20A17">
        <w:rPr>
          <w:rFonts w:ascii="Arial" w:hAnsi="Arial" w:cs="Arial"/>
          <w:sz w:val="22"/>
          <w:szCs w:val="22"/>
        </w:rPr>
        <w:t xml:space="preserve"> se presentan otras consideraciones </w:t>
      </w:r>
      <w:r w:rsidRPr="00F20A17">
        <w:rPr>
          <w:rFonts w:ascii="Arial" w:hAnsi="Arial" w:cs="Arial"/>
          <w:sz w:val="22"/>
          <w:szCs w:val="22"/>
        </w:rPr>
        <w:t xml:space="preserve">observadas </w:t>
      </w:r>
      <w:r w:rsidR="00E55124" w:rsidRPr="00F20A17">
        <w:rPr>
          <w:rFonts w:ascii="Arial" w:hAnsi="Arial" w:cs="Arial"/>
          <w:sz w:val="22"/>
          <w:szCs w:val="22"/>
        </w:rPr>
        <w:t xml:space="preserve">en el análisis efectuado: </w:t>
      </w:r>
    </w:p>
    <w:p w14:paraId="79A015F6" w14:textId="77777777" w:rsidR="00E55124" w:rsidRPr="00F20A17" w:rsidRDefault="00E55124" w:rsidP="00EF3D59">
      <w:pPr>
        <w:pStyle w:val="Textoindependiente"/>
        <w:spacing w:line="288" w:lineRule="auto"/>
        <w:rPr>
          <w:rFonts w:ascii="Arial" w:hAnsi="Arial" w:cs="Arial"/>
          <w:sz w:val="22"/>
          <w:szCs w:val="22"/>
        </w:rPr>
      </w:pPr>
    </w:p>
    <w:p w14:paraId="0D777D99" w14:textId="77777777" w:rsidR="0046335B" w:rsidRPr="00F20A17" w:rsidRDefault="0046335B" w:rsidP="00343ECE">
      <w:pPr>
        <w:pStyle w:val="Textoindependiente"/>
        <w:numPr>
          <w:ilvl w:val="3"/>
          <w:numId w:val="8"/>
        </w:numPr>
        <w:spacing w:line="288" w:lineRule="auto"/>
        <w:outlineLvl w:val="3"/>
        <w:rPr>
          <w:rFonts w:ascii="Arial" w:hAnsi="Arial" w:cs="Arial"/>
          <w:sz w:val="22"/>
          <w:szCs w:val="22"/>
        </w:rPr>
      </w:pPr>
      <w:bookmarkStart w:id="83" w:name="_Toc397936255"/>
      <w:bookmarkStart w:id="84" w:name="_Toc459991354"/>
      <w:bookmarkStart w:id="85" w:name="_Toc490726954"/>
      <w:bookmarkStart w:id="86" w:name="_Toc490727902"/>
      <w:r w:rsidRPr="00F20A17">
        <w:rPr>
          <w:rFonts w:ascii="Arial" w:hAnsi="Arial" w:cs="Arial"/>
          <w:sz w:val="22"/>
          <w:szCs w:val="22"/>
        </w:rPr>
        <w:t>De carácter Administrativo y Organizacional</w:t>
      </w:r>
      <w:bookmarkEnd w:id="83"/>
      <w:bookmarkEnd w:id="84"/>
      <w:bookmarkEnd w:id="85"/>
      <w:bookmarkEnd w:id="86"/>
    </w:p>
    <w:p w14:paraId="3C1A1A8B" w14:textId="77777777" w:rsidR="0046335B" w:rsidRPr="00F20A17" w:rsidRDefault="0046335B" w:rsidP="00EF3D59">
      <w:pPr>
        <w:pStyle w:val="Textoindependiente"/>
        <w:spacing w:line="288" w:lineRule="auto"/>
        <w:rPr>
          <w:rFonts w:ascii="Arial" w:hAnsi="Arial" w:cs="Arial"/>
          <w:sz w:val="22"/>
          <w:szCs w:val="22"/>
        </w:rPr>
      </w:pPr>
    </w:p>
    <w:p w14:paraId="507916AB" w14:textId="77777777" w:rsidR="007B6056" w:rsidRPr="00F20A17" w:rsidRDefault="007B6056" w:rsidP="00EF3D59">
      <w:pPr>
        <w:shd w:val="clear" w:color="auto" w:fill="FFFFFF"/>
        <w:spacing w:line="288" w:lineRule="auto"/>
        <w:jc w:val="both"/>
        <w:rPr>
          <w:rFonts w:ascii="Arial" w:hAnsi="Arial" w:cs="Arial"/>
          <w:sz w:val="22"/>
          <w:szCs w:val="22"/>
          <w:lang w:val="es-CO" w:eastAsia="es-CO"/>
        </w:rPr>
      </w:pPr>
      <w:r w:rsidRPr="00F20A17">
        <w:rPr>
          <w:rFonts w:ascii="Arial" w:hAnsi="Arial" w:cs="Arial"/>
          <w:sz w:val="22"/>
          <w:szCs w:val="22"/>
          <w:lang w:val="es-CO" w:eastAsia="es-CO"/>
        </w:rPr>
        <w:t xml:space="preserve">El artículo 133 de la Ley 1753 de 2015, por la cual se expide el Plan Nacional de Desarrollo 2014-2018 </w:t>
      </w:r>
      <w:r w:rsidRPr="00DF709C">
        <w:rPr>
          <w:rFonts w:ascii="Arial" w:hAnsi="Arial" w:cs="Arial"/>
          <w:i/>
          <w:iCs/>
          <w:sz w:val="22"/>
          <w:szCs w:val="22"/>
          <w:lang w:val="es-CO" w:eastAsia="es-CO"/>
        </w:rPr>
        <w:t>“Todos por un nuevo país”</w:t>
      </w:r>
      <w:r w:rsidRPr="00F20A17">
        <w:rPr>
          <w:rFonts w:ascii="Arial" w:hAnsi="Arial" w:cs="Arial"/>
          <w:sz w:val="22"/>
          <w:szCs w:val="22"/>
          <w:lang w:val="es-CO" w:eastAsia="es-CO"/>
        </w:rPr>
        <w:t>, integró en un solo Sistema de Gestión los Sistemas de Desarrollo Administrativo y de Gestión de la Calidad, previstos en las Leyes 489 de 1998 y 872 de 2003, respectivamente, el cual deberá articularse con el Sistema de Control Interno consagrado en la Ley 87 de 1993 y en los artículos 27 al 29 de la Ley 489 de 1998.</w:t>
      </w:r>
    </w:p>
    <w:p w14:paraId="50678599" w14:textId="77777777" w:rsidR="007B6056" w:rsidRPr="00F20A17" w:rsidRDefault="007B6056" w:rsidP="00EF3D59">
      <w:pPr>
        <w:shd w:val="clear" w:color="auto" w:fill="FFFFFF"/>
        <w:spacing w:line="288" w:lineRule="auto"/>
        <w:jc w:val="both"/>
        <w:rPr>
          <w:rFonts w:ascii="Arial" w:hAnsi="Arial" w:cs="Arial"/>
          <w:sz w:val="22"/>
          <w:szCs w:val="22"/>
          <w:lang w:val="es-CO" w:eastAsia="es-CO"/>
        </w:rPr>
      </w:pPr>
      <w:r w:rsidRPr="00F20A17">
        <w:rPr>
          <w:rFonts w:ascii="Arial" w:hAnsi="Arial" w:cs="Arial"/>
          <w:sz w:val="22"/>
          <w:szCs w:val="22"/>
          <w:lang w:val="es-CO" w:eastAsia="es-CO"/>
        </w:rPr>
        <w:t> </w:t>
      </w:r>
    </w:p>
    <w:p w14:paraId="2E7D1281" w14:textId="77777777" w:rsidR="007B6056" w:rsidRPr="00F20A17" w:rsidRDefault="007B6056" w:rsidP="00EF3D59">
      <w:pPr>
        <w:shd w:val="clear" w:color="auto" w:fill="FFFFFF"/>
        <w:spacing w:line="288" w:lineRule="auto"/>
        <w:jc w:val="both"/>
        <w:rPr>
          <w:rFonts w:ascii="Arial" w:hAnsi="Arial" w:cs="Arial"/>
          <w:sz w:val="22"/>
          <w:szCs w:val="22"/>
          <w:lang w:val="es-CO" w:eastAsia="es-CO"/>
        </w:rPr>
      </w:pPr>
      <w:r w:rsidRPr="00F20A17">
        <w:rPr>
          <w:rFonts w:ascii="Arial" w:hAnsi="Arial" w:cs="Arial"/>
          <w:sz w:val="22"/>
          <w:szCs w:val="22"/>
          <w:shd w:val="clear" w:color="auto" w:fill="FFFFFF"/>
        </w:rPr>
        <w:t xml:space="preserve">Por su parte, el </w:t>
      </w:r>
      <w:r w:rsidR="00501892" w:rsidRPr="00F20A17">
        <w:rPr>
          <w:rFonts w:ascii="Arial" w:hAnsi="Arial" w:cs="Arial"/>
          <w:bCs/>
          <w:sz w:val="22"/>
          <w:szCs w:val="22"/>
        </w:rPr>
        <w:t>artículo 2.2.22.1.1.</w:t>
      </w:r>
      <w:r w:rsidRPr="00F20A17">
        <w:rPr>
          <w:rFonts w:ascii="Arial" w:hAnsi="Arial" w:cs="Arial"/>
          <w:sz w:val="22"/>
          <w:szCs w:val="22"/>
          <w:shd w:val="clear" w:color="auto" w:fill="FFFFFF"/>
        </w:rPr>
        <w:t xml:space="preserve"> del </w:t>
      </w:r>
      <w:r w:rsidRPr="00F20A17">
        <w:rPr>
          <w:rFonts w:ascii="Arial" w:hAnsi="Arial" w:cs="Arial"/>
          <w:bCs/>
          <w:i/>
          <w:iCs/>
          <w:sz w:val="22"/>
          <w:szCs w:val="22"/>
        </w:rPr>
        <w:t> </w:t>
      </w:r>
      <w:r w:rsidRPr="00DF709C">
        <w:rPr>
          <w:rFonts w:ascii="Arial" w:hAnsi="Arial" w:cs="Arial"/>
          <w:bCs/>
          <w:sz w:val="22"/>
          <w:szCs w:val="22"/>
        </w:rPr>
        <w:t>Decreto 1083 de 2015</w:t>
      </w:r>
      <w:r w:rsidRPr="00F20A17">
        <w:rPr>
          <w:rFonts w:ascii="Arial" w:hAnsi="Arial" w:cs="Arial"/>
          <w:bCs/>
          <w:i/>
          <w:iCs/>
          <w:sz w:val="22"/>
          <w:szCs w:val="22"/>
        </w:rPr>
        <w:t>,</w:t>
      </w:r>
      <w:r w:rsidR="00EB7563" w:rsidRPr="00F20A17">
        <w:rPr>
          <w:rFonts w:ascii="Arial" w:hAnsi="Arial" w:cs="Arial"/>
          <w:bCs/>
          <w:i/>
          <w:iCs/>
          <w:sz w:val="22"/>
          <w:szCs w:val="22"/>
        </w:rPr>
        <w:t xml:space="preserve"> </w:t>
      </w:r>
      <w:r w:rsidR="00EB7563" w:rsidRPr="00F20A17">
        <w:rPr>
          <w:rFonts w:ascii="Arial" w:hAnsi="Arial" w:cs="Arial"/>
          <w:bCs/>
          <w:iCs/>
          <w:sz w:val="22"/>
          <w:szCs w:val="22"/>
        </w:rPr>
        <w:t>establece que e</w:t>
      </w:r>
      <w:r w:rsidRPr="00F20A17">
        <w:rPr>
          <w:rFonts w:ascii="Arial" w:hAnsi="Arial" w:cs="Arial"/>
          <w:sz w:val="22"/>
          <w:szCs w:val="22"/>
          <w:shd w:val="clear" w:color="auto" w:fill="FFFFFF"/>
        </w:rPr>
        <w:t>l Sistema de Gestión, creado en el artículo 133 de la Ley 1753 de 2015, que integra los Sistemas de Desarrollo Administrativo y de Gestión de la Calidad,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p w14:paraId="0F3BA320" w14:textId="77777777" w:rsidR="007B6056" w:rsidRPr="00F20A17" w:rsidRDefault="007B6056" w:rsidP="00EF3D59">
      <w:pPr>
        <w:pStyle w:val="Textoindependiente"/>
        <w:spacing w:line="288" w:lineRule="auto"/>
        <w:rPr>
          <w:rFonts w:ascii="Arial" w:hAnsi="Arial" w:cs="Arial"/>
          <w:sz w:val="22"/>
          <w:szCs w:val="22"/>
        </w:rPr>
      </w:pPr>
    </w:p>
    <w:p w14:paraId="7DEDC84E" w14:textId="77777777" w:rsidR="008B4E6B" w:rsidRPr="00F20A17" w:rsidRDefault="00EB7563" w:rsidP="00EF3D59">
      <w:pPr>
        <w:pStyle w:val="Textoindependiente"/>
        <w:spacing w:line="288" w:lineRule="auto"/>
        <w:rPr>
          <w:rFonts w:ascii="Arial" w:hAnsi="Arial" w:cs="Arial"/>
          <w:sz w:val="22"/>
          <w:szCs w:val="22"/>
        </w:rPr>
      </w:pPr>
      <w:r w:rsidRPr="00F20A17">
        <w:rPr>
          <w:rFonts w:ascii="Arial" w:hAnsi="Arial" w:cs="Arial"/>
          <w:sz w:val="22"/>
          <w:szCs w:val="22"/>
        </w:rPr>
        <w:t>Asimismo, el artículo 2.2.22.3.1 del referido Decreto actualiza el Modelo Integrado de Planeación y Gestión para el funcionamiento del Sistema de Gestión y su articulación con el Sistema de Control Interno</w:t>
      </w:r>
      <w:r w:rsidR="008B4E6B" w:rsidRPr="00F20A17">
        <w:rPr>
          <w:rFonts w:ascii="Arial" w:hAnsi="Arial" w:cs="Arial"/>
          <w:sz w:val="22"/>
          <w:szCs w:val="22"/>
        </w:rPr>
        <w:t xml:space="preserve">, mientras que el artículo 2.2.22.1.5 menciona la articulación y complementariedad del Sistema de Gestión, entre otros, con los Sistemas Nacional de Servicio al Ciudadano, de Gestión de la Seguridad y Salud en el Trabajo, de Gestión Ambiental y de Seguridad de la Información. </w:t>
      </w:r>
    </w:p>
    <w:p w14:paraId="262A55B1" w14:textId="77777777" w:rsidR="008B4E6B" w:rsidRPr="00F20A17" w:rsidRDefault="008B4E6B" w:rsidP="00EF3D59">
      <w:pPr>
        <w:pStyle w:val="Textoindependiente"/>
        <w:spacing w:line="288" w:lineRule="auto"/>
        <w:rPr>
          <w:rFonts w:ascii="Arial" w:hAnsi="Arial" w:cs="Arial"/>
          <w:sz w:val="22"/>
          <w:szCs w:val="22"/>
        </w:rPr>
      </w:pPr>
    </w:p>
    <w:p w14:paraId="41263CCB" w14:textId="77777777" w:rsidR="00501892" w:rsidRPr="00F20A17" w:rsidRDefault="00501892" w:rsidP="00EF3D59">
      <w:pPr>
        <w:pStyle w:val="Textoindependiente"/>
        <w:spacing w:line="288" w:lineRule="auto"/>
        <w:rPr>
          <w:rFonts w:ascii="Arial" w:hAnsi="Arial" w:cs="Arial"/>
          <w:sz w:val="22"/>
          <w:szCs w:val="22"/>
        </w:rPr>
      </w:pPr>
      <w:r w:rsidRPr="00F20A17">
        <w:rPr>
          <w:rFonts w:ascii="Arial" w:hAnsi="Arial" w:cs="Arial"/>
          <w:sz w:val="22"/>
          <w:szCs w:val="22"/>
        </w:rPr>
        <w:t xml:space="preserve">En este contexto, el Ministerio de Hacienda y Crédito Público expidió la Resolución 2732 del 4 de septiembre de 2018, según la cual se define el Sistema Único de Gestión (SUG) como el conjunto de lineamientos y herramientas que orienta y fortalece el desempeño institucional en función de las necesidades de los grupos de valor bajo los principios de transparencia e integridad. </w:t>
      </w:r>
      <w:r w:rsidR="0022689B" w:rsidRPr="00F20A17">
        <w:rPr>
          <w:rFonts w:ascii="Arial" w:hAnsi="Arial" w:cs="Arial"/>
          <w:sz w:val="22"/>
          <w:szCs w:val="22"/>
        </w:rPr>
        <w:t>De igual forma, d</w:t>
      </w:r>
      <w:r w:rsidRPr="00F20A17">
        <w:rPr>
          <w:rFonts w:ascii="Arial" w:hAnsi="Arial" w:cs="Arial"/>
          <w:sz w:val="22"/>
          <w:szCs w:val="22"/>
        </w:rPr>
        <w:t>ich</w:t>
      </w:r>
      <w:r w:rsidR="0022689B" w:rsidRPr="00F20A17">
        <w:rPr>
          <w:rFonts w:ascii="Arial" w:hAnsi="Arial" w:cs="Arial"/>
          <w:sz w:val="22"/>
          <w:szCs w:val="22"/>
        </w:rPr>
        <w:t xml:space="preserve">a resolución plantea que el Sistema Único de Gestión del Ministerio de Hacienda y Crédito Público, integra el </w:t>
      </w:r>
      <w:r w:rsidRPr="00F20A17">
        <w:rPr>
          <w:rFonts w:ascii="Arial" w:hAnsi="Arial" w:cs="Arial"/>
          <w:sz w:val="22"/>
          <w:szCs w:val="22"/>
        </w:rPr>
        <w:t>sistema</w:t>
      </w:r>
      <w:r w:rsidR="0022689B" w:rsidRPr="00F20A17">
        <w:rPr>
          <w:rFonts w:ascii="Arial" w:hAnsi="Arial" w:cs="Arial"/>
          <w:sz w:val="22"/>
          <w:szCs w:val="22"/>
        </w:rPr>
        <w:t xml:space="preserve"> de gestión establecido en el Modelo Integrado de Planeación y Gestión, y los sistemas, modelos y estrategias definidos por la</w:t>
      </w:r>
      <w:r w:rsidR="001A2A6C" w:rsidRPr="00F20A17">
        <w:rPr>
          <w:rFonts w:ascii="Arial" w:hAnsi="Arial" w:cs="Arial"/>
          <w:sz w:val="22"/>
          <w:szCs w:val="22"/>
        </w:rPr>
        <w:t>s</w:t>
      </w:r>
      <w:r w:rsidR="0022689B" w:rsidRPr="00F20A17">
        <w:rPr>
          <w:rFonts w:ascii="Arial" w:hAnsi="Arial" w:cs="Arial"/>
          <w:sz w:val="22"/>
          <w:szCs w:val="22"/>
        </w:rPr>
        <w:t xml:space="preserve"> autoridades competentes </w:t>
      </w:r>
      <w:r w:rsidR="001A2A6C" w:rsidRPr="00F20A17">
        <w:rPr>
          <w:rFonts w:ascii="Arial" w:hAnsi="Arial" w:cs="Arial"/>
          <w:sz w:val="22"/>
          <w:szCs w:val="22"/>
        </w:rPr>
        <w:t xml:space="preserve">orientados al fortalecimiento y mejoramiento continuo de la gestión institucional, que deban ser implementados por disposición legal o decisión de la entidad. </w:t>
      </w:r>
      <w:r w:rsidRPr="00F20A17">
        <w:rPr>
          <w:rFonts w:ascii="Arial" w:hAnsi="Arial" w:cs="Arial"/>
          <w:sz w:val="22"/>
          <w:szCs w:val="22"/>
        </w:rPr>
        <w:t xml:space="preserve"> </w:t>
      </w:r>
    </w:p>
    <w:p w14:paraId="72F71B40" w14:textId="77777777" w:rsidR="00EB7563" w:rsidRPr="00F20A17" w:rsidRDefault="008B4E6B" w:rsidP="00EF3D59">
      <w:pPr>
        <w:pStyle w:val="Textoindependiente"/>
        <w:spacing w:line="288" w:lineRule="auto"/>
        <w:rPr>
          <w:rFonts w:ascii="Arial" w:hAnsi="Arial" w:cs="Arial"/>
          <w:sz w:val="22"/>
          <w:szCs w:val="22"/>
        </w:rPr>
      </w:pPr>
      <w:r w:rsidRPr="00F20A17">
        <w:rPr>
          <w:rFonts w:ascii="Arial" w:hAnsi="Arial" w:cs="Arial"/>
          <w:sz w:val="22"/>
          <w:szCs w:val="22"/>
        </w:rPr>
        <w:t xml:space="preserve"> </w:t>
      </w:r>
    </w:p>
    <w:p w14:paraId="0CDD487C" w14:textId="77777777" w:rsidR="0077198D" w:rsidRPr="00F20A17" w:rsidRDefault="0077198D" w:rsidP="00EF3D59">
      <w:pPr>
        <w:pStyle w:val="Textoindependiente"/>
        <w:spacing w:line="288" w:lineRule="auto"/>
        <w:rPr>
          <w:rFonts w:ascii="Arial" w:hAnsi="Arial" w:cs="Arial"/>
          <w:sz w:val="22"/>
          <w:szCs w:val="22"/>
        </w:rPr>
      </w:pPr>
      <w:r w:rsidRPr="00F20A17">
        <w:rPr>
          <w:rFonts w:ascii="Arial" w:hAnsi="Arial" w:cs="Arial"/>
          <w:sz w:val="22"/>
          <w:szCs w:val="22"/>
        </w:rPr>
        <w:t>Ahora bien, de acuerdo con la Política de fortalecimiento organizacional y simplificación de procesos, de la Dimensión de Gestión con Valores para Resultados del Modelo Integrado de Planeación y Gestión, uno de los pilares de los modelos de gestión de calidad es el trabajo por procesos.</w:t>
      </w:r>
    </w:p>
    <w:p w14:paraId="2032759F" w14:textId="77777777" w:rsidR="0077198D" w:rsidRPr="00F20A17" w:rsidRDefault="0077198D" w:rsidP="00F20A17">
      <w:pPr>
        <w:pStyle w:val="Textoindependiente"/>
        <w:spacing w:line="288" w:lineRule="auto"/>
        <w:rPr>
          <w:rFonts w:ascii="Arial" w:hAnsi="Arial" w:cs="Arial"/>
          <w:sz w:val="22"/>
          <w:szCs w:val="22"/>
        </w:rPr>
      </w:pPr>
    </w:p>
    <w:p w14:paraId="4AD70D8F" w14:textId="77777777" w:rsidR="0046335B" w:rsidRPr="00F20A17" w:rsidRDefault="0046335B" w:rsidP="00EF3D59">
      <w:pPr>
        <w:pStyle w:val="Default"/>
        <w:spacing w:line="288" w:lineRule="auto"/>
        <w:jc w:val="both"/>
        <w:rPr>
          <w:color w:val="auto"/>
          <w:sz w:val="22"/>
          <w:szCs w:val="22"/>
        </w:rPr>
      </w:pPr>
      <w:r w:rsidRPr="00F20A17">
        <w:rPr>
          <w:color w:val="auto"/>
          <w:sz w:val="22"/>
          <w:szCs w:val="22"/>
        </w:rPr>
        <w:lastRenderedPageBreak/>
        <w:t>En</w:t>
      </w:r>
      <w:r w:rsidR="000D43F0" w:rsidRPr="00F20A17">
        <w:rPr>
          <w:color w:val="auto"/>
          <w:sz w:val="22"/>
          <w:szCs w:val="22"/>
        </w:rPr>
        <w:t xml:space="preserve"> este sentido, el Sistema Único de Gestión d</w:t>
      </w:r>
      <w:r w:rsidRPr="00F20A17">
        <w:rPr>
          <w:color w:val="auto"/>
          <w:sz w:val="22"/>
          <w:szCs w:val="22"/>
        </w:rPr>
        <w:t>el MHCP tiene clara</w:t>
      </w:r>
      <w:r w:rsidR="002F435F" w:rsidRPr="00F20A17">
        <w:rPr>
          <w:color w:val="auto"/>
          <w:sz w:val="22"/>
          <w:szCs w:val="22"/>
        </w:rPr>
        <w:t xml:space="preserve">mente definidos y clasificados </w:t>
      </w:r>
      <w:r w:rsidRPr="00F20A17">
        <w:rPr>
          <w:color w:val="auto"/>
          <w:sz w:val="22"/>
          <w:szCs w:val="22"/>
        </w:rPr>
        <w:t>los macroprocesos estratégicos, misionales, de apoyo, de evaluación y especiales con sus respectivos procesos, procedimientos, políticas, planes</w:t>
      </w:r>
      <w:r w:rsidR="00C358E2" w:rsidRPr="00F20A17">
        <w:rPr>
          <w:color w:val="auto"/>
          <w:sz w:val="22"/>
          <w:szCs w:val="22"/>
        </w:rPr>
        <w:t xml:space="preserve"> y programas.  </w:t>
      </w:r>
      <w:r w:rsidR="002F435F" w:rsidRPr="00F20A17">
        <w:rPr>
          <w:color w:val="auto"/>
          <w:sz w:val="22"/>
          <w:szCs w:val="22"/>
        </w:rPr>
        <w:t xml:space="preserve">Asimismo, los procesos se </w:t>
      </w:r>
      <w:r w:rsidRPr="00F20A17">
        <w:rPr>
          <w:color w:val="auto"/>
          <w:sz w:val="22"/>
          <w:szCs w:val="22"/>
        </w:rPr>
        <w:t>miden y se controlan a través de los indicadores para la mejora continua de los mismos.</w:t>
      </w:r>
    </w:p>
    <w:p w14:paraId="372FF4A7" w14:textId="77777777" w:rsidR="0046335B" w:rsidRPr="00F20A17" w:rsidRDefault="0046335B" w:rsidP="00EF3D59">
      <w:pPr>
        <w:pStyle w:val="Default"/>
        <w:spacing w:line="288" w:lineRule="auto"/>
        <w:jc w:val="both"/>
        <w:rPr>
          <w:color w:val="auto"/>
          <w:sz w:val="22"/>
          <w:szCs w:val="22"/>
        </w:rPr>
      </w:pPr>
    </w:p>
    <w:p w14:paraId="45C96C01" w14:textId="77777777" w:rsidR="0046335B" w:rsidRPr="00F20A17" w:rsidRDefault="002F435F" w:rsidP="00EF3D59">
      <w:pPr>
        <w:pStyle w:val="Textoindependiente"/>
        <w:spacing w:line="288" w:lineRule="auto"/>
        <w:rPr>
          <w:rFonts w:ascii="Arial" w:hAnsi="Arial" w:cs="Arial"/>
          <w:sz w:val="22"/>
          <w:szCs w:val="22"/>
        </w:rPr>
      </w:pPr>
      <w:r w:rsidRPr="00F20A17">
        <w:rPr>
          <w:rFonts w:ascii="Arial" w:hAnsi="Arial" w:cs="Arial"/>
          <w:sz w:val="22"/>
          <w:szCs w:val="22"/>
          <w:lang w:val="es-CO"/>
        </w:rPr>
        <w:t>De otra parte, e</w:t>
      </w:r>
      <w:r w:rsidR="0046335B" w:rsidRPr="00F20A17">
        <w:rPr>
          <w:rFonts w:ascii="Arial" w:hAnsi="Arial" w:cs="Arial"/>
          <w:sz w:val="22"/>
          <w:szCs w:val="22"/>
        </w:rPr>
        <w:t>l MHCP, tiene estructurado el Grupo de Contabilidad, de la Dirección Administrativa, y el Grupo de Registro Contable de la Dirección General de Crédito Público y Tesoro Nacional, para realizar las funciones relacionadas con el proceso contable de identificación, clasificación, registro, revelación, análisis, interpretación y comunicación de la información contable.</w:t>
      </w:r>
    </w:p>
    <w:p w14:paraId="5B414B30" w14:textId="77777777" w:rsidR="0046335B" w:rsidRPr="00F20A17" w:rsidRDefault="0046335B" w:rsidP="00EF3D59">
      <w:pPr>
        <w:pStyle w:val="Default"/>
        <w:spacing w:line="288" w:lineRule="auto"/>
        <w:jc w:val="both"/>
        <w:rPr>
          <w:color w:val="auto"/>
          <w:sz w:val="22"/>
          <w:szCs w:val="22"/>
        </w:rPr>
      </w:pPr>
    </w:p>
    <w:p w14:paraId="72EE4EB2" w14:textId="77777777" w:rsidR="0046335B" w:rsidRPr="00F20A17" w:rsidRDefault="0046335B" w:rsidP="00EF3D59">
      <w:pPr>
        <w:autoSpaceDE w:val="0"/>
        <w:autoSpaceDN w:val="0"/>
        <w:adjustRightInd w:val="0"/>
        <w:spacing w:line="288" w:lineRule="auto"/>
        <w:jc w:val="both"/>
        <w:rPr>
          <w:rFonts w:ascii="Arial" w:hAnsi="Arial" w:cs="Arial"/>
          <w:sz w:val="22"/>
          <w:szCs w:val="22"/>
        </w:rPr>
      </w:pPr>
      <w:r w:rsidRPr="00F20A17">
        <w:rPr>
          <w:rFonts w:ascii="Arial" w:hAnsi="Arial" w:cs="Arial"/>
          <w:sz w:val="22"/>
          <w:szCs w:val="22"/>
        </w:rPr>
        <w:t xml:space="preserve">Dentro del flujo de procesos del Ministerio registrados en el SUG, se tienen identificados </w:t>
      </w:r>
      <w:r w:rsidR="002F435F" w:rsidRPr="00F20A17">
        <w:rPr>
          <w:rFonts w:ascii="Arial" w:hAnsi="Arial" w:cs="Arial"/>
          <w:sz w:val="22"/>
          <w:szCs w:val="22"/>
        </w:rPr>
        <w:t>los</w:t>
      </w:r>
      <w:r w:rsidRPr="00F20A17">
        <w:rPr>
          <w:rFonts w:ascii="Arial" w:hAnsi="Arial" w:cs="Arial"/>
          <w:sz w:val="22"/>
          <w:szCs w:val="22"/>
        </w:rPr>
        <w:t xml:space="preserve"> proceso</w:t>
      </w:r>
      <w:r w:rsidR="002F435F" w:rsidRPr="00F20A17">
        <w:rPr>
          <w:rFonts w:ascii="Arial" w:hAnsi="Arial" w:cs="Arial"/>
          <w:sz w:val="22"/>
          <w:szCs w:val="22"/>
        </w:rPr>
        <w:t>s</w:t>
      </w:r>
      <w:r w:rsidRPr="00F20A17">
        <w:rPr>
          <w:rFonts w:ascii="Arial" w:hAnsi="Arial" w:cs="Arial"/>
          <w:sz w:val="22"/>
          <w:szCs w:val="22"/>
        </w:rPr>
        <w:t xml:space="preserve"> </w:t>
      </w:r>
      <w:r w:rsidRPr="00F20A17">
        <w:rPr>
          <w:rFonts w:ascii="Arial" w:hAnsi="Arial" w:cs="Arial"/>
          <w:i/>
          <w:sz w:val="22"/>
          <w:szCs w:val="22"/>
        </w:rPr>
        <w:t>“</w:t>
      </w:r>
      <w:r w:rsidR="002F435F" w:rsidRPr="00F20A17">
        <w:rPr>
          <w:rFonts w:ascii="Arial" w:hAnsi="Arial" w:cs="Arial"/>
          <w:i/>
          <w:sz w:val="22"/>
          <w:szCs w:val="22"/>
        </w:rPr>
        <w:t>Apo.3 Apoyo a la Gestión Financiera</w:t>
      </w:r>
      <w:r w:rsidRPr="00F20A17">
        <w:rPr>
          <w:rFonts w:ascii="Arial" w:hAnsi="Arial" w:cs="Arial"/>
          <w:i/>
          <w:sz w:val="22"/>
          <w:szCs w:val="22"/>
        </w:rPr>
        <w:t>”</w:t>
      </w:r>
      <w:r w:rsidRPr="00F20A17">
        <w:rPr>
          <w:rFonts w:ascii="Arial" w:hAnsi="Arial" w:cs="Arial"/>
          <w:sz w:val="22"/>
          <w:szCs w:val="22"/>
        </w:rPr>
        <w:t xml:space="preserve"> </w:t>
      </w:r>
      <w:r w:rsidRPr="00062EEE">
        <w:rPr>
          <w:rFonts w:ascii="Arial" w:hAnsi="Arial" w:cs="Arial"/>
          <w:sz w:val="22"/>
          <w:szCs w:val="22"/>
        </w:rPr>
        <w:t xml:space="preserve">y </w:t>
      </w:r>
      <w:r w:rsidRPr="00062EEE">
        <w:rPr>
          <w:rFonts w:ascii="Arial" w:hAnsi="Arial" w:cs="Arial"/>
          <w:i/>
          <w:sz w:val="22"/>
          <w:szCs w:val="22"/>
        </w:rPr>
        <w:t>“Mis 3.5. Gestión de Ingresos, Pago y Presentación de Estados Financieros”</w:t>
      </w:r>
      <w:r w:rsidR="002F435F" w:rsidRPr="00062EEE">
        <w:rPr>
          <w:rFonts w:ascii="Arial" w:hAnsi="Arial" w:cs="Arial"/>
          <w:sz w:val="22"/>
          <w:szCs w:val="22"/>
        </w:rPr>
        <w:t>,</w:t>
      </w:r>
      <w:r w:rsidRPr="00062EEE">
        <w:rPr>
          <w:rFonts w:ascii="Arial" w:hAnsi="Arial" w:cs="Arial"/>
          <w:sz w:val="22"/>
          <w:szCs w:val="22"/>
        </w:rPr>
        <w:t xml:space="preserve"> en los que</w:t>
      </w:r>
      <w:r w:rsidRPr="00F20A17">
        <w:rPr>
          <w:rFonts w:ascii="Arial" w:hAnsi="Arial" w:cs="Arial"/>
          <w:sz w:val="22"/>
          <w:szCs w:val="22"/>
        </w:rPr>
        <w:t xml:space="preserve"> están definidos los procedimientos contables, objetivos, políticas d</w:t>
      </w:r>
      <w:r w:rsidR="005315E7" w:rsidRPr="00F20A17">
        <w:rPr>
          <w:rFonts w:ascii="Arial" w:hAnsi="Arial" w:cs="Arial"/>
          <w:sz w:val="22"/>
          <w:szCs w:val="22"/>
        </w:rPr>
        <w:t>e operación, controles, riesgos y</w:t>
      </w:r>
      <w:r w:rsidRPr="00F20A17">
        <w:rPr>
          <w:rFonts w:ascii="Arial" w:hAnsi="Arial" w:cs="Arial"/>
          <w:sz w:val="22"/>
          <w:szCs w:val="22"/>
        </w:rPr>
        <w:t xml:space="preserve"> acciones de prevención</w:t>
      </w:r>
      <w:r w:rsidR="005315E7" w:rsidRPr="00F20A17">
        <w:rPr>
          <w:rFonts w:ascii="Arial" w:hAnsi="Arial" w:cs="Arial"/>
          <w:sz w:val="22"/>
          <w:szCs w:val="22"/>
        </w:rPr>
        <w:t xml:space="preserve">, así como </w:t>
      </w:r>
      <w:r w:rsidRPr="00F20A17">
        <w:rPr>
          <w:rFonts w:ascii="Arial" w:hAnsi="Arial" w:cs="Arial"/>
          <w:sz w:val="22"/>
          <w:szCs w:val="22"/>
        </w:rPr>
        <w:t xml:space="preserve">los indicadores </w:t>
      </w:r>
      <w:r w:rsidR="005315E7" w:rsidRPr="00F20A17">
        <w:rPr>
          <w:rFonts w:ascii="Arial" w:hAnsi="Arial" w:cs="Arial"/>
          <w:sz w:val="22"/>
          <w:szCs w:val="22"/>
        </w:rPr>
        <w:t xml:space="preserve">que permiten </w:t>
      </w:r>
      <w:r w:rsidRPr="00F20A17">
        <w:rPr>
          <w:rFonts w:ascii="Arial" w:hAnsi="Arial" w:cs="Arial"/>
          <w:sz w:val="22"/>
          <w:szCs w:val="22"/>
        </w:rPr>
        <w:t>evaluar permanentemente la gestión y los resultados del proceso, y la interrelación con los demás procesos del Ministerio, con el fin de garantizar razonablemente la producción de información</w:t>
      </w:r>
      <w:r w:rsidR="005315E7" w:rsidRPr="00F20A17">
        <w:rPr>
          <w:rFonts w:ascii="Arial" w:hAnsi="Arial" w:cs="Arial"/>
          <w:sz w:val="22"/>
          <w:szCs w:val="22"/>
        </w:rPr>
        <w:t xml:space="preserve"> financiera que cumpla con las características fundamentales de relevancia y representación fiel de que trata el Régimen de Contabilidad Pública</w:t>
      </w:r>
    </w:p>
    <w:p w14:paraId="3B4DEFD6" w14:textId="77777777" w:rsidR="0046335B" w:rsidRPr="00F20A17" w:rsidRDefault="0046335B" w:rsidP="00EF3D59">
      <w:pPr>
        <w:autoSpaceDE w:val="0"/>
        <w:autoSpaceDN w:val="0"/>
        <w:adjustRightInd w:val="0"/>
        <w:spacing w:line="288" w:lineRule="auto"/>
        <w:jc w:val="both"/>
        <w:rPr>
          <w:rFonts w:ascii="Arial" w:hAnsi="Arial" w:cs="Arial"/>
          <w:sz w:val="22"/>
          <w:szCs w:val="22"/>
        </w:rPr>
      </w:pPr>
    </w:p>
    <w:p w14:paraId="37F6B13F" w14:textId="77777777" w:rsidR="0046335B" w:rsidRPr="00F20A17" w:rsidRDefault="0046335B" w:rsidP="00EF3D59">
      <w:pPr>
        <w:autoSpaceDE w:val="0"/>
        <w:autoSpaceDN w:val="0"/>
        <w:adjustRightInd w:val="0"/>
        <w:spacing w:line="288" w:lineRule="auto"/>
        <w:jc w:val="both"/>
        <w:rPr>
          <w:rFonts w:ascii="Arial" w:hAnsi="Arial" w:cs="Arial"/>
          <w:sz w:val="22"/>
          <w:szCs w:val="22"/>
        </w:rPr>
      </w:pPr>
      <w:r w:rsidRPr="00F20A17">
        <w:rPr>
          <w:rFonts w:ascii="Arial" w:hAnsi="Arial" w:cs="Arial"/>
          <w:sz w:val="22"/>
          <w:szCs w:val="22"/>
        </w:rPr>
        <w:t>Adicional</w:t>
      </w:r>
      <w:r w:rsidR="009A5EA7" w:rsidRPr="00F20A17">
        <w:rPr>
          <w:rFonts w:ascii="Arial" w:hAnsi="Arial" w:cs="Arial"/>
          <w:sz w:val="22"/>
          <w:szCs w:val="22"/>
        </w:rPr>
        <w:t>mente</w:t>
      </w:r>
      <w:r w:rsidRPr="00F20A17">
        <w:rPr>
          <w:rFonts w:ascii="Arial" w:hAnsi="Arial" w:cs="Arial"/>
          <w:sz w:val="22"/>
          <w:szCs w:val="22"/>
        </w:rPr>
        <w:t>, la información contable del Ministerio</w:t>
      </w:r>
      <w:r w:rsidR="009A5EA7" w:rsidRPr="00F20A17">
        <w:rPr>
          <w:rFonts w:ascii="Arial" w:hAnsi="Arial" w:cs="Arial"/>
          <w:sz w:val="22"/>
          <w:szCs w:val="22"/>
        </w:rPr>
        <w:t xml:space="preserve"> se registra en el </w:t>
      </w:r>
      <w:r w:rsidRPr="00F20A17">
        <w:rPr>
          <w:rFonts w:ascii="Arial" w:hAnsi="Arial" w:cs="Arial"/>
          <w:sz w:val="22"/>
          <w:szCs w:val="22"/>
        </w:rPr>
        <w:t>Sistema Integrado de Información financiera (SIIF), en el que el macroproceso contable es administrado por la Contaduría General de la Nación, como órgano rector de la contabilidad, con lo cual se garantiza disponer de un sistema de información que cumple</w:t>
      </w:r>
      <w:r w:rsidR="00F24243" w:rsidRPr="00F20A17">
        <w:rPr>
          <w:rFonts w:ascii="Arial" w:hAnsi="Arial" w:cs="Arial"/>
          <w:sz w:val="22"/>
          <w:szCs w:val="22"/>
        </w:rPr>
        <w:t xml:space="preserve"> con los criterios definidos en la regulación vigente. </w:t>
      </w:r>
    </w:p>
    <w:p w14:paraId="0DFA82D3" w14:textId="77777777" w:rsidR="0046335B" w:rsidRPr="00F20A17" w:rsidRDefault="0046335B" w:rsidP="00EF3D59">
      <w:pPr>
        <w:pStyle w:val="Textoindependiente"/>
        <w:spacing w:line="288" w:lineRule="auto"/>
        <w:rPr>
          <w:rFonts w:ascii="Arial" w:hAnsi="Arial" w:cs="Arial"/>
          <w:i/>
          <w:sz w:val="22"/>
          <w:szCs w:val="22"/>
        </w:rPr>
      </w:pPr>
    </w:p>
    <w:p w14:paraId="5E799053" w14:textId="77777777" w:rsidR="009A5EA7" w:rsidRPr="00F20A17" w:rsidRDefault="00923197" w:rsidP="00EF3D59">
      <w:pPr>
        <w:pStyle w:val="Textoindependiente"/>
        <w:spacing w:line="288" w:lineRule="auto"/>
        <w:rPr>
          <w:rFonts w:ascii="Arial" w:hAnsi="Arial" w:cs="Arial"/>
          <w:sz w:val="22"/>
          <w:szCs w:val="22"/>
        </w:rPr>
      </w:pPr>
      <w:r w:rsidRPr="00F20A17">
        <w:rPr>
          <w:rFonts w:ascii="Arial" w:hAnsi="Arial" w:cs="Arial"/>
          <w:sz w:val="22"/>
          <w:szCs w:val="22"/>
        </w:rPr>
        <w:t xml:space="preserve">Colofón de lo anterior, se concluye que </w:t>
      </w:r>
      <w:r w:rsidR="0046335B" w:rsidRPr="00F20A17">
        <w:rPr>
          <w:rFonts w:ascii="Arial" w:hAnsi="Arial" w:cs="Arial"/>
          <w:sz w:val="22"/>
          <w:szCs w:val="22"/>
        </w:rPr>
        <w:t xml:space="preserve">el MHCP </w:t>
      </w:r>
      <w:r w:rsidRPr="00F20A17">
        <w:rPr>
          <w:rFonts w:ascii="Arial" w:hAnsi="Arial" w:cs="Arial"/>
          <w:sz w:val="22"/>
          <w:szCs w:val="22"/>
        </w:rPr>
        <w:t xml:space="preserve">ha establecido las herramientas de mejora continua y sostenibilidad de la calidad de la información financiera, sustentadas en políticas, procedimientos, directrices, instructivos y lineamientos que propenden por garantizar de manera permanente la depuración y mejora de la calidad de la información financiera, razón por la cual no se considera necesaria la creación del Comité Técnico de Sostenibilidad Contable. </w:t>
      </w:r>
    </w:p>
    <w:p w14:paraId="45F82538" w14:textId="77777777" w:rsidR="00F70400" w:rsidRPr="00F20A17" w:rsidRDefault="00F70400" w:rsidP="00EF3D59">
      <w:pPr>
        <w:pStyle w:val="Textoindependiente"/>
        <w:spacing w:line="288" w:lineRule="auto"/>
        <w:rPr>
          <w:rFonts w:ascii="Arial" w:hAnsi="Arial" w:cs="Arial"/>
          <w:sz w:val="22"/>
          <w:szCs w:val="22"/>
        </w:rPr>
      </w:pPr>
    </w:p>
    <w:p w14:paraId="10BE19AA" w14:textId="77777777" w:rsidR="0046335B" w:rsidRPr="00F20A17" w:rsidRDefault="0046335B" w:rsidP="00EF3D59">
      <w:pPr>
        <w:pStyle w:val="Textoindependiente"/>
        <w:spacing w:line="288" w:lineRule="auto"/>
        <w:rPr>
          <w:rFonts w:ascii="Arial" w:hAnsi="Arial" w:cs="Arial"/>
          <w:b/>
          <w:sz w:val="22"/>
          <w:szCs w:val="22"/>
        </w:rPr>
      </w:pPr>
      <w:r w:rsidRPr="00F20A17">
        <w:rPr>
          <w:rFonts w:ascii="Arial" w:hAnsi="Arial" w:cs="Arial"/>
          <w:b/>
          <w:sz w:val="22"/>
          <w:szCs w:val="22"/>
        </w:rPr>
        <w:t>Depuración contable permanente y sostenibilidad del proceso contable</w:t>
      </w:r>
    </w:p>
    <w:p w14:paraId="67EB4BAC" w14:textId="77777777" w:rsidR="0046335B" w:rsidRPr="00F20A17" w:rsidRDefault="0046335B" w:rsidP="00EF3D59">
      <w:pPr>
        <w:pStyle w:val="Textoindependiente"/>
        <w:spacing w:line="288" w:lineRule="auto"/>
        <w:rPr>
          <w:rFonts w:ascii="Arial" w:hAnsi="Arial" w:cs="Arial"/>
          <w:b/>
          <w:sz w:val="22"/>
          <w:szCs w:val="22"/>
        </w:rPr>
      </w:pPr>
    </w:p>
    <w:p w14:paraId="48C2F92C"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La depuración normal u ordinaria de los saldos se fundamenta en el cumplimiento de las normas legales aplicables en cada caso en particular, y en los procedimientos administrativos específicos establecidos por el Ministerio, en los</w:t>
      </w:r>
      <w:r w:rsidR="00083A18" w:rsidRPr="00F20A17">
        <w:rPr>
          <w:rFonts w:ascii="Arial" w:hAnsi="Arial" w:cs="Arial"/>
          <w:sz w:val="22"/>
          <w:szCs w:val="22"/>
        </w:rPr>
        <w:t xml:space="preserve"> </w:t>
      </w:r>
      <w:r w:rsidRPr="00F20A17">
        <w:rPr>
          <w:rFonts w:ascii="Arial" w:hAnsi="Arial" w:cs="Arial"/>
          <w:sz w:val="22"/>
          <w:szCs w:val="22"/>
        </w:rPr>
        <w:t>que</w:t>
      </w:r>
      <w:r w:rsidR="00083A18" w:rsidRPr="00F20A17">
        <w:rPr>
          <w:rFonts w:ascii="Arial" w:hAnsi="Arial" w:cs="Arial"/>
          <w:sz w:val="22"/>
          <w:szCs w:val="22"/>
        </w:rPr>
        <w:t xml:space="preserve"> se han definido </w:t>
      </w:r>
      <w:r w:rsidRPr="00F20A17">
        <w:rPr>
          <w:rFonts w:ascii="Arial" w:hAnsi="Arial" w:cs="Arial"/>
          <w:sz w:val="22"/>
          <w:szCs w:val="22"/>
        </w:rPr>
        <w:t xml:space="preserve">puntos </w:t>
      </w:r>
      <w:r w:rsidRPr="00F20A17">
        <w:rPr>
          <w:rFonts w:ascii="Arial" w:hAnsi="Arial" w:cs="Arial"/>
          <w:sz w:val="22"/>
          <w:szCs w:val="22"/>
        </w:rPr>
        <w:lastRenderedPageBreak/>
        <w:t>de control y conciliación</w:t>
      </w:r>
      <w:r w:rsidR="00083A18" w:rsidRPr="00F20A17">
        <w:rPr>
          <w:rFonts w:ascii="Arial" w:hAnsi="Arial" w:cs="Arial"/>
          <w:sz w:val="22"/>
          <w:szCs w:val="22"/>
        </w:rPr>
        <w:t xml:space="preserve"> permanente de</w:t>
      </w:r>
      <w:r w:rsidRPr="00F20A17">
        <w:rPr>
          <w:rFonts w:ascii="Arial" w:hAnsi="Arial" w:cs="Arial"/>
          <w:sz w:val="22"/>
          <w:szCs w:val="22"/>
        </w:rPr>
        <w:t xml:space="preserve"> saldos, para establecer la existencia de diferencias y realizar oportunamente las gestiones a que haya lugar para soportar, realizar o solicitar los ajustes que correspondan.</w:t>
      </w:r>
    </w:p>
    <w:p w14:paraId="7ADDF834" w14:textId="77777777" w:rsidR="0046335B" w:rsidRPr="00F20A17" w:rsidRDefault="0046335B" w:rsidP="00EF3D59">
      <w:pPr>
        <w:pStyle w:val="Textoindependiente"/>
        <w:spacing w:line="288" w:lineRule="auto"/>
        <w:rPr>
          <w:rFonts w:ascii="Arial" w:hAnsi="Arial" w:cs="Arial"/>
          <w:sz w:val="22"/>
          <w:szCs w:val="22"/>
        </w:rPr>
      </w:pPr>
    </w:p>
    <w:p w14:paraId="3087E052"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La depuración extraordinaria se determina sólo si una vez agotada la gestión administrativa e investigativa tendiente a la aclaración, identificación y soporte de saldos contables, se demuestra que no es posible establecer su procedencia u origen. Para lo cual, de presentarse, se evaluará cada caso particular y se establecerá el procedimiento a seguir.</w:t>
      </w:r>
    </w:p>
    <w:p w14:paraId="67B58653" w14:textId="77777777" w:rsidR="0046335B" w:rsidRPr="00F20A17" w:rsidRDefault="0046335B" w:rsidP="00EF3D59">
      <w:pPr>
        <w:pStyle w:val="Textoindependiente"/>
        <w:spacing w:line="288" w:lineRule="auto"/>
        <w:rPr>
          <w:rFonts w:ascii="Arial" w:hAnsi="Arial" w:cs="Arial"/>
          <w:sz w:val="22"/>
          <w:szCs w:val="22"/>
        </w:rPr>
      </w:pPr>
    </w:p>
    <w:p w14:paraId="39EF0481" w14:textId="77777777" w:rsidR="0046335B" w:rsidRPr="00F20A17" w:rsidRDefault="00C804A9" w:rsidP="00EF3D59">
      <w:pPr>
        <w:pStyle w:val="Textoindependiente"/>
        <w:spacing w:line="288" w:lineRule="auto"/>
        <w:rPr>
          <w:rFonts w:ascii="Arial" w:hAnsi="Arial" w:cs="Arial"/>
          <w:sz w:val="22"/>
          <w:szCs w:val="22"/>
        </w:rPr>
      </w:pPr>
      <w:r w:rsidRPr="00F20A17">
        <w:rPr>
          <w:rFonts w:ascii="Arial" w:hAnsi="Arial" w:cs="Arial"/>
          <w:sz w:val="22"/>
          <w:szCs w:val="22"/>
        </w:rPr>
        <w:t xml:space="preserve">Ahora bien, </w:t>
      </w:r>
      <w:r w:rsidR="0046335B" w:rsidRPr="00F20A17">
        <w:rPr>
          <w:rFonts w:ascii="Arial" w:hAnsi="Arial" w:cs="Arial"/>
          <w:sz w:val="22"/>
          <w:szCs w:val="22"/>
        </w:rPr>
        <w:t xml:space="preserve">el Ministerio de Hacienda y Crédito Público </w:t>
      </w:r>
      <w:r w:rsidR="00F928B1" w:rsidRPr="00F20A17">
        <w:rPr>
          <w:rFonts w:ascii="Arial" w:hAnsi="Arial" w:cs="Arial"/>
          <w:sz w:val="22"/>
          <w:szCs w:val="22"/>
        </w:rPr>
        <w:t xml:space="preserve">ha constituido </w:t>
      </w:r>
      <w:r w:rsidR="0046335B" w:rsidRPr="00F20A17">
        <w:rPr>
          <w:rFonts w:ascii="Arial" w:hAnsi="Arial" w:cs="Arial"/>
          <w:sz w:val="22"/>
          <w:szCs w:val="22"/>
        </w:rPr>
        <w:t>el Comité de Cartera</w:t>
      </w:r>
      <w:r w:rsidR="00F928B1" w:rsidRPr="00F20A17">
        <w:rPr>
          <w:rFonts w:ascii="Arial" w:hAnsi="Arial" w:cs="Arial"/>
          <w:sz w:val="22"/>
          <w:szCs w:val="22"/>
        </w:rPr>
        <w:t xml:space="preserve">, el cual se encarga de </w:t>
      </w:r>
      <w:r w:rsidR="0046335B" w:rsidRPr="00F20A17">
        <w:rPr>
          <w:rFonts w:ascii="Arial" w:hAnsi="Arial" w:cs="Arial"/>
          <w:sz w:val="22"/>
          <w:szCs w:val="22"/>
        </w:rPr>
        <w:t>analiza</w:t>
      </w:r>
      <w:r w:rsidR="00F928B1" w:rsidRPr="00F20A17">
        <w:rPr>
          <w:rFonts w:ascii="Arial" w:hAnsi="Arial" w:cs="Arial"/>
          <w:sz w:val="22"/>
          <w:szCs w:val="22"/>
        </w:rPr>
        <w:t>r</w:t>
      </w:r>
      <w:r w:rsidR="0046335B" w:rsidRPr="00F20A17">
        <w:rPr>
          <w:rFonts w:ascii="Arial" w:hAnsi="Arial" w:cs="Arial"/>
          <w:sz w:val="22"/>
          <w:szCs w:val="22"/>
        </w:rPr>
        <w:t xml:space="preserve"> y prepara</w:t>
      </w:r>
      <w:r w:rsidR="00F928B1" w:rsidRPr="00F20A17">
        <w:rPr>
          <w:rFonts w:ascii="Arial" w:hAnsi="Arial" w:cs="Arial"/>
          <w:sz w:val="22"/>
          <w:szCs w:val="22"/>
        </w:rPr>
        <w:t>r</w:t>
      </w:r>
      <w:r w:rsidR="0046335B" w:rsidRPr="00F20A17">
        <w:rPr>
          <w:rFonts w:ascii="Arial" w:hAnsi="Arial" w:cs="Arial"/>
          <w:sz w:val="22"/>
          <w:szCs w:val="22"/>
        </w:rPr>
        <w:t xml:space="preserve"> actos administrativos para depurar la cartera a su cargo  por  situaciones</w:t>
      </w:r>
      <w:r w:rsidRPr="00F20A17">
        <w:rPr>
          <w:rFonts w:ascii="Arial" w:hAnsi="Arial" w:cs="Arial"/>
          <w:sz w:val="22"/>
          <w:szCs w:val="22"/>
        </w:rPr>
        <w:t xml:space="preserve"> tales </w:t>
      </w:r>
      <w:r w:rsidR="0046335B" w:rsidRPr="00F20A17">
        <w:rPr>
          <w:rFonts w:ascii="Arial" w:hAnsi="Arial" w:cs="Arial"/>
          <w:sz w:val="22"/>
          <w:szCs w:val="22"/>
        </w:rPr>
        <w:t>como derechos  que, no obstante su existencia, no es posible realizarlos mediante la jurisdicción coactiva; derechos respecto de los cuales no es posible ejercer su cobro  por cuanto opera alguna causal relacionada con su extinción, derechos  que carecen de documentos soporte idóneos, a través de los cuales se puedan adelantar los procedimientos perti</w:t>
      </w:r>
      <w:r w:rsidR="00083A18" w:rsidRPr="00F20A17">
        <w:rPr>
          <w:rFonts w:ascii="Arial" w:hAnsi="Arial" w:cs="Arial"/>
          <w:sz w:val="22"/>
          <w:szCs w:val="22"/>
        </w:rPr>
        <w:t>nentes para obtener su cobro, v</w:t>
      </w:r>
      <w:r w:rsidR="0046335B" w:rsidRPr="00F20A17">
        <w:rPr>
          <w:rFonts w:ascii="Arial" w:hAnsi="Arial" w:cs="Arial"/>
          <w:sz w:val="22"/>
          <w:szCs w:val="22"/>
        </w:rPr>
        <w:t xml:space="preserve">alores respecto de los cuales no haya sido legalmente posible </w:t>
      </w:r>
      <w:r w:rsidR="00DE6FAE" w:rsidRPr="00F20A17">
        <w:rPr>
          <w:rFonts w:ascii="Arial" w:hAnsi="Arial" w:cs="Arial"/>
          <w:sz w:val="22"/>
          <w:szCs w:val="22"/>
        </w:rPr>
        <w:t xml:space="preserve">su imputación a alguna persona y </w:t>
      </w:r>
      <w:r w:rsidR="0046335B" w:rsidRPr="00F20A17">
        <w:rPr>
          <w:rFonts w:ascii="Arial" w:hAnsi="Arial" w:cs="Arial"/>
          <w:sz w:val="22"/>
          <w:szCs w:val="22"/>
        </w:rPr>
        <w:t>derechos que por tratarse de mínimas cuantías, no procede adelantar gestiones para obtener su cobro, considerando  para el efec</w:t>
      </w:r>
      <w:r w:rsidR="00DE6FAE" w:rsidRPr="00F20A17">
        <w:rPr>
          <w:rFonts w:ascii="Arial" w:hAnsi="Arial" w:cs="Arial"/>
          <w:sz w:val="22"/>
          <w:szCs w:val="22"/>
        </w:rPr>
        <w:t xml:space="preserve">to la relación costo-beneficio. </w:t>
      </w:r>
    </w:p>
    <w:p w14:paraId="218CA75A" w14:textId="77777777" w:rsidR="00DE6FAE" w:rsidRPr="00F20A17" w:rsidRDefault="00DE6FAE" w:rsidP="00EF3D59">
      <w:pPr>
        <w:pStyle w:val="Textoindependiente"/>
        <w:spacing w:line="288" w:lineRule="auto"/>
        <w:rPr>
          <w:rFonts w:ascii="Arial" w:hAnsi="Arial" w:cs="Arial"/>
          <w:sz w:val="22"/>
          <w:szCs w:val="22"/>
        </w:rPr>
      </w:pPr>
    </w:p>
    <w:p w14:paraId="33E075B0" w14:textId="77777777" w:rsidR="00574178" w:rsidRPr="00F20A17" w:rsidRDefault="00F928B1" w:rsidP="00EF3D59">
      <w:pPr>
        <w:pStyle w:val="Textoindependiente"/>
        <w:spacing w:line="288" w:lineRule="auto"/>
        <w:rPr>
          <w:rFonts w:ascii="Arial" w:hAnsi="Arial" w:cs="Arial"/>
          <w:sz w:val="22"/>
          <w:szCs w:val="22"/>
        </w:rPr>
      </w:pPr>
      <w:r w:rsidRPr="00F20A17">
        <w:rPr>
          <w:rFonts w:ascii="Arial" w:hAnsi="Arial" w:cs="Arial"/>
          <w:sz w:val="22"/>
          <w:szCs w:val="22"/>
        </w:rPr>
        <w:t xml:space="preserve">Por su parte, el </w:t>
      </w:r>
      <w:r w:rsidR="004C42E1" w:rsidRPr="00F20A17">
        <w:rPr>
          <w:rFonts w:ascii="Arial" w:hAnsi="Arial" w:cs="Arial"/>
          <w:sz w:val="22"/>
          <w:szCs w:val="22"/>
        </w:rPr>
        <w:t>Comité de E</w:t>
      </w:r>
      <w:r w:rsidR="00574178" w:rsidRPr="00F20A17">
        <w:rPr>
          <w:rFonts w:ascii="Arial" w:hAnsi="Arial" w:cs="Arial"/>
          <w:sz w:val="22"/>
          <w:szCs w:val="22"/>
        </w:rPr>
        <w:t xml:space="preserve">valuación </w:t>
      </w:r>
      <w:r w:rsidR="004C42E1" w:rsidRPr="00F20A17">
        <w:rPr>
          <w:rFonts w:ascii="Arial" w:hAnsi="Arial" w:cs="Arial"/>
          <w:sz w:val="22"/>
          <w:szCs w:val="22"/>
        </w:rPr>
        <w:t xml:space="preserve">Técnica </w:t>
      </w:r>
      <w:r w:rsidR="00574178" w:rsidRPr="00F20A17">
        <w:rPr>
          <w:rFonts w:ascii="Arial" w:hAnsi="Arial" w:cs="Arial"/>
          <w:sz w:val="22"/>
          <w:szCs w:val="22"/>
        </w:rPr>
        <w:t xml:space="preserve">de </w:t>
      </w:r>
      <w:r w:rsidR="00CE0CFD" w:rsidRPr="00F20A17">
        <w:rPr>
          <w:rFonts w:ascii="Arial" w:hAnsi="Arial" w:cs="Arial"/>
          <w:sz w:val="22"/>
          <w:szCs w:val="22"/>
        </w:rPr>
        <w:t>B</w:t>
      </w:r>
      <w:r w:rsidR="00574178" w:rsidRPr="00F20A17">
        <w:rPr>
          <w:rFonts w:ascii="Arial" w:hAnsi="Arial" w:cs="Arial"/>
          <w:sz w:val="22"/>
          <w:szCs w:val="22"/>
        </w:rPr>
        <w:t xml:space="preserve">ienes </w:t>
      </w:r>
      <w:r w:rsidR="00CE0CFD" w:rsidRPr="00F20A17">
        <w:rPr>
          <w:rFonts w:ascii="Arial" w:hAnsi="Arial" w:cs="Arial"/>
          <w:sz w:val="22"/>
          <w:szCs w:val="22"/>
        </w:rPr>
        <w:t>M</w:t>
      </w:r>
      <w:r w:rsidR="00574178" w:rsidRPr="00F20A17">
        <w:rPr>
          <w:rFonts w:ascii="Arial" w:hAnsi="Arial" w:cs="Arial"/>
          <w:sz w:val="22"/>
          <w:szCs w:val="22"/>
        </w:rPr>
        <w:t xml:space="preserve">uebles e </w:t>
      </w:r>
      <w:r w:rsidR="00CE0CFD" w:rsidRPr="00F20A17">
        <w:rPr>
          <w:rFonts w:ascii="Arial" w:hAnsi="Arial" w:cs="Arial"/>
          <w:sz w:val="22"/>
          <w:szCs w:val="22"/>
        </w:rPr>
        <w:t>I</w:t>
      </w:r>
      <w:r w:rsidR="00574178" w:rsidRPr="00F20A17">
        <w:rPr>
          <w:rFonts w:ascii="Arial" w:hAnsi="Arial" w:cs="Arial"/>
          <w:sz w:val="22"/>
          <w:szCs w:val="22"/>
        </w:rPr>
        <w:t xml:space="preserve">nmuebles del </w:t>
      </w:r>
      <w:r w:rsidR="00CE0CFD" w:rsidRPr="00F20A17">
        <w:rPr>
          <w:rFonts w:ascii="Arial" w:hAnsi="Arial" w:cs="Arial"/>
          <w:sz w:val="22"/>
          <w:szCs w:val="22"/>
        </w:rPr>
        <w:t>Ministerio de Hacienda y Crédito Público</w:t>
      </w:r>
      <w:r w:rsidR="004C42E1" w:rsidRPr="00F20A17">
        <w:rPr>
          <w:rFonts w:ascii="Arial" w:hAnsi="Arial" w:cs="Arial"/>
          <w:sz w:val="22"/>
          <w:szCs w:val="22"/>
        </w:rPr>
        <w:t xml:space="preserve">, se encarga </w:t>
      </w:r>
      <w:r w:rsidR="00A1228B" w:rsidRPr="00F20A17">
        <w:rPr>
          <w:rFonts w:ascii="Arial" w:hAnsi="Arial" w:cs="Arial"/>
          <w:sz w:val="22"/>
          <w:szCs w:val="22"/>
        </w:rPr>
        <w:t xml:space="preserve">de estudiar, analizar y decidir sobre la administración, enajenación, arrendamiento y entrega de los bienes muebles e inmuebles </w:t>
      </w:r>
      <w:r w:rsidR="00CE0CFD" w:rsidRPr="00F20A17">
        <w:rPr>
          <w:rFonts w:ascii="Arial" w:hAnsi="Arial" w:cs="Arial"/>
          <w:sz w:val="22"/>
          <w:szCs w:val="22"/>
        </w:rPr>
        <w:t>de propiedad del MHCP</w:t>
      </w:r>
      <w:r w:rsidR="00660048" w:rsidRPr="00F20A17">
        <w:rPr>
          <w:rFonts w:ascii="Arial" w:hAnsi="Arial" w:cs="Arial"/>
          <w:sz w:val="22"/>
          <w:szCs w:val="22"/>
        </w:rPr>
        <w:t xml:space="preserve">. </w:t>
      </w:r>
    </w:p>
    <w:p w14:paraId="450FB887" w14:textId="77777777" w:rsidR="005F737A" w:rsidRPr="00F20A17" w:rsidRDefault="005F737A" w:rsidP="00EF3D59">
      <w:pPr>
        <w:pStyle w:val="Textoindependiente"/>
        <w:spacing w:line="288" w:lineRule="auto"/>
        <w:rPr>
          <w:rFonts w:ascii="Arial" w:hAnsi="Arial" w:cs="Arial"/>
          <w:sz w:val="22"/>
          <w:szCs w:val="22"/>
        </w:rPr>
      </w:pPr>
    </w:p>
    <w:p w14:paraId="0726F9D9" w14:textId="22D1527C" w:rsidR="0046335B" w:rsidRPr="00F20A17" w:rsidRDefault="005F737A" w:rsidP="00EF3D59">
      <w:pPr>
        <w:pStyle w:val="Textoindependiente"/>
        <w:spacing w:line="288" w:lineRule="auto"/>
        <w:rPr>
          <w:rFonts w:ascii="Arial" w:hAnsi="Arial" w:cs="Arial"/>
          <w:sz w:val="22"/>
          <w:szCs w:val="22"/>
        </w:rPr>
      </w:pPr>
      <w:r w:rsidRPr="00F20A17">
        <w:rPr>
          <w:rFonts w:ascii="Arial" w:hAnsi="Arial" w:cs="Arial"/>
          <w:sz w:val="22"/>
          <w:szCs w:val="22"/>
        </w:rPr>
        <w:t xml:space="preserve">En virtud de </w:t>
      </w:r>
      <w:r w:rsidR="0046335B" w:rsidRPr="00F20A17">
        <w:rPr>
          <w:rFonts w:ascii="Arial" w:hAnsi="Arial" w:cs="Arial"/>
          <w:sz w:val="22"/>
          <w:szCs w:val="22"/>
        </w:rPr>
        <w:t xml:space="preserve">lo anterior, el Ministerio de Hacienda y Crédito Público tiene definido realizar de forma permanente análisis, revisiones y controles para garantizar la depuración de los saldos contables y </w:t>
      </w:r>
      <w:r w:rsidRPr="00F20A17">
        <w:rPr>
          <w:rFonts w:ascii="Arial" w:hAnsi="Arial" w:cs="Arial"/>
          <w:sz w:val="22"/>
          <w:szCs w:val="22"/>
        </w:rPr>
        <w:t xml:space="preserve">la </w:t>
      </w:r>
      <w:r w:rsidR="0046335B" w:rsidRPr="00F20A17">
        <w:rPr>
          <w:rFonts w:ascii="Arial" w:hAnsi="Arial" w:cs="Arial"/>
          <w:sz w:val="22"/>
          <w:szCs w:val="22"/>
        </w:rPr>
        <w:t>sost</w:t>
      </w:r>
      <w:r w:rsidRPr="00F20A17">
        <w:rPr>
          <w:rFonts w:ascii="Arial" w:hAnsi="Arial" w:cs="Arial"/>
          <w:sz w:val="22"/>
          <w:szCs w:val="22"/>
        </w:rPr>
        <w:t>enibilidad del proceso contable,</w:t>
      </w:r>
      <w:r w:rsidR="00660048" w:rsidRPr="00F20A17">
        <w:rPr>
          <w:rFonts w:ascii="Arial" w:hAnsi="Arial" w:cs="Arial"/>
          <w:sz w:val="22"/>
          <w:szCs w:val="22"/>
        </w:rPr>
        <w:t xml:space="preserve"> y ha creado comités que complementan la gestión </w:t>
      </w:r>
      <w:r w:rsidR="00A24D7F" w:rsidRPr="00F20A17">
        <w:rPr>
          <w:rFonts w:ascii="Arial" w:hAnsi="Arial" w:cs="Arial"/>
          <w:sz w:val="22"/>
          <w:szCs w:val="22"/>
        </w:rPr>
        <w:t>con respecto a la cartera</w:t>
      </w:r>
      <w:r w:rsidR="001966D1">
        <w:rPr>
          <w:rFonts w:ascii="Arial" w:hAnsi="Arial" w:cs="Arial"/>
          <w:sz w:val="22"/>
          <w:szCs w:val="22"/>
        </w:rPr>
        <w:t xml:space="preserve"> </w:t>
      </w:r>
      <w:r w:rsidR="00A24D7F" w:rsidRPr="00F20A17">
        <w:rPr>
          <w:rFonts w:ascii="Arial" w:hAnsi="Arial" w:cs="Arial"/>
          <w:sz w:val="22"/>
          <w:szCs w:val="22"/>
        </w:rPr>
        <w:t xml:space="preserve">y los bienes muebles e inmuebles del MHCP, </w:t>
      </w:r>
      <w:r w:rsidRPr="00F20A17">
        <w:rPr>
          <w:rFonts w:ascii="Arial" w:hAnsi="Arial" w:cs="Arial"/>
          <w:sz w:val="22"/>
          <w:szCs w:val="22"/>
        </w:rPr>
        <w:t>razón por la cual no</w:t>
      </w:r>
      <w:r w:rsidR="00A24D7F" w:rsidRPr="00F20A17">
        <w:rPr>
          <w:rFonts w:ascii="Arial" w:hAnsi="Arial" w:cs="Arial"/>
          <w:sz w:val="22"/>
          <w:szCs w:val="22"/>
        </w:rPr>
        <w:t xml:space="preserve"> se</w:t>
      </w:r>
      <w:r w:rsidRPr="00F20A17">
        <w:rPr>
          <w:rFonts w:ascii="Arial" w:hAnsi="Arial" w:cs="Arial"/>
          <w:sz w:val="22"/>
          <w:szCs w:val="22"/>
        </w:rPr>
        <w:t xml:space="preserve"> estima conveniente la </w:t>
      </w:r>
      <w:r w:rsidR="00083A18" w:rsidRPr="00F20A17">
        <w:rPr>
          <w:rFonts w:ascii="Arial" w:hAnsi="Arial" w:cs="Arial"/>
          <w:sz w:val="22"/>
          <w:szCs w:val="22"/>
        </w:rPr>
        <w:t xml:space="preserve">creación </w:t>
      </w:r>
      <w:r w:rsidR="0046335B" w:rsidRPr="00F20A17">
        <w:rPr>
          <w:rFonts w:ascii="Arial" w:hAnsi="Arial" w:cs="Arial"/>
          <w:sz w:val="22"/>
          <w:szCs w:val="22"/>
        </w:rPr>
        <w:t>de</w:t>
      </w:r>
      <w:r w:rsidRPr="00F20A17">
        <w:rPr>
          <w:rFonts w:ascii="Arial" w:hAnsi="Arial" w:cs="Arial"/>
          <w:sz w:val="22"/>
          <w:szCs w:val="22"/>
        </w:rPr>
        <w:t xml:space="preserve"> un </w:t>
      </w:r>
      <w:r w:rsidR="00A24D7F" w:rsidRPr="00F20A17">
        <w:rPr>
          <w:rFonts w:ascii="Arial" w:hAnsi="Arial" w:cs="Arial"/>
          <w:sz w:val="22"/>
          <w:szCs w:val="22"/>
        </w:rPr>
        <w:t xml:space="preserve">nuevo </w:t>
      </w:r>
      <w:r w:rsidR="0046335B" w:rsidRPr="00F20A17">
        <w:rPr>
          <w:rFonts w:ascii="Arial" w:hAnsi="Arial" w:cs="Arial"/>
          <w:sz w:val="22"/>
          <w:szCs w:val="22"/>
        </w:rPr>
        <w:t>comité</w:t>
      </w:r>
      <w:r w:rsidR="00A24D7F" w:rsidRPr="00F20A17">
        <w:rPr>
          <w:rFonts w:ascii="Arial" w:hAnsi="Arial" w:cs="Arial"/>
          <w:sz w:val="22"/>
          <w:szCs w:val="22"/>
        </w:rPr>
        <w:t>.</w:t>
      </w:r>
    </w:p>
    <w:p w14:paraId="7D4BB566" w14:textId="77777777" w:rsidR="0046335B" w:rsidRPr="00F20A17" w:rsidRDefault="0046335B" w:rsidP="00EF3D59">
      <w:pPr>
        <w:pStyle w:val="Textoindependiente"/>
        <w:spacing w:line="288" w:lineRule="auto"/>
        <w:rPr>
          <w:rFonts w:ascii="Arial" w:hAnsi="Arial" w:cs="Arial"/>
          <w:sz w:val="22"/>
          <w:szCs w:val="22"/>
        </w:rPr>
      </w:pPr>
    </w:p>
    <w:p w14:paraId="5C7AF367" w14:textId="77777777" w:rsidR="0046335B" w:rsidRPr="00F20A17" w:rsidRDefault="0046335B" w:rsidP="00343ECE">
      <w:pPr>
        <w:pStyle w:val="Textoindependiente"/>
        <w:numPr>
          <w:ilvl w:val="3"/>
          <w:numId w:val="8"/>
        </w:numPr>
        <w:spacing w:line="288" w:lineRule="auto"/>
        <w:outlineLvl w:val="3"/>
        <w:rPr>
          <w:rFonts w:ascii="Arial" w:hAnsi="Arial" w:cs="Arial"/>
          <w:sz w:val="22"/>
          <w:szCs w:val="22"/>
        </w:rPr>
      </w:pPr>
      <w:bookmarkStart w:id="87" w:name="_Toc397936256"/>
      <w:bookmarkStart w:id="88" w:name="_Toc459991355"/>
      <w:bookmarkStart w:id="89" w:name="_Toc490726955"/>
      <w:bookmarkStart w:id="90" w:name="_Toc490727903"/>
      <w:r w:rsidRPr="00F20A17">
        <w:rPr>
          <w:rFonts w:ascii="Arial" w:hAnsi="Arial" w:cs="Arial"/>
          <w:sz w:val="22"/>
          <w:szCs w:val="22"/>
        </w:rPr>
        <w:t>De carácter contable</w:t>
      </w:r>
      <w:bookmarkEnd w:id="87"/>
      <w:bookmarkEnd w:id="88"/>
      <w:bookmarkEnd w:id="89"/>
      <w:bookmarkEnd w:id="90"/>
    </w:p>
    <w:p w14:paraId="73D89F3D" w14:textId="77777777" w:rsidR="003048C0" w:rsidRPr="00F20A17" w:rsidRDefault="003048C0" w:rsidP="00EF3D59">
      <w:pPr>
        <w:pStyle w:val="Textoindependiente"/>
        <w:spacing w:line="288" w:lineRule="auto"/>
        <w:ind w:left="720"/>
        <w:outlineLvl w:val="3"/>
        <w:rPr>
          <w:rFonts w:ascii="Arial" w:hAnsi="Arial" w:cs="Arial"/>
          <w:sz w:val="22"/>
          <w:szCs w:val="22"/>
        </w:rPr>
      </w:pPr>
    </w:p>
    <w:p w14:paraId="5861EBC8"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Cuando no se tiene claridad respecto de la aplicación de normas contenidas en el Régimen de Contabilidad Pública, el Ministerio de Hacienda y Crédito Público tiene definido como política solicitar a la Contaduría General de la Nación conceptos técnicos contables que aclaren la situación y soporten los registros contables elaborados.</w:t>
      </w:r>
      <w:r w:rsidR="00423130" w:rsidRPr="00F20A17">
        <w:rPr>
          <w:rFonts w:ascii="Arial" w:hAnsi="Arial" w:cs="Arial"/>
          <w:sz w:val="22"/>
          <w:szCs w:val="22"/>
        </w:rPr>
        <w:t xml:space="preserve"> </w:t>
      </w:r>
    </w:p>
    <w:p w14:paraId="3F9F44FA" w14:textId="77777777" w:rsidR="00423130" w:rsidRPr="00F20A17" w:rsidRDefault="00423130" w:rsidP="00EF3D59">
      <w:pPr>
        <w:pStyle w:val="Textoindependiente"/>
        <w:spacing w:line="288" w:lineRule="auto"/>
        <w:rPr>
          <w:rFonts w:ascii="Arial" w:hAnsi="Arial" w:cs="Arial"/>
          <w:sz w:val="22"/>
          <w:szCs w:val="22"/>
        </w:rPr>
      </w:pPr>
    </w:p>
    <w:p w14:paraId="5C26052F" w14:textId="77777777" w:rsidR="001B4A2C" w:rsidRPr="00F20A17" w:rsidRDefault="001B4A2C" w:rsidP="00EF3D59">
      <w:pPr>
        <w:pStyle w:val="Textoindependiente"/>
        <w:spacing w:line="288" w:lineRule="auto"/>
        <w:rPr>
          <w:rFonts w:ascii="Arial" w:hAnsi="Arial" w:cs="Arial"/>
          <w:sz w:val="22"/>
          <w:szCs w:val="22"/>
        </w:rPr>
      </w:pPr>
      <w:r w:rsidRPr="00F20A17">
        <w:rPr>
          <w:rFonts w:ascii="Arial" w:hAnsi="Arial" w:cs="Arial"/>
          <w:sz w:val="22"/>
          <w:szCs w:val="22"/>
        </w:rPr>
        <w:t xml:space="preserve">Lo anterior, en virtud de lo establecido en la Resolución 193 de 2016, la cual en el numeral 3.2.6 del anexo relativo al Procedimiento para la evaluación del control interno contable, </w:t>
      </w:r>
      <w:r w:rsidRPr="00F20A17">
        <w:rPr>
          <w:rFonts w:ascii="Arial" w:hAnsi="Arial" w:cs="Arial"/>
          <w:sz w:val="22"/>
          <w:szCs w:val="22"/>
        </w:rPr>
        <w:lastRenderedPageBreak/>
        <w:t xml:space="preserve">señala: </w:t>
      </w:r>
      <w:r w:rsidRPr="00595520">
        <w:rPr>
          <w:rFonts w:ascii="Arial" w:hAnsi="Arial" w:cs="Arial"/>
          <w:i/>
          <w:iCs/>
          <w:sz w:val="22"/>
          <w:szCs w:val="22"/>
        </w:rPr>
        <w:t>“Los responsables directos del procesamiento de la información financiera en las entidades podrán solicitar conceptos técnico-contables a la Contaduría General de la Nación cuando no se tenga claridad respecto de la aplicación de normas contenidas en el Régimen de Contabilidad Pública”.</w:t>
      </w:r>
    </w:p>
    <w:p w14:paraId="39A1B829" w14:textId="77777777" w:rsidR="001B4A2C" w:rsidRPr="00F20A17" w:rsidRDefault="001B4A2C" w:rsidP="00EF3D59">
      <w:pPr>
        <w:pStyle w:val="Textoindependiente"/>
        <w:spacing w:line="288" w:lineRule="auto"/>
        <w:rPr>
          <w:rFonts w:ascii="Arial" w:hAnsi="Arial" w:cs="Arial"/>
          <w:sz w:val="22"/>
          <w:szCs w:val="22"/>
        </w:rPr>
      </w:pPr>
    </w:p>
    <w:p w14:paraId="0C22DFCE" w14:textId="77777777" w:rsidR="00133429" w:rsidRPr="00F20A17" w:rsidRDefault="001B4A2C" w:rsidP="00EF3D59">
      <w:pPr>
        <w:pStyle w:val="Textoindependiente"/>
        <w:spacing w:line="288" w:lineRule="auto"/>
        <w:rPr>
          <w:rFonts w:ascii="Arial" w:hAnsi="Arial" w:cs="Arial"/>
          <w:sz w:val="22"/>
          <w:szCs w:val="22"/>
        </w:rPr>
      </w:pPr>
      <w:r w:rsidRPr="00F20A17">
        <w:rPr>
          <w:rFonts w:ascii="Arial" w:hAnsi="Arial" w:cs="Arial"/>
          <w:sz w:val="22"/>
          <w:szCs w:val="22"/>
        </w:rPr>
        <w:t xml:space="preserve">Asimismo, </w:t>
      </w:r>
      <w:r w:rsidR="0046335B" w:rsidRPr="00F20A17">
        <w:rPr>
          <w:rFonts w:ascii="Arial" w:hAnsi="Arial" w:cs="Arial"/>
          <w:sz w:val="22"/>
          <w:szCs w:val="22"/>
        </w:rPr>
        <w:t xml:space="preserve">a </w:t>
      </w:r>
      <w:r w:rsidRPr="00F20A17">
        <w:rPr>
          <w:rFonts w:ascii="Arial" w:hAnsi="Arial" w:cs="Arial"/>
          <w:sz w:val="22"/>
          <w:szCs w:val="22"/>
        </w:rPr>
        <w:t xml:space="preserve">través de la Sentencia C-487 de 1997, la </w:t>
      </w:r>
      <w:r w:rsidR="0046335B" w:rsidRPr="00F20A17">
        <w:rPr>
          <w:rFonts w:ascii="Arial" w:hAnsi="Arial" w:cs="Arial"/>
          <w:sz w:val="22"/>
          <w:szCs w:val="22"/>
        </w:rPr>
        <w:t>Corte Constitucional expresó</w:t>
      </w:r>
      <w:r w:rsidRPr="00F20A17">
        <w:rPr>
          <w:rFonts w:ascii="Arial" w:hAnsi="Arial" w:cs="Arial"/>
          <w:sz w:val="22"/>
          <w:szCs w:val="22"/>
        </w:rPr>
        <w:t xml:space="preserve">: </w:t>
      </w:r>
    </w:p>
    <w:p w14:paraId="30F08C52" w14:textId="77777777" w:rsidR="00133429" w:rsidRPr="00F20A17" w:rsidRDefault="00133429" w:rsidP="00EF3D59">
      <w:pPr>
        <w:pStyle w:val="Textoindependiente"/>
        <w:spacing w:line="288" w:lineRule="auto"/>
        <w:rPr>
          <w:rFonts w:ascii="Arial" w:hAnsi="Arial" w:cs="Arial"/>
          <w:sz w:val="22"/>
          <w:szCs w:val="22"/>
        </w:rPr>
      </w:pPr>
    </w:p>
    <w:p w14:paraId="1743FF42" w14:textId="77777777" w:rsidR="0046335B" w:rsidRPr="00F20A17" w:rsidRDefault="0046335B" w:rsidP="00EF3D59">
      <w:pPr>
        <w:pStyle w:val="Textoindependiente"/>
        <w:spacing w:line="288" w:lineRule="auto"/>
        <w:ind w:left="284" w:right="335"/>
        <w:rPr>
          <w:rFonts w:ascii="Arial" w:hAnsi="Arial" w:cs="Arial"/>
          <w:sz w:val="22"/>
          <w:szCs w:val="22"/>
        </w:rPr>
      </w:pPr>
      <w:r w:rsidRPr="00595520">
        <w:rPr>
          <w:rFonts w:ascii="Arial" w:hAnsi="Arial" w:cs="Arial"/>
          <w:i/>
          <w:iCs/>
          <w:sz w:val="22"/>
          <w:szCs w:val="22"/>
        </w:rPr>
        <w:t xml:space="preserve">“Las decisiones que en materia contable adopte la Contaduría de conformidad con la Ley, son obligatorias para las entidades del Estado y lo son porque ellas hacen parte de un complejo proceso en el que el ejercicio individual de cada una de  ellas irradia en el ejercicio general, afectando de manera sustancial los productos finales, entre ellos el balance general, los cuales son definitivos para el manejo de las finanzas del Estado (…) Es decir, que por mandato directo del constituyente le corresponde al Contador General de la Nación, máxima autoridad contable de la administración, determinar las normas contables que deben regir en el país, lo que se traduce en diseñar y expedir directrices y procedimientos </w:t>
      </w:r>
      <w:r w:rsidRPr="00595520">
        <w:rPr>
          <w:rFonts w:ascii="Arial" w:hAnsi="Arial" w:cs="Arial"/>
          <w:i/>
          <w:iCs/>
          <w:sz w:val="22"/>
          <w:szCs w:val="22"/>
          <w:u w:val="single"/>
        </w:rPr>
        <w:t>dotados de fuerza vinculante</w:t>
      </w:r>
      <w:r w:rsidRPr="00595520">
        <w:rPr>
          <w:rFonts w:ascii="Arial" w:hAnsi="Arial" w:cs="Arial"/>
          <w:i/>
          <w:iCs/>
          <w:sz w:val="22"/>
          <w:szCs w:val="22"/>
        </w:rPr>
        <w:t xml:space="preserve"> que como tales deberán ser acogidos por las entidades públicas, las cuales servirán de base para el sistema contable de cada entidad”</w:t>
      </w:r>
      <w:r w:rsidR="00A1228B" w:rsidRPr="00F20A17">
        <w:rPr>
          <w:rFonts w:ascii="Arial" w:hAnsi="Arial" w:cs="Arial"/>
          <w:sz w:val="22"/>
          <w:szCs w:val="22"/>
        </w:rPr>
        <w:t>.</w:t>
      </w:r>
      <w:r w:rsidRPr="00F20A17">
        <w:rPr>
          <w:rFonts w:ascii="Arial" w:hAnsi="Arial" w:cs="Arial"/>
          <w:sz w:val="22"/>
          <w:szCs w:val="22"/>
        </w:rPr>
        <w:t xml:space="preserve"> </w:t>
      </w:r>
      <w:r w:rsidR="00A1228B" w:rsidRPr="00F20A17">
        <w:rPr>
          <w:rFonts w:ascii="Arial" w:hAnsi="Arial" w:cs="Arial"/>
          <w:sz w:val="22"/>
          <w:szCs w:val="22"/>
        </w:rPr>
        <w:t>(S</w:t>
      </w:r>
      <w:r w:rsidRPr="00F20A17">
        <w:rPr>
          <w:rFonts w:ascii="Arial" w:hAnsi="Arial" w:cs="Arial"/>
          <w:sz w:val="22"/>
          <w:szCs w:val="22"/>
        </w:rPr>
        <w:t>ubrayado fuera de texto</w:t>
      </w:r>
      <w:r w:rsidR="00A1228B" w:rsidRPr="00F20A17">
        <w:rPr>
          <w:rFonts w:ascii="Arial" w:hAnsi="Arial" w:cs="Arial"/>
          <w:sz w:val="22"/>
          <w:szCs w:val="22"/>
        </w:rPr>
        <w:t>)</w:t>
      </w:r>
      <w:r w:rsidRPr="00F20A17">
        <w:rPr>
          <w:rFonts w:ascii="Arial" w:hAnsi="Arial" w:cs="Arial"/>
          <w:sz w:val="22"/>
          <w:szCs w:val="22"/>
        </w:rPr>
        <w:t>.</w:t>
      </w:r>
    </w:p>
    <w:p w14:paraId="26A435CF" w14:textId="77777777" w:rsidR="0046335B" w:rsidRPr="00F20A17" w:rsidRDefault="0046335B" w:rsidP="00EF3D59">
      <w:pPr>
        <w:pStyle w:val="Textoindependiente"/>
        <w:spacing w:line="288" w:lineRule="auto"/>
        <w:rPr>
          <w:rFonts w:ascii="Arial" w:hAnsi="Arial" w:cs="Arial"/>
          <w:i/>
          <w:sz w:val="22"/>
          <w:szCs w:val="22"/>
        </w:rPr>
      </w:pPr>
    </w:p>
    <w:p w14:paraId="04B10DD6" w14:textId="77777777" w:rsidR="0046335B" w:rsidRPr="00F20A17" w:rsidRDefault="0046335B" w:rsidP="00EF3D59">
      <w:pPr>
        <w:pStyle w:val="Textoindependiente"/>
        <w:spacing w:line="288" w:lineRule="auto"/>
        <w:rPr>
          <w:rFonts w:ascii="Arial" w:hAnsi="Arial" w:cs="Arial"/>
          <w:sz w:val="22"/>
          <w:szCs w:val="22"/>
        </w:rPr>
      </w:pPr>
      <w:r w:rsidRPr="00F20A17">
        <w:rPr>
          <w:rFonts w:ascii="Arial" w:hAnsi="Arial" w:cs="Arial"/>
          <w:sz w:val="22"/>
          <w:szCs w:val="22"/>
        </w:rPr>
        <w:t>De acuerdo con lo anterior, no se requiere el Comité Técnico de Sostenibilidad Contable para resolver las dudas técnicas contables que surjan en los procesos del Ministerio, dado que por norma le compete a la Contaduría General de la Nación dicha función.</w:t>
      </w:r>
    </w:p>
    <w:p w14:paraId="64670E32" w14:textId="77777777" w:rsidR="00DF1706" w:rsidRPr="00F20A17" w:rsidRDefault="00DF1706" w:rsidP="00F20A17">
      <w:pPr>
        <w:pStyle w:val="Textoindependiente"/>
        <w:spacing w:line="288" w:lineRule="auto"/>
        <w:rPr>
          <w:rFonts w:ascii="Arial" w:hAnsi="Arial" w:cs="Arial"/>
          <w:sz w:val="22"/>
          <w:szCs w:val="22"/>
        </w:rPr>
      </w:pPr>
    </w:p>
    <w:p w14:paraId="609873FF" w14:textId="77777777" w:rsidR="003048C0" w:rsidRPr="00F20A17" w:rsidRDefault="00170533" w:rsidP="00343ECE">
      <w:pPr>
        <w:pStyle w:val="Ttulo3"/>
        <w:numPr>
          <w:ilvl w:val="2"/>
          <w:numId w:val="8"/>
        </w:numPr>
        <w:tabs>
          <w:tab w:val="left" w:pos="426"/>
        </w:tabs>
        <w:spacing w:line="288" w:lineRule="auto"/>
        <w:rPr>
          <w:rFonts w:ascii="Arial" w:hAnsi="Arial" w:cs="Arial"/>
          <w:b/>
          <w:sz w:val="22"/>
          <w:szCs w:val="22"/>
        </w:rPr>
      </w:pPr>
      <w:bookmarkStart w:id="91" w:name="_Toc397936257"/>
      <w:bookmarkStart w:id="92" w:name="_Toc459991356"/>
      <w:bookmarkStart w:id="93" w:name="_Toc490726956"/>
      <w:bookmarkStart w:id="94" w:name="_Toc490727904"/>
      <w:r w:rsidRPr="00F20A17">
        <w:rPr>
          <w:rFonts w:ascii="Arial" w:hAnsi="Arial" w:cs="Arial"/>
          <w:b/>
          <w:sz w:val="22"/>
          <w:szCs w:val="22"/>
        </w:rPr>
        <w:t xml:space="preserve"> </w:t>
      </w:r>
      <w:bookmarkStart w:id="95" w:name="_Toc59377822"/>
      <w:r w:rsidR="003048C0" w:rsidRPr="00F20A17">
        <w:rPr>
          <w:rFonts w:ascii="Arial" w:hAnsi="Arial" w:cs="Arial"/>
          <w:b/>
          <w:sz w:val="22"/>
          <w:szCs w:val="22"/>
        </w:rPr>
        <w:t>Recomendación</w:t>
      </w:r>
      <w:bookmarkEnd w:id="95"/>
    </w:p>
    <w:p w14:paraId="53A6E3B0" w14:textId="77777777" w:rsidR="003048C0" w:rsidRPr="00F20A17" w:rsidRDefault="003048C0" w:rsidP="00F20A17">
      <w:pPr>
        <w:spacing w:line="288" w:lineRule="auto"/>
        <w:rPr>
          <w:rFonts w:ascii="Arial" w:hAnsi="Arial" w:cs="Arial"/>
          <w:sz w:val="22"/>
          <w:szCs w:val="22"/>
        </w:rPr>
      </w:pPr>
    </w:p>
    <w:bookmarkEnd w:id="91"/>
    <w:bookmarkEnd w:id="92"/>
    <w:bookmarkEnd w:id="93"/>
    <w:bookmarkEnd w:id="94"/>
    <w:p w14:paraId="4479BFE9" w14:textId="77777777" w:rsidR="0046335B" w:rsidRPr="00F20A17" w:rsidRDefault="0046335B" w:rsidP="00F20A17">
      <w:pPr>
        <w:spacing w:line="288" w:lineRule="auto"/>
        <w:jc w:val="both"/>
        <w:rPr>
          <w:rFonts w:ascii="Arial" w:hAnsi="Arial" w:cs="Arial"/>
          <w:sz w:val="22"/>
          <w:szCs w:val="22"/>
        </w:rPr>
      </w:pPr>
      <w:r w:rsidRPr="00F20A17">
        <w:rPr>
          <w:rFonts w:ascii="Arial" w:hAnsi="Arial" w:cs="Arial"/>
          <w:sz w:val="22"/>
          <w:szCs w:val="22"/>
        </w:rPr>
        <w:t>Teniendo en cuenta las consideraciones anteriores</w:t>
      </w:r>
      <w:r w:rsidR="005835D4" w:rsidRPr="00F20A17">
        <w:rPr>
          <w:rFonts w:ascii="Arial" w:hAnsi="Arial" w:cs="Arial"/>
          <w:sz w:val="22"/>
          <w:szCs w:val="22"/>
        </w:rPr>
        <w:t xml:space="preserve">, </w:t>
      </w:r>
      <w:r w:rsidRPr="00F20A17">
        <w:rPr>
          <w:rFonts w:ascii="Arial" w:hAnsi="Arial" w:cs="Arial"/>
          <w:sz w:val="22"/>
          <w:szCs w:val="22"/>
        </w:rPr>
        <w:t xml:space="preserve">NO </w:t>
      </w:r>
      <w:r w:rsidR="000F5B87" w:rsidRPr="00F20A17">
        <w:rPr>
          <w:rFonts w:ascii="Arial" w:hAnsi="Arial" w:cs="Arial"/>
          <w:sz w:val="22"/>
          <w:szCs w:val="22"/>
        </w:rPr>
        <w:t xml:space="preserve">se considera </w:t>
      </w:r>
      <w:r w:rsidRPr="00F20A17">
        <w:rPr>
          <w:rFonts w:ascii="Arial" w:hAnsi="Arial" w:cs="Arial"/>
          <w:sz w:val="22"/>
          <w:szCs w:val="22"/>
        </w:rPr>
        <w:t>pertinente la constitución e integración del Comité Técnico de Sostenibilidad Contable en el Ministerio de Hacienda y Crédito Público.</w:t>
      </w:r>
    </w:p>
    <w:p w14:paraId="0DC439D8" w14:textId="77777777" w:rsidR="0046335B" w:rsidRPr="00F20A17" w:rsidRDefault="0046335B" w:rsidP="00F20A17">
      <w:pPr>
        <w:spacing w:line="288" w:lineRule="auto"/>
        <w:ind w:left="360"/>
        <w:rPr>
          <w:rFonts w:ascii="Arial" w:hAnsi="Arial" w:cs="Arial"/>
          <w:b/>
          <w:sz w:val="22"/>
          <w:szCs w:val="22"/>
        </w:rPr>
      </w:pPr>
    </w:p>
    <w:p w14:paraId="3BEBD209" w14:textId="77777777" w:rsidR="00493DD6" w:rsidRPr="00F20A17" w:rsidRDefault="0046335B" w:rsidP="00343ECE">
      <w:pPr>
        <w:pStyle w:val="Ttulo2"/>
        <w:numPr>
          <w:ilvl w:val="1"/>
          <w:numId w:val="12"/>
        </w:numPr>
        <w:spacing w:line="288" w:lineRule="auto"/>
        <w:rPr>
          <w:rFonts w:ascii="Arial" w:hAnsi="Arial" w:cs="Arial"/>
          <w:sz w:val="22"/>
          <w:szCs w:val="22"/>
        </w:rPr>
      </w:pPr>
      <w:bookmarkStart w:id="96" w:name="_Toc397936258"/>
      <w:bookmarkStart w:id="97" w:name="_Toc459991357"/>
      <w:bookmarkStart w:id="98" w:name="_Toc490726957"/>
      <w:bookmarkStart w:id="99" w:name="_Toc490727905"/>
      <w:bookmarkStart w:id="100" w:name="_Toc59377823"/>
      <w:r w:rsidRPr="00F20A17">
        <w:rPr>
          <w:rFonts w:ascii="Arial" w:hAnsi="Arial" w:cs="Arial"/>
          <w:sz w:val="22"/>
          <w:szCs w:val="22"/>
        </w:rPr>
        <w:t>CONTROLES</w:t>
      </w:r>
      <w:bookmarkEnd w:id="96"/>
      <w:bookmarkEnd w:id="97"/>
      <w:bookmarkEnd w:id="98"/>
      <w:bookmarkEnd w:id="99"/>
      <w:bookmarkEnd w:id="100"/>
    </w:p>
    <w:p w14:paraId="60E57072" w14:textId="77777777" w:rsidR="00DB6854" w:rsidRPr="00F20A17" w:rsidRDefault="00DB6854" w:rsidP="00F20A17">
      <w:pPr>
        <w:spacing w:line="288" w:lineRule="auto"/>
        <w:rPr>
          <w:rFonts w:ascii="Arial" w:hAnsi="Arial" w:cs="Arial"/>
          <w:sz w:val="22"/>
          <w:szCs w:val="22"/>
        </w:rPr>
      </w:pPr>
    </w:p>
    <w:p w14:paraId="5D17A2B3" w14:textId="1386EDFB" w:rsidR="0046335B" w:rsidRPr="00F20A17" w:rsidRDefault="0046335B" w:rsidP="00F20A17">
      <w:pPr>
        <w:spacing w:line="288" w:lineRule="auto"/>
        <w:jc w:val="both"/>
        <w:rPr>
          <w:rFonts w:ascii="Arial" w:hAnsi="Arial" w:cs="Arial"/>
          <w:sz w:val="22"/>
          <w:szCs w:val="22"/>
        </w:rPr>
      </w:pPr>
      <w:r w:rsidRPr="00F20A17">
        <w:rPr>
          <w:rFonts w:ascii="Arial" w:hAnsi="Arial" w:cs="Arial"/>
          <w:sz w:val="22"/>
          <w:szCs w:val="22"/>
        </w:rPr>
        <w:t>El Ministerio de Hacienda y Crédito Público, implementa en su proceso contable mecanismos de control, autocontrol y verificación de las actividades, para garantizar que su información se reconozca</w:t>
      </w:r>
      <w:r w:rsidR="00666DC1">
        <w:rPr>
          <w:rFonts w:ascii="Arial" w:hAnsi="Arial" w:cs="Arial"/>
          <w:sz w:val="22"/>
          <w:szCs w:val="22"/>
        </w:rPr>
        <w:t xml:space="preserve">, mida </w:t>
      </w:r>
      <w:r w:rsidRPr="00F20A17">
        <w:rPr>
          <w:rFonts w:ascii="Arial" w:hAnsi="Arial" w:cs="Arial"/>
          <w:sz w:val="22"/>
          <w:szCs w:val="22"/>
        </w:rPr>
        <w:t xml:space="preserve">y revele de conformidad con los criterios teóricos, conceptuales y técnicos, así como los fundamentos de carácter instrumental, establecidos en el Régimen de Contabilidad Pública, expedido por la Contaduría General de la Nación. </w:t>
      </w:r>
    </w:p>
    <w:p w14:paraId="6EC98C55" w14:textId="6C70FC06" w:rsidR="0046335B" w:rsidRDefault="0046335B" w:rsidP="00F20A17">
      <w:pPr>
        <w:spacing w:line="288" w:lineRule="auto"/>
        <w:ind w:left="709"/>
        <w:rPr>
          <w:rFonts w:ascii="Arial" w:hAnsi="Arial" w:cs="Arial"/>
          <w:sz w:val="22"/>
          <w:szCs w:val="22"/>
        </w:rPr>
      </w:pPr>
    </w:p>
    <w:p w14:paraId="4581718F" w14:textId="0D8F954A" w:rsidR="00CA76B9" w:rsidRDefault="00CA76B9" w:rsidP="00F20A17">
      <w:pPr>
        <w:spacing w:line="288" w:lineRule="auto"/>
        <w:ind w:left="709"/>
        <w:rPr>
          <w:rFonts w:ascii="Arial" w:hAnsi="Arial" w:cs="Arial"/>
          <w:sz w:val="22"/>
          <w:szCs w:val="22"/>
        </w:rPr>
      </w:pPr>
    </w:p>
    <w:p w14:paraId="585EDDB8" w14:textId="77777777" w:rsidR="00CA76B9" w:rsidRPr="00F20A17" w:rsidRDefault="00CA76B9" w:rsidP="00F20A17">
      <w:pPr>
        <w:spacing w:line="288" w:lineRule="auto"/>
        <w:ind w:left="709"/>
        <w:rPr>
          <w:rFonts w:ascii="Arial" w:hAnsi="Arial" w:cs="Arial"/>
          <w:sz w:val="22"/>
          <w:szCs w:val="22"/>
        </w:rPr>
      </w:pPr>
    </w:p>
    <w:p w14:paraId="45199AE1" w14:textId="77777777" w:rsidR="0046335B" w:rsidRPr="00F20A17" w:rsidRDefault="0046335B" w:rsidP="00343ECE">
      <w:pPr>
        <w:pStyle w:val="Ttulo2"/>
        <w:numPr>
          <w:ilvl w:val="1"/>
          <w:numId w:val="12"/>
        </w:numPr>
        <w:spacing w:line="288" w:lineRule="auto"/>
        <w:rPr>
          <w:rFonts w:ascii="Arial" w:hAnsi="Arial" w:cs="Arial"/>
          <w:sz w:val="22"/>
          <w:szCs w:val="22"/>
        </w:rPr>
      </w:pPr>
      <w:bookmarkStart w:id="101" w:name="_Toc397936259"/>
      <w:bookmarkStart w:id="102" w:name="_Toc459991358"/>
      <w:bookmarkStart w:id="103" w:name="_Toc490726958"/>
      <w:bookmarkStart w:id="104" w:name="_Toc490727906"/>
      <w:bookmarkStart w:id="105" w:name="_Toc59377824"/>
      <w:r w:rsidRPr="00F20A17">
        <w:rPr>
          <w:rFonts w:ascii="Arial" w:hAnsi="Arial" w:cs="Arial"/>
          <w:sz w:val="22"/>
          <w:szCs w:val="22"/>
        </w:rPr>
        <w:lastRenderedPageBreak/>
        <w:t>ESTRUCTURA DEL ÁREA CONTABLE Y GESTIÓN POR PROCESOS</w:t>
      </w:r>
      <w:bookmarkEnd w:id="101"/>
      <w:bookmarkEnd w:id="102"/>
      <w:bookmarkEnd w:id="103"/>
      <w:bookmarkEnd w:id="104"/>
      <w:bookmarkEnd w:id="105"/>
    </w:p>
    <w:p w14:paraId="02578947" w14:textId="77777777" w:rsidR="0046335B" w:rsidRPr="00F20A17" w:rsidRDefault="0046335B" w:rsidP="00F20A17">
      <w:pPr>
        <w:spacing w:line="288" w:lineRule="auto"/>
        <w:rPr>
          <w:rFonts w:ascii="Arial" w:hAnsi="Arial" w:cs="Arial"/>
          <w:sz w:val="22"/>
          <w:szCs w:val="22"/>
        </w:rPr>
      </w:pPr>
    </w:p>
    <w:p w14:paraId="4A22C67E" w14:textId="77777777" w:rsidR="00666DC1" w:rsidRDefault="0046335B" w:rsidP="00F20A17">
      <w:pPr>
        <w:spacing w:line="288" w:lineRule="auto"/>
        <w:jc w:val="both"/>
        <w:rPr>
          <w:rFonts w:ascii="Arial" w:hAnsi="Arial" w:cs="Arial"/>
          <w:sz w:val="22"/>
          <w:szCs w:val="22"/>
        </w:rPr>
      </w:pPr>
      <w:r w:rsidRPr="00F20A17">
        <w:rPr>
          <w:rFonts w:ascii="Arial" w:hAnsi="Arial" w:cs="Arial"/>
          <w:sz w:val="22"/>
          <w:szCs w:val="22"/>
        </w:rPr>
        <w:t xml:space="preserve">Para la adecuada identificación, clasificación, registro, revelación, análisis, interpretación y comunicación de la información contable, el Ministerio de Hacienda y Crédito Público creó, mediante Resolución 1517 de 2007, el Grupo de Contabilidad de la entidad. A su vez, modificó </w:t>
      </w:r>
      <w:r w:rsidR="00CF42BA" w:rsidRPr="00F20A17">
        <w:rPr>
          <w:rFonts w:ascii="Arial" w:hAnsi="Arial" w:cs="Arial"/>
          <w:sz w:val="22"/>
          <w:szCs w:val="22"/>
        </w:rPr>
        <w:t xml:space="preserve">sus </w:t>
      </w:r>
      <w:r w:rsidRPr="00F20A17">
        <w:rPr>
          <w:rFonts w:ascii="Arial" w:hAnsi="Arial" w:cs="Arial"/>
          <w:sz w:val="22"/>
          <w:szCs w:val="22"/>
        </w:rPr>
        <w:t xml:space="preserve">funciones </w:t>
      </w:r>
      <w:r w:rsidR="00CF42BA" w:rsidRPr="00F20A17">
        <w:rPr>
          <w:rFonts w:ascii="Arial" w:hAnsi="Arial" w:cs="Arial"/>
          <w:sz w:val="22"/>
          <w:szCs w:val="22"/>
        </w:rPr>
        <w:t>c</w:t>
      </w:r>
      <w:r w:rsidRPr="00F20A17">
        <w:rPr>
          <w:rFonts w:ascii="Arial" w:hAnsi="Arial" w:cs="Arial"/>
          <w:sz w:val="22"/>
          <w:szCs w:val="22"/>
        </w:rPr>
        <w:t>on las Resoluciones 4511 de 2008 y 2543 de 2011.</w:t>
      </w:r>
      <w:r w:rsidR="00777FB8" w:rsidRPr="00F20A17">
        <w:rPr>
          <w:rFonts w:ascii="Arial" w:hAnsi="Arial" w:cs="Arial"/>
          <w:sz w:val="22"/>
          <w:szCs w:val="22"/>
        </w:rPr>
        <w:t xml:space="preserve"> </w:t>
      </w:r>
    </w:p>
    <w:p w14:paraId="2352EC67" w14:textId="77777777" w:rsidR="00666DC1" w:rsidRDefault="00666DC1" w:rsidP="00F20A17">
      <w:pPr>
        <w:spacing w:line="288" w:lineRule="auto"/>
        <w:jc w:val="both"/>
        <w:rPr>
          <w:rFonts w:ascii="Arial" w:hAnsi="Arial" w:cs="Arial"/>
          <w:sz w:val="22"/>
          <w:szCs w:val="22"/>
        </w:rPr>
      </w:pPr>
    </w:p>
    <w:p w14:paraId="733A0C9B" w14:textId="4253C900" w:rsidR="0046335B" w:rsidRPr="00F20A17" w:rsidRDefault="0046335B" w:rsidP="00F20A17">
      <w:pPr>
        <w:spacing w:line="288" w:lineRule="auto"/>
        <w:jc w:val="both"/>
        <w:rPr>
          <w:rFonts w:ascii="Arial" w:hAnsi="Arial" w:cs="Arial"/>
          <w:sz w:val="22"/>
          <w:szCs w:val="22"/>
        </w:rPr>
      </w:pPr>
      <w:r w:rsidRPr="00F20A17">
        <w:rPr>
          <w:rFonts w:ascii="Arial" w:hAnsi="Arial" w:cs="Arial"/>
          <w:sz w:val="22"/>
          <w:szCs w:val="22"/>
        </w:rPr>
        <w:t>A continuación, se presenta la ubicación del Grupo de Contabilidad dentro de la estructura organizacional del MHCP:</w:t>
      </w:r>
    </w:p>
    <w:p w14:paraId="15028FC6" w14:textId="3E5EE3E4" w:rsidR="00753B20" w:rsidRPr="00290062" w:rsidRDefault="00666DC1" w:rsidP="00A606C2">
      <w:pPr>
        <w:jc w:val="both"/>
        <w:rPr>
          <w:rFonts w:ascii="Arial Narrow" w:hAnsi="Arial Narrow" w:cs="Arial"/>
          <w:sz w:val="22"/>
          <w:szCs w:val="22"/>
        </w:rPr>
      </w:pPr>
      <w:r>
        <w:rPr>
          <w:rFonts w:ascii="Arial" w:hAnsi="Arial" w:cs="Arial"/>
          <w:noProof/>
          <w:sz w:val="22"/>
          <w:szCs w:val="22"/>
          <w:lang w:val="es-CO" w:eastAsia="es-CO"/>
        </w:rPr>
        <w:drawing>
          <wp:inline distT="0" distB="0" distL="0" distR="0" wp14:anchorId="06DCFC99" wp14:editId="4E80AE4A">
            <wp:extent cx="5613400" cy="400490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4004905"/>
                    </a:xfrm>
                    <a:prstGeom prst="rect">
                      <a:avLst/>
                    </a:prstGeom>
                    <a:noFill/>
                  </pic:spPr>
                </pic:pic>
              </a:graphicData>
            </a:graphic>
          </wp:inline>
        </w:drawing>
      </w:r>
    </w:p>
    <w:p w14:paraId="439F41CA" w14:textId="77777777" w:rsidR="00666DC1" w:rsidRPr="00CD1A65" w:rsidRDefault="00666DC1" w:rsidP="00666DC1">
      <w:pPr>
        <w:spacing w:line="288" w:lineRule="auto"/>
        <w:rPr>
          <w:rFonts w:ascii="Arial" w:hAnsi="Arial" w:cs="Arial"/>
          <w:sz w:val="18"/>
          <w:szCs w:val="18"/>
        </w:rPr>
      </w:pPr>
      <w:r w:rsidRPr="00CD1A65">
        <w:rPr>
          <w:rFonts w:ascii="Arial" w:hAnsi="Arial" w:cs="Arial"/>
          <w:noProof/>
          <w:sz w:val="18"/>
          <w:szCs w:val="18"/>
          <w:lang w:val="es-CO" w:eastAsia="es-CO"/>
        </w:rPr>
        <w:t>* Creado mediante Resolución 2493 del 30 de julio de 2019</w:t>
      </w:r>
    </w:p>
    <w:p w14:paraId="605709B0" w14:textId="77777777" w:rsidR="0046335B" w:rsidRPr="00CD1A65" w:rsidRDefault="0046335B" w:rsidP="00CD1A65">
      <w:pPr>
        <w:rPr>
          <w:rFonts w:ascii="Arial" w:hAnsi="Arial" w:cs="Arial"/>
          <w:sz w:val="18"/>
          <w:szCs w:val="18"/>
        </w:rPr>
      </w:pPr>
      <w:r w:rsidRPr="00CD1A65">
        <w:rPr>
          <w:rFonts w:ascii="Arial" w:hAnsi="Arial" w:cs="Arial"/>
          <w:b/>
          <w:sz w:val="18"/>
          <w:szCs w:val="18"/>
        </w:rPr>
        <w:t>Fuente:</w:t>
      </w:r>
      <w:r w:rsidRPr="00CD1A65">
        <w:rPr>
          <w:rFonts w:ascii="Arial" w:hAnsi="Arial" w:cs="Arial"/>
          <w:sz w:val="18"/>
          <w:szCs w:val="18"/>
        </w:rPr>
        <w:t xml:space="preserve"> Grupo de Contabilidad</w:t>
      </w:r>
    </w:p>
    <w:p w14:paraId="061B8899" w14:textId="3EBC0B04" w:rsidR="0046335B" w:rsidRDefault="0046335B" w:rsidP="00A606C2">
      <w:pPr>
        <w:jc w:val="both"/>
        <w:rPr>
          <w:rFonts w:ascii="Arial Narrow" w:hAnsi="Arial Narrow" w:cs="Arial"/>
          <w:sz w:val="22"/>
          <w:szCs w:val="22"/>
        </w:rPr>
      </w:pPr>
    </w:p>
    <w:p w14:paraId="4EFF5B5D" w14:textId="77777777" w:rsidR="00DF709C" w:rsidRPr="00290062" w:rsidRDefault="00DF709C" w:rsidP="00A606C2">
      <w:pPr>
        <w:jc w:val="both"/>
        <w:rPr>
          <w:rFonts w:ascii="Arial Narrow" w:hAnsi="Arial Narrow" w:cs="Arial"/>
          <w:sz w:val="22"/>
          <w:szCs w:val="22"/>
        </w:rPr>
      </w:pPr>
    </w:p>
    <w:p w14:paraId="6953F905" w14:textId="77777777" w:rsidR="0046335B" w:rsidRPr="00B80246" w:rsidRDefault="0046335B" w:rsidP="00F20A17">
      <w:pPr>
        <w:tabs>
          <w:tab w:val="left" w:pos="2826"/>
        </w:tabs>
        <w:spacing w:line="288" w:lineRule="auto"/>
        <w:jc w:val="both"/>
        <w:rPr>
          <w:rFonts w:ascii="Arial" w:hAnsi="Arial" w:cs="Arial"/>
          <w:i/>
          <w:sz w:val="22"/>
          <w:szCs w:val="22"/>
        </w:rPr>
      </w:pPr>
      <w:r w:rsidRPr="00B80246">
        <w:rPr>
          <w:rFonts w:ascii="Arial" w:hAnsi="Arial" w:cs="Arial"/>
          <w:sz w:val="22"/>
          <w:szCs w:val="22"/>
        </w:rPr>
        <w:t xml:space="preserve">De otra parte, en cuanto al sistema de información que utiliza la entidad, el artículo 2.9.1.1.5 del Decreto 1068 del 26 de mayo de 2015, establece: </w:t>
      </w:r>
      <w:r w:rsidRPr="00B80246">
        <w:rPr>
          <w:rFonts w:ascii="Arial" w:hAnsi="Arial" w:cs="Arial"/>
          <w:i/>
          <w:sz w:val="22"/>
          <w:szCs w:val="22"/>
        </w:rPr>
        <w:t>“</w:t>
      </w:r>
      <w:r w:rsidRPr="00B80246">
        <w:rPr>
          <w:rFonts w:ascii="Arial" w:hAnsi="Arial" w:cs="Arial"/>
          <w:i/>
          <w:sz w:val="22"/>
          <w:szCs w:val="22"/>
          <w:lang w:val="es-CO" w:eastAsia="es-CO"/>
        </w:rPr>
        <w:t xml:space="preserve">Obligatoriedad de utilización del Sistema. </w:t>
      </w:r>
      <w:r w:rsidRPr="00B80246">
        <w:rPr>
          <w:rFonts w:ascii="Arial" w:hAnsi="Arial" w:cs="Arial"/>
          <w:i/>
          <w:sz w:val="22"/>
          <w:szCs w:val="22"/>
          <w:u w:val="single"/>
          <w:lang w:val="es-CO" w:eastAsia="es-CO"/>
        </w:rPr>
        <w:t>Las entidades y órganos ejecutores del Presupuesto General de la Nación</w:t>
      </w:r>
      <w:r w:rsidRPr="00B80246">
        <w:rPr>
          <w:rFonts w:ascii="Arial" w:hAnsi="Arial" w:cs="Arial"/>
          <w:i/>
          <w:sz w:val="22"/>
          <w:szCs w:val="22"/>
          <w:lang w:val="es-CO" w:eastAsia="es-CO"/>
        </w:rPr>
        <w:t xml:space="preserve">, las Direcciones Generales del Presupuesto Público Nacional y de Crédito Público y Tesoro Nacional del Ministerio de Hacienda y Crédito Público y la Contaduría General de la Nación, o quienes hagan sus veces, </w:t>
      </w:r>
      <w:r w:rsidRPr="00B80246">
        <w:rPr>
          <w:rFonts w:ascii="Arial" w:hAnsi="Arial" w:cs="Arial"/>
          <w:i/>
          <w:sz w:val="22"/>
          <w:szCs w:val="22"/>
          <w:u w:val="single"/>
          <w:lang w:val="es-CO" w:eastAsia="es-CO"/>
        </w:rPr>
        <w:t>deberán efectuar y registrar en el SIIF Nación las operaciones y la información asociada con su área de negocio</w:t>
      </w:r>
      <w:r w:rsidRPr="00B80246">
        <w:rPr>
          <w:rFonts w:ascii="Arial" w:hAnsi="Arial" w:cs="Arial"/>
          <w:i/>
          <w:sz w:val="22"/>
          <w:szCs w:val="22"/>
          <w:lang w:val="es-CO" w:eastAsia="es-CO"/>
        </w:rPr>
        <w:t xml:space="preserve">, </w:t>
      </w:r>
      <w:r w:rsidRPr="00B80246">
        <w:rPr>
          <w:rFonts w:ascii="Arial" w:hAnsi="Arial" w:cs="Arial"/>
          <w:i/>
          <w:sz w:val="22"/>
          <w:szCs w:val="22"/>
          <w:lang w:eastAsia="es-CO"/>
        </w:rPr>
        <w:t xml:space="preserve">(…)” </w:t>
      </w:r>
      <w:r w:rsidRPr="00B80246">
        <w:rPr>
          <w:rFonts w:ascii="Arial" w:hAnsi="Arial" w:cs="Arial"/>
          <w:sz w:val="22"/>
          <w:szCs w:val="22"/>
          <w:lang w:eastAsia="es-CO"/>
        </w:rPr>
        <w:t xml:space="preserve">Subrayado fuera de texto. </w:t>
      </w:r>
      <w:r w:rsidRPr="00B80246">
        <w:rPr>
          <w:rFonts w:ascii="Arial" w:hAnsi="Arial" w:cs="Arial"/>
          <w:i/>
          <w:sz w:val="22"/>
          <w:szCs w:val="22"/>
        </w:rPr>
        <w:t xml:space="preserve"> </w:t>
      </w:r>
    </w:p>
    <w:p w14:paraId="558531CC" w14:textId="77777777" w:rsidR="0046335B" w:rsidRPr="00B80246" w:rsidRDefault="0046335B" w:rsidP="00F20A17">
      <w:pPr>
        <w:autoSpaceDE w:val="0"/>
        <w:autoSpaceDN w:val="0"/>
        <w:adjustRightInd w:val="0"/>
        <w:spacing w:line="288" w:lineRule="auto"/>
        <w:rPr>
          <w:rFonts w:ascii="Arial" w:hAnsi="Arial" w:cs="Arial"/>
          <w:sz w:val="22"/>
          <w:szCs w:val="22"/>
          <w:lang w:val="es-CO" w:eastAsia="es-CO"/>
        </w:rPr>
      </w:pPr>
    </w:p>
    <w:p w14:paraId="71D4380C" w14:textId="77777777"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lang w:val="es-CO" w:eastAsia="es-CO"/>
        </w:rPr>
        <w:t xml:space="preserve">El sistema al que se refiere el Decreto 1068 es el Sistema Integrado de Información Financiera (SIIF) Nación, el cual se define como </w:t>
      </w:r>
      <w:r w:rsidRPr="00B80246">
        <w:rPr>
          <w:rFonts w:ascii="Arial" w:hAnsi="Arial" w:cs="Arial"/>
          <w:i/>
          <w:sz w:val="22"/>
          <w:szCs w:val="22"/>
          <w:lang w:val="es-CO" w:eastAsia="es-CO"/>
        </w:rPr>
        <w:t>“un sistema que coordina, integra, centraliza y estandariza la gestión financiera pública nacional, con el fin de propiciar una mayor eficiencia y seguridad en el uso de los recursos del Presupuesto General de la Nación y de brindar información oportuna y confiable”</w:t>
      </w:r>
      <w:r w:rsidRPr="00B80246">
        <w:rPr>
          <w:rStyle w:val="Refdenotaalpie"/>
          <w:rFonts w:ascii="Arial" w:hAnsi="Arial" w:cs="Arial"/>
          <w:sz w:val="22"/>
          <w:szCs w:val="22"/>
          <w:lang w:val="es-CO" w:eastAsia="es-CO"/>
        </w:rPr>
        <w:footnoteReference w:id="2"/>
      </w:r>
      <w:r w:rsidRPr="00B80246">
        <w:rPr>
          <w:rFonts w:ascii="Arial" w:hAnsi="Arial" w:cs="Arial"/>
          <w:sz w:val="22"/>
          <w:szCs w:val="22"/>
          <w:lang w:val="es-CO" w:eastAsia="es-CO"/>
        </w:rPr>
        <w:t>.</w:t>
      </w:r>
    </w:p>
    <w:p w14:paraId="75771580" w14:textId="77777777" w:rsidR="0046335B" w:rsidRPr="00B80246" w:rsidRDefault="0046335B" w:rsidP="00F20A17">
      <w:pPr>
        <w:spacing w:line="288" w:lineRule="auto"/>
        <w:rPr>
          <w:rFonts w:ascii="Arial" w:hAnsi="Arial" w:cs="Arial"/>
          <w:sz w:val="22"/>
          <w:szCs w:val="22"/>
        </w:rPr>
      </w:pPr>
    </w:p>
    <w:p w14:paraId="7480B420" w14:textId="77777777"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Con relación al modelo de operación, el Ministerio de Hacienda y Crédito Público cuenta con un modelo que se basa en la gestión por procesos que integra a más de una dependencia. En tal sentido, dichas dependencias se relacionan con el proceso contable como proceso cliente, asumiendo el compromiso de suministrar la información contable que se requiera, en los tiempos y con las condiciones necesarias, que permitan que estos insumos sean canalizados y procesados adecuada y oportunamente.</w:t>
      </w:r>
    </w:p>
    <w:p w14:paraId="088B2DBC" w14:textId="77777777" w:rsidR="0046335B" w:rsidRPr="00B80246" w:rsidRDefault="0046335B" w:rsidP="00F20A17">
      <w:pPr>
        <w:spacing w:line="288" w:lineRule="auto"/>
        <w:jc w:val="both"/>
        <w:rPr>
          <w:rFonts w:ascii="Arial" w:hAnsi="Arial" w:cs="Arial"/>
          <w:sz w:val="22"/>
          <w:szCs w:val="22"/>
        </w:rPr>
      </w:pPr>
    </w:p>
    <w:p w14:paraId="5E662D62" w14:textId="3B25477C" w:rsidR="0046335B" w:rsidRPr="00B80246" w:rsidRDefault="00534056" w:rsidP="00F20A17">
      <w:pPr>
        <w:spacing w:line="288" w:lineRule="auto"/>
        <w:jc w:val="both"/>
        <w:rPr>
          <w:rFonts w:ascii="Arial" w:hAnsi="Arial" w:cs="Arial"/>
          <w:i/>
          <w:sz w:val="22"/>
          <w:szCs w:val="22"/>
        </w:rPr>
      </w:pPr>
      <w:r>
        <w:rPr>
          <w:rFonts w:ascii="Arial" w:hAnsi="Arial" w:cs="Arial"/>
          <w:sz w:val="22"/>
          <w:szCs w:val="22"/>
        </w:rPr>
        <w:t xml:space="preserve">El proceso al cual se encuentra vinculada el área contable del Ministerio de Hacienda y Crédito Público – Gestión General es el </w:t>
      </w:r>
      <w:r w:rsidRPr="00CD1A65">
        <w:rPr>
          <w:rFonts w:ascii="Arial" w:hAnsi="Arial" w:cs="Arial"/>
          <w:i/>
          <w:sz w:val="22"/>
          <w:szCs w:val="22"/>
        </w:rPr>
        <w:t>APO.3. Apoyo a la Gestión Financiera</w:t>
      </w:r>
      <w:r>
        <w:rPr>
          <w:rFonts w:ascii="Arial" w:hAnsi="Arial" w:cs="Arial"/>
          <w:sz w:val="22"/>
          <w:szCs w:val="22"/>
        </w:rPr>
        <w:t xml:space="preserve">, y </w:t>
      </w:r>
      <w:r w:rsidR="00E852B1">
        <w:rPr>
          <w:rFonts w:ascii="Arial" w:hAnsi="Arial" w:cs="Arial"/>
          <w:sz w:val="22"/>
          <w:szCs w:val="22"/>
        </w:rPr>
        <w:t xml:space="preserve">el detalle para el desarrollo de </w:t>
      </w:r>
      <w:r>
        <w:rPr>
          <w:rFonts w:ascii="Arial" w:hAnsi="Arial" w:cs="Arial"/>
          <w:sz w:val="22"/>
          <w:szCs w:val="22"/>
        </w:rPr>
        <w:t>l</w:t>
      </w:r>
      <w:r w:rsidR="0046335B" w:rsidRPr="00B80246">
        <w:rPr>
          <w:rFonts w:ascii="Arial" w:hAnsi="Arial" w:cs="Arial"/>
          <w:sz w:val="22"/>
          <w:szCs w:val="22"/>
        </w:rPr>
        <w:t>as actividades contables se</w:t>
      </w:r>
      <w:r w:rsidR="005625D3">
        <w:rPr>
          <w:rFonts w:ascii="Arial" w:hAnsi="Arial" w:cs="Arial"/>
          <w:sz w:val="22"/>
          <w:szCs w:val="22"/>
        </w:rPr>
        <w:t xml:space="preserve"> contempla </w:t>
      </w:r>
      <w:r w:rsidR="0046335B" w:rsidRPr="00B80246">
        <w:rPr>
          <w:rFonts w:ascii="Arial" w:hAnsi="Arial" w:cs="Arial"/>
          <w:sz w:val="22"/>
          <w:szCs w:val="22"/>
        </w:rPr>
        <w:t xml:space="preserve">en el procedimiento denominado </w:t>
      </w:r>
      <w:r w:rsidR="0046335B" w:rsidRPr="00B80246">
        <w:rPr>
          <w:rFonts w:ascii="Arial" w:hAnsi="Arial" w:cs="Arial"/>
          <w:i/>
          <w:sz w:val="22"/>
          <w:szCs w:val="22"/>
        </w:rPr>
        <w:t>“Apo.3Pro5. Preparación, presentación y publicación de los estados financieros del Ministerio de Hacienda y Crédito Público”</w:t>
      </w:r>
    </w:p>
    <w:p w14:paraId="10E7E943" w14:textId="77777777" w:rsidR="0046335B" w:rsidRPr="00B80246" w:rsidRDefault="0046335B" w:rsidP="00F20A17">
      <w:pPr>
        <w:spacing w:line="288" w:lineRule="auto"/>
        <w:jc w:val="both"/>
        <w:rPr>
          <w:rFonts w:ascii="Arial" w:hAnsi="Arial" w:cs="Arial"/>
          <w:sz w:val="22"/>
          <w:szCs w:val="22"/>
        </w:rPr>
      </w:pPr>
    </w:p>
    <w:p w14:paraId="2BEC6EF5" w14:textId="77777777"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 xml:space="preserve">La información que se produce en las diferentes dependencias será la base para reconocer contablemente los hechos </w:t>
      </w:r>
      <w:r w:rsidR="008455E5" w:rsidRPr="00B80246">
        <w:rPr>
          <w:rFonts w:ascii="Arial" w:hAnsi="Arial" w:cs="Arial"/>
          <w:sz w:val="22"/>
          <w:szCs w:val="22"/>
        </w:rPr>
        <w:t xml:space="preserve">y operaciones </w:t>
      </w:r>
      <w:r w:rsidRPr="00B80246">
        <w:rPr>
          <w:rFonts w:ascii="Arial" w:hAnsi="Arial" w:cs="Arial"/>
          <w:sz w:val="22"/>
          <w:szCs w:val="22"/>
        </w:rPr>
        <w:t xml:space="preserve">realizados por el MHCP. </w:t>
      </w:r>
    </w:p>
    <w:p w14:paraId="286968A6" w14:textId="77777777" w:rsidR="0046335B" w:rsidRPr="00B80246" w:rsidRDefault="0046335B" w:rsidP="00F20A17">
      <w:pPr>
        <w:spacing w:line="288" w:lineRule="auto"/>
        <w:jc w:val="both"/>
        <w:rPr>
          <w:rFonts w:ascii="Arial" w:hAnsi="Arial" w:cs="Arial"/>
          <w:sz w:val="22"/>
          <w:szCs w:val="22"/>
        </w:rPr>
      </w:pPr>
    </w:p>
    <w:p w14:paraId="6EE07242" w14:textId="77777777"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 xml:space="preserve">Los principales proveedores de la información susceptible de reconocimiento y revelación en los estados financieros de la entidad contable pública Ministerio de Hacienda, están contemplados en el documento denominado </w:t>
      </w:r>
      <w:r w:rsidRPr="00B80246">
        <w:rPr>
          <w:rFonts w:ascii="Arial" w:hAnsi="Arial" w:cs="Arial"/>
          <w:i/>
          <w:sz w:val="22"/>
          <w:szCs w:val="22"/>
        </w:rPr>
        <w:t xml:space="preserve">“Caracterización del proceso </w:t>
      </w:r>
      <w:proofErr w:type="spellStart"/>
      <w:r w:rsidRPr="00B80246">
        <w:rPr>
          <w:rFonts w:ascii="Arial" w:hAnsi="Arial" w:cs="Arial"/>
          <w:i/>
          <w:sz w:val="22"/>
          <w:szCs w:val="22"/>
        </w:rPr>
        <w:t>Apo</w:t>
      </w:r>
      <w:proofErr w:type="spellEnd"/>
      <w:r w:rsidRPr="00B80246">
        <w:rPr>
          <w:rFonts w:ascii="Arial" w:hAnsi="Arial" w:cs="Arial"/>
          <w:i/>
          <w:sz w:val="22"/>
          <w:szCs w:val="22"/>
        </w:rPr>
        <w:t>. 3 Apoyo a la Gestión Financiera”</w:t>
      </w:r>
      <w:r w:rsidRPr="00B80246">
        <w:rPr>
          <w:rFonts w:ascii="Arial" w:hAnsi="Arial" w:cs="Arial"/>
          <w:sz w:val="22"/>
          <w:szCs w:val="22"/>
        </w:rPr>
        <w:t>. Las nuevas operaciones que se realicen y que aún no hayan sido contempladas, deben ser informadas al Grupo de Contabilidad de la Subdirección Financiera, por el área responsable del trámite, para los respectivos registros y actualización en el proceso.</w:t>
      </w:r>
    </w:p>
    <w:p w14:paraId="338C3288" w14:textId="77777777" w:rsidR="0046335B" w:rsidRPr="00B80246" w:rsidRDefault="0046335B" w:rsidP="00F20A17">
      <w:pPr>
        <w:spacing w:line="288" w:lineRule="auto"/>
        <w:jc w:val="both"/>
        <w:rPr>
          <w:rFonts w:ascii="Arial" w:hAnsi="Arial" w:cs="Arial"/>
          <w:sz w:val="22"/>
          <w:szCs w:val="22"/>
        </w:rPr>
      </w:pPr>
    </w:p>
    <w:p w14:paraId="247B5C42" w14:textId="45E33ED4"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Es conveniente precisar que las bases de datos administradas por las diferentes áreas de la entidad</w:t>
      </w:r>
      <w:r w:rsidR="00540CE1">
        <w:rPr>
          <w:rFonts w:ascii="Arial" w:hAnsi="Arial" w:cs="Arial"/>
          <w:sz w:val="22"/>
          <w:szCs w:val="22"/>
        </w:rPr>
        <w:t>,</w:t>
      </w:r>
      <w:r w:rsidRPr="00B80246">
        <w:rPr>
          <w:rFonts w:ascii="Arial" w:hAnsi="Arial" w:cs="Arial"/>
          <w:sz w:val="22"/>
          <w:szCs w:val="22"/>
        </w:rPr>
        <w:t xml:space="preserve"> y que suministran información soporte para elaborar registros en la contabilidad  son sistemas complementarios que se asimilan a los auxiliares de las cuentas y subcuentas que conforman los estados </w:t>
      </w:r>
      <w:r w:rsidR="00D3153C">
        <w:rPr>
          <w:rFonts w:ascii="Arial" w:hAnsi="Arial" w:cs="Arial"/>
          <w:sz w:val="22"/>
          <w:szCs w:val="22"/>
        </w:rPr>
        <w:t>financieros</w:t>
      </w:r>
      <w:r w:rsidRPr="00B80246">
        <w:rPr>
          <w:rFonts w:ascii="Arial" w:hAnsi="Arial" w:cs="Arial"/>
          <w:sz w:val="22"/>
          <w:szCs w:val="22"/>
        </w:rPr>
        <w:t>, por lo que, en aras de la eficiencia operativa del MHCP, no podrá exigirse que la totalidad de la información que administre una determinada dependencia también se encuentre registrada en la contabilidad, sin perjuicio de que la misma se encuentre registrada en la contabilidad de forma agregada.</w:t>
      </w:r>
    </w:p>
    <w:p w14:paraId="2B8F0314" w14:textId="77777777" w:rsidR="0046335B" w:rsidRPr="00B80246" w:rsidRDefault="0046335B" w:rsidP="00F20A17">
      <w:pPr>
        <w:spacing w:line="288" w:lineRule="auto"/>
        <w:rPr>
          <w:rFonts w:ascii="Arial" w:hAnsi="Arial" w:cs="Arial"/>
          <w:sz w:val="22"/>
          <w:szCs w:val="22"/>
        </w:rPr>
      </w:pPr>
    </w:p>
    <w:p w14:paraId="2875EB76" w14:textId="77777777" w:rsidR="0046335B" w:rsidRDefault="0046335B" w:rsidP="00343ECE">
      <w:pPr>
        <w:pStyle w:val="Ttulo2"/>
        <w:numPr>
          <w:ilvl w:val="1"/>
          <w:numId w:val="12"/>
        </w:numPr>
        <w:spacing w:line="288" w:lineRule="auto"/>
        <w:rPr>
          <w:rFonts w:ascii="Arial" w:hAnsi="Arial" w:cs="Arial"/>
          <w:sz w:val="22"/>
          <w:szCs w:val="22"/>
        </w:rPr>
      </w:pPr>
      <w:bookmarkStart w:id="106" w:name="_Toc397936260"/>
      <w:bookmarkStart w:id="107" w:name="_Toc459991359"/>
      <w:bookmarkStart w:id="108" w:name="_Toc490726959"/>
      <w:bookmarkStart w:id="109" w:name="_Toc490727907"/>
      <w:bookmarkStart w:id="110" w:name="_Toc59377825"/>
      <w:r w:rsidRPr="00B80246">
        <w:rPr>
          <w:rFonts w:ascii="Arial" w:hAnsi="Arial" w:cs="Arial"/>
          <w:sz w:val="22"/>
          <w:szCs w:val="22"/>
        </w:rPr>
        <w:lastRenderedPageBreak/>
        <w:t>REGISTRO DE INFORMACIÓN EN EL SISTEMA INTEGRADO DE INFORMACIÓN FINANCIERA- SIIF NACIÓN</w:t>
      </w:r>
      <w:bookmarkEnd w:id="106"/>
      <w:bookmarkEnd w:id="107"/>
      <w:bookmarkEnd w:id="108"/>
      <w:bookmarkEnd w:id="109"/>
      <w:r w:rsidR="00D869C1">
        <w:rPr>
          <w:rStyle w:val="Refdenotaalpie"/>
          <w:rFonts w:ascii="Arial" w:hAnsi="Arial" w:cs="Arial"/>
          <w:sz w:val="22"/>
          <w:szCs w:val="22"/>
        </w:rPr>
        <w:footnoteReference w:id="3"/>
      </w:r>
      <w:bookmarkEnd w:id="110"/>
    </w:p>
    <w:p w14:paraId="4ED6D580" w14:textId="77777777" w:rsidR="00493DD6" w:rsidRPr="00493DD6" w:rsidRDefault="00493DD6" w:rsidP="00F20A17">
      <w:pPr>
        <w:spacing w:line="288" w:lineRule="auto"/>
        <w:ind w:left="405"/>
      </w:pPr>
    </w:p>
    <w:p w14:paraId="22C95BDB" w14:textId="423022CE"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 xml:space="preserve">El Ministerio de Hacienda y Crédito Público es una entidad contable pública, perteneciente a la Administración Central del Estado Colombiano, sujeta al ámbito de aplicación del sistema Integrado de Información Financiera </w:t>
      </w:r>
      <w:r w:rsidR="00D3153C">
        <w:rPr>
          <w:rFonts w:ascii="Arial" w:hAnsi="Arial" w:cs="Arial"/>
          <w:sz w:val="22"/>
          <w:szCs w:val="22"/>
        </w:rPr>
        <w:t>(</w:t>
      </w:r>
      <w:r w:rsidRPr="00B80246">
        <w:rPr>
          <w:rFonts w:ascii="Arial" w:hAnsi="Arial" w:cs="Arial"/>
          <w:sz w:val="22"/>
          <w:szCs w:val="22"/>
        </w:rPr>
        <w:t>SIIF</w:t>
      </w:r>
      <w:r w:rsidR="00D3153C">
        <w:rPr>
          <w:rFonts w:ascii="Arial" w:hAnsi="Arial" w:cs="Arial"/>
          <w:sz w:val="22"/>
          <w:szCs w:val="22"/>
        </w:rPr>
        <w:t xml:space="preserve"> Nación)</w:t>
      </w:r>
      <w:r w:rsidRPr="00B80246">
        <w:rPr>
          <w:rFonts w:ascii="Arial" w:hAnsi="Arial" w:cs="Arial"/>
          <w:sz w:val="22"/>
          <w:szCs w:val="22"/>
        </w:rPr>
        <w:t>, cuya organización desde el punt</w:t>
      </w:r>
      <w:r w:rsidR="00D349E6">
        <w:rPr>
          <w:rFonts w:ascii="Arial" w:hAnsi="Arial" w:cs="Arial"/>
          <w:sz w:val="22"/>
          <w:szCs w:val="22"/>
        </w:rPr>
        <w:t xml:space="preserve">o de vista contable está condicionada </w:t>
      </w:r>
      <w:r w:rsidRPr="00B80246">
        <w:rPr>
          <w:rFonts w:ascii="Arial" w:hAnsi="Arial" w:cs="Arial"/>
          <w:sz w:val="22"/>
          <w:szCs w:val="22"/>
        </w:rPr>
        <w:t xml:space="preserve">a lo definido por la Contaduría General de la Nación. </w:t>
      </w:r>
    </w:p>
    <w:p w14:paraId="21D5978F" w14:textId="77777777" w:rsidR="0046335B" w:rsidRPr="00B80246" w:rsidRDefault="0046335B" w:rsidP="00F20A17">
      <w:pPr>
        <w:spacing w:line="288" w:lineRule="auto"/>
        <w:jc w:val="both"/>
        <w:rPr>
          <w:rFonts w:ascii="Arial" w:hAnsi="Arial" w:cs="Arial"/>
          <w:sz w:val="22"/>
          <w:szCs w:val="22"/>
        </w:rPr>
      </w:pPr>
    </w:p>
    <w:p w14:paraId="1A2408DE" w14:textId="64B44595" w:rsidR="0046335B" w:rsidRPr="00CD1A65" w:rsidRDefault="00D3153C" w:rsidP="00F20A17">
      <w:pPr>
        <w:spacing w:line="288" w:lineRule="auto"/>
        <w:jc w:val="both"/>
        <w:rPr>
          <w:rFonts w:ascii="Arial" w:hAnsi="Arial" w:cs="Arial"/>
          <w:i/>
          <w:sz w:val="22"/>
          <w:szCs w:val="22"/>
        </w:rPr>
      </w:pPr>
      <w:r>
        <w:rPr>
          <w:rFonts w:ascii="Arial" w:hAnsi="Arial" w:cs="Arial"/>
          <w:sz w:val="22"/>
          <w:szCs w:val="22"/>
        </w:rPr>
        <w:t>En este sentido, e</w:t>
      </w:r>
      <w:r w:rsidR="0046335B" w:rsidRPr="00B80246">
        <w:rPr>
          <w:rFonts w:ascii="Arial" w:hAnsi="Arial" w:cs="Arial"/>
          <w:sz w:val="22"/>
          <w:szCs w:val="22"/>
        </w:rPr>
        <w:t>l 11 de diciembre de 201</w:t>
      </w:r>
      <w:r w:rsidR="005835D4">
        <w:rPr>
          <w:rFonts w:ascii="Arial" w:hAnsi="Arial" w:cs="Arial"/>
          <w:sz w:val="22"/>
          <w:szCs w:val="22"/>
        </w:rPr>
        <w:t>2</w:t>
      </w:r>
      <w:r>
        <w:rPr>
          <w:rFonts w:ascii="Arial" w:hAnsi="Arial" w:cs="Arial"/>
          <w:sz w:val="22"/>
          <w:szCs w:val="22"/>
        </w:rPr>
        <w:t xml:space="preserve"> la Contaduría General de la Nación </w:t>
      </w:r>
      <w:r w:rsidR="0046335B" w:rsidRPr="00B80246">
        <w:rPr>
          <w:rFonts w:ascii="Arial" w:hAnsi="Arial" w:cs="Arial"/>
          <w:sz w:val="22"/>
          <w:szCs w:val="22"/>
        </w:rPr>
        <w:t xml:space="preserve">expidió el Instructivo N°19 mediante el cual </w:t>
      </w:r>
      <w:r w:rsidR="004B3159" w:rsidRPr="00B80246">
        <w:rPr>
          <w:rFonts w:ascii="Arial" w:hAnsi="Arial" w:cs="Arial"/>
          <w:sz w:val="22"/>
          <w:szCs w:val="22"/>
        </w:rPr>
        <w:t xml:space="preserve">se señalan </w:t>
      </w:r>
      <w:r w:rsidR="0046335B" w:rsidRPr="00B80246">
        <w:rPr>
          <w:rFonts w:ascii="Arial" w:hAnsi="Arial" w:cs="Arial"/>
          <w:sz w:val="22"/>
          <w:szCs w:val="22"/>
        </w:rPr>
        <w:t xml:space="preserve">las </w:t>
      </w:r>
      <w:r w:rsidR="004B3159" w:rsidRPr="00CD1A65">
        <w:rPr>
          <w:rFonts w:ascii="Arial" w:hAnsi="Arial" w:cs="Arial"/>
          <w:i/>
          <w:sz w:val="22"/>
          <w:szCs w:val="22"/>
        </w:rPr>
        <w:t>“I</w:t>
      </w:r>
      <w:r w:rsidR="0046335B" w:rsidRPr="00CD1A65">
        <w:rPr>
          <w:rFonts w:ascii="Arial" w:hAnsi="Arial" w:cs="Arial"/>
          <w:i/>
          <w:sz w:val="22"/>
          <w:szCs w:val="22"/>
        </w:rPr>
        <w:t>nstrucciones relacionadas con la organización contable en el SIIF Nación, que incluye la estructura del catálogo contable, el reconocimiento y revelación de los hechos, operaciones y transacciones registradas en el sistema, los libros principales, auxiliares y reportes</w:t>
      </w:r>
      <w:r w:rsidR="004B3159" w:rsidRPr="00CD1A65">
        <w:rPr>
          <w:rFonts w:ascii="Arial" w:hAnsi="Arial" w:cs="Arial"/>
          <w:i/>
          <w:sz w:val="22"/>
          <w:szCs w:val="22"/>
        </w:rPr>
        <w:t>”</w:t>
      </w:r>
      <w:r w:rsidR="0046335B" w:rsidRPr="00CD1A65">
        <w:rPr>
          <w:rFonts w:ascii="Arial" w:hAnsi="Arial" w:cs="Arial"/>
          <w:i/>
          <w:sz w:val="22"/>
          <w:szCs w:val="22"/>
        </w:rPr>
        <w:t xml:space="preserve">. </w:t>
      </w:r>
    </w:p>
    <w:p w14:paraId="7374DDCC" w14:textId="77777777" w:rsidR="0046335B" w:rsidRPr="00B80246" w:rsidRDefault="0046335B" w:rsidP="00F20A17">
      <w:pPr>
        <w:spacing w:line="288" w:lineRule="auto"/>
        <w:jc w:val="both"/>
        <w:rPr>
          <w:rFonts w:ascii="Arial" w:hAnsi="Arial" w:cs="Arial"/>
          <w:sz w:val="22"/>
          <w:szCs w:val="22"/>
        </w:rPr>
      </w:pPr>
    </w:p>
    <w:p w14:paraId="656DE14E" w14:textId="54619369"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Por lo anterior, para el reconocimiento</w:t>
      </w:r>
      <w:r w:rsidR="00F057B7">
        <w:rPr>
          <w:rFonts w:ascii="Arial" w:hAnsi="Arial" w:cs="Arial"/>
          <w:sz w:val="22"/>
          <w:szCs w:val="22"/>
        </w:rPr>
        <w:t>, medición</w:t>
      </w:r>
      <w:r w:rsidR="000E1912">
        <w:rPr>
          <w:rFonts w:ascii="Arial" w:hAnsi="Arial" w:cs="Arial"/>
          <w:sz w:val="22"/>
          <w:szCs w:val="22"/>
        </w:rPr>
        <w:t xml:space="preserve">, </w:t>
      </w:r>
      <w:r w:rsidRPr="00B80246">
        <w:rPr>
          <w:rFonts w:ascii="Arial" w:hAnsi="Arial" w:cs="Arial"/>
          <w:sz w:val="22"/>
          <w:szCs w:val="22"/>
        </w:rPr>
        <w:t xml:space="preserve">revelación </w:t>
      </w:r>
      <w:r w:rsidR="000E1912">
        <w:rPr>
          <w:rFonts w:ascii="Arial" w:hAnsi="Arial" w:cs="Arial"/>
          <w:sz w:val="22"/>
          <w:szCs w:val="22"/>
        </w:rPr>
        <w:t xml:space="preserve">y presentación </w:t>
      </w:r>
      <w:r w:rsidRPr="00B80246">
        <w:rPr>
          <w:rFonts w:ascii="Arial" w:hAnsi="Arial" w:cs="Arial"/>
          <w:sz w:val="22"/>
          <w:szCs w:val="22"/>
        </w:rPr>
        <w:t xml:space="preserve">de sus operaciones, el MHCP cumple con lo definido por la CGN en el referido Instructivo. A </w:t>
      </w:r>
      <w:proofErr w:type="gramStart"/>
      <w:r w:rsidRPr="00B80246">
        <w:rPr>
          <w:rFonts w:ascii="Arial" w:hAnsi="Arial" w:cs="Arial"/>
          <w:sz w:val="22"/>
          <w:szCs w:val="22"/>
        </w:rPr>
        <w:t>continuación</w:t>
      </w:r>
      <w:proofErr w:type="gramEnd"/>
      <w:r w:rsidRPr="00B80246">
        <w:rPr>
          <w:rFonts w:ascii="Arial" w:hAnsi="Arial" w:cs="Arial"/>
          <w:sz w:val="22"/>
          <w:szCs w:val="22"/>
        </w:rPr>
        <w:t xml:space="preserve"> se presentan los principales temas desarrollados en dicho documento</w:t>
      </w:r>
      <w:r w:rsidRPr="00B80246">
        <w:rPr>
          <w:rStyle w:val="Refdenotaalpie"/>
          <w:rFonts w:ascii="Arial" w:hAnsi="Arial" w:cs="Arial"/>
          <w:sz w:val="22"/>
          <w:szCs w:val="22"/>
        </w:rPr>
        <w:footnoteReference w:id="4"/>
      </w:r>
      <w:r w:rsidR="00F057B7">
        <w:rPr>
          <w:rFonts w:ascii="Arial" w:hAnsi="Arial" w:cs="Arial"/>
          <w:sz w:val="22"/>
          <w:szCs w:val="22"/>
        </w:rPr>
        <w:t>, actualizados conforme a los criterios señalados en el Régimen de Contabilidad Pública, expedido por la Contaduría General de la Nación en desarrollo del proceso de convergencia hacia normas internacionales</w:t>
      </w:r>
      <w:r w:rsidRPr="00B80246">
        <w:rPr>
          <w:rFonts w:ascii="Arial" w:hAnsi="Arial" w:cs="Arial"/>
          <w:sz w:val="22"/>
          <w:szCs w:val="22"/>
        </w:rPr>
        <w:t>:</w:t>
      </w:r>
    </w:p>
    <w:p w14:paraId="49D128BC" w14:textId="77777777" w:rsidR="00DF1706" w:rsidRPr="00B80246" w:rsidRDefault="00DF1706" w:rsidP="00F20A17">
      <w:pPr>
        <w:spacing w:line="288" w:lineRule="auto"/>
        <w:jc w:val="both"/>
        <w:rPr>
          <w:rFonts w:ascii="Arial" w:hAnsi="Arial" w:cs="Arial"/>
          <w:b/>
          <w:sz w:val="22"/>
          <w:szCs w:val="22"/>
        </w:rPr>
      </w:pPr>
    </w:p>
    <w:p w14:paraId="78147DF3" w14:textId="77777777" w:rsidR="0046335B" w:rsidRDefault="0046335B" w:rsidP="00343ECE">
      <w:pPr>
        <w:pStyle w:val="Ttulo3"/>
        <w:numPr>
          <w:ilvl w:val="2"/>
          <w:numId w:val="15"/>
        </w:numPr>
        <w:spacing w:line="288" w:lineRule="auto"/>
        <w:rPr>
          <w:rFonts w:ascii="Arial" w:hAnsi="Arial" w:cs="Arial"/>
          <w:b/>
          <w:sz w:val="22"/>
          <w:szCs w:val="22"/>
        </w:rPr>
      </w:pPr>
      <w:bookmarkStart w:id="111" w:name="_Toc397936261"/>
      <w:bookmarkStart w:id="112" w:name="_Toc459991360"/>
      <w:bookmarkStart w:id="113" w:name="_Toc490726960"/>
      <w:bookmarkStart w:id="114" w:name="_Toc490727908"/>
      <w:bookmarkStart w:id="115" w:name="_Toc59377826"/>
      <w:r w:rsidRPr="00B80246">
        <w:rPr>
          <w:rFonts w:ascii="Arial" w:hAnsi="Arial" w:cs="Arial"/>
          <w:b/>
          <w:sz w:val="22"/>
          <w:szCs w:val="22"/>
        </w:rPr>
        <w:t>Organización contable en el sistema</w:t>
      </w:r>
      <w:bookmarkEnd w:id="111"/>
      <w:bookmarkEnd w:id="112"/>
      <w:bookmarkEnd w:id="113"/>
      <w:bookmarkEnd w:id="114"/>
      <w:bookmarkEnd w:id="115"/>
    </w:p>
    <w:p w14:paraId="4530C252" w14:textId="77777777" w:rsidR="0046335B" w:rsidRPr="00B80246" w:rsidRDefault="0046335B" w:rsidP="00F20A17">
      <w:pPr>
        <w:tabs>
          <w:tab w:val="left" w:pos="284"/>
        </w:tabs>
        <w:spacing w:line="288" w:lineRule="auto"/>
        <w:ind w:left="142"/>
        <w:jc w:val="both"/>
        <w:rPr>
          <w:rFonts w:ascii="Arial" w:hAnsi="Arial" w:cs="Arial"/>
          <w:b/>
          <w:sz w:val="22"/>
          <w:szCs w:val="22"/>
        </w:rPr>
      </w:pPr>
    </w:p>
    <w:p w14:paraId="7A9BA51E" w14:textId="494F02BE" w:rsidR="00C33F67" w:rsidRDefault="0071495A" w:rsidP="00F20A17">
      <w:pPr>
        <w:spacing w:line="288" w:lineRule="auto"/>
        <w:jc w:val="both"/>
        <w:rPr>
          <w:rFonts w:ascii="Arial" w:hAnsi="Arial" w:cs="Arial"/>
          <w:sz w:val="22"/>
          <w:szCs w:val="22"/>
        </w:rPr>
      </w:pPr>
      <w:r>
        <w:rPr>
          <w:rFonts w:ascii="Arial" w:hAnsi="Arial" w:cs="Arial"/>
          <w:sz w:val="22"/>
          <w:szCs w:val="22"/>
        </w:rPr>
        <w:t>P</w:t>
      </w:r>
      <w:r w:rsidRPr="00B80246">
        <w:rPr>
          <w:rFonts w:ascii="Arial" w:hAnsi="Arial" w:cs="Arial"/>
          <w:sz w:val="22"/>
          <w:szCs w:val="22"/>
        </w:rPr>
        <w:t xml:space="preserve">ara efectos del Sistema Nacional de Contabilidad Pública </w:t>
      </w:r>
      <w:r>
        <w:rPr>
          <w:rFonts w:ascii="Arial" w:hAnsi="Arial" w:cs="Arial"/>
          <w:sz w:val="22"/>
          <w:szCs w:val="22"/>
        </w:rPr>
        <w:t>(</w:t>
      </w:r>
      <w:r w:rsidRPr="00B80246">
        <w:rPr>
          <w:rFonts w:ascii="Arial" w:hAnsi="Arial" w:cs="Arial"/>
          <w:sz w:val="22"/>
          <w:szCs w:val="22"/>
        </w:rPr>
        <w:t>SNCP</w:t>
      </w:r>
      <w:r>
        <w:rPr>
          <w:rFonts w:ascii="Arial" w:hAnsi="Arial" w:cs="Arial"/>
          <w:sz w:val="22"/>
          <w:szCs w:val="22"/>
        </w:rPr>
        <w:t>)</w:t>
      </w:r>
      <w:r w:rsidRPr="00B80246">
        <w:rPr>
          <w:rFonts w:ascii="Arial" w:hAnsi="Arial" w:cs="Arial"/>
          <w:sz w:val="22"/>
          <w:szCs w:val="22"/>
        </w:rPr>
        <w:t xml:space="preserve"> en Colombia</w:t>
      </w:r>
      <w:r>
        <w:rPr>
          <w:rFonts w:ascii="Arial" w:hAnsi="Arial" w:cs="Arial"/>
          <w:sz w:val="22"/>
          <w:szCs w:val="22"/>
        </w:rPr>
        <w:t>, el</w:t>
      </w:r>
      <w:r w:rsidR="0046335B" w:rsidRPr="00B80246">
        <w:rPr>
          <w:rFonts w:ascii="Arial" w:hAnsi="Arial" w:cs="Arial"/>
          <w:sz w:val="22"/>
          <w:szCs w:val="22"/>
        </w:rPr>
        <w:t xml:space="preserve"> </w:t>
      </w:r>
      <w:r w:rsidR="0059020A" w:rsidRPr="0059020A">
        <w:rPr>
          <w:rFonts w:ascii="Arial" w:hAnsi="Arial" w:cs="Arial"/>
          <w:sz w:val="22"/>
          <w:szCs w:val="22"/>
        </w:rPr>
        <w:t xml:space="preserve">Referente Teórico y Metodológico de la Regulación Contable Pública, del </w:t>
      </w:r>
      <w:r w:rsidR="0046335B" w:rsidRPr="0059020A">
        <w:rPr>
          <w:rFonts w:ascii="Arial" w:hAnsi="Arial" w:cs="Arial"/>
          <w:sz w:val="22"/>
          <w:szCs w:val="22"/>
        </w:rPr>
        <w:t>Ré</w:t>
      </w:r>
      <w:r w:rsidR="00C33F67" w:rsidRPr="0059020A">
        <w:rPr>
          <w:rFonts w:ascii="Arial" w:hAnsi="Arial" w:cs="Arial"/>
          <w:sz w:val="22"/>
          <w:szCs w:val="22"/>
        </w:rPr>
        <w:t>gimen</w:t>
      </w:r>
      <w:r w:rsidR="00C33F67">
        <w:rPr>
          <w:rFonts w:ascii="Arial" w:hAnsi="Arial" w:cs="Arial"/>
          <w:sz w:val="22"/>
          <w:szCs w:val="22"/>
        </w:rPr>
        <w:t xml:space="preserve"> de Contabilidad Pública (</w:t>
      </w:r>
      <w:r w:rsidR="0046335B" w:rsidRPr="00B80246">
        <w:rPr>
          <w:rFonts w:ascii="Arial" w:hAnsi="Arial" w:cs="Arial"/>
          <w:sz w:val="22"/>
          <w:szCs w:val="22"/>
        </w:rPr>
        <w:t>RPC</w:t>
      </w:r>
      <w:r w:rsidR="00C33F67">
        <w:rPr>
          <w:rFonts w:ascii="Arial" w:hAnsi="Arial" w:cs="Arial"/>
          <w:sz w:val="22"/>
          <w:szCs w:val="22"/>
        </w:rPr>
        <w:t>)</w:t>
      </w:r>
      <w:r w:rsidR="0046335B" w:rsidRPr="00B80246">
        <w:rPr>
          <w:rFonts w:ascii="Arial" w:hAnsi="Arial" w:cs="Arial"/>
          <w:sz w:val="22"/>
          <w:szCs w:val="22"/>
        </w:rPr>
        <w:t xml:space="preserve">, establece que la entidad contable pública </w:t>
      </w:r>
      <w:r w:rsidR="009028B1">
        <w:rPr>
          <w:rFonts w:ascii="Arial" w:hAnsi="Arial" w:cs="Arial"/>
          <w:sz w:val="22"/>
          <w:szCs w:val="22"/>
        </w:rPr>
        <w:t>(E</w:t>
      </w:r>
      <w:r w:rsidR="0046335B" w:rsidRPr="00B80246">
        <w:rPr>
          <w:rFonts w:ascii="Arial" w:hAnsi="Arial" w:cs="Arial"/>
          <w:sz w:val="22"/>
          <w:szCs w:val="22"/>
        </w:rPr>
        <w:t>CP</w:t>
      </w:r>
      <w:r w:rsidR="009028B1">
        <w:rPr>
          <w:rFonts w:ascii="Arial" w:hAnsi="Arial" w:cs="Arial"/>
          <w:sz w:val="22"/>
          <w:szCs w:val="22"/>
        </w:rPr>
        <w:t>) es</w:t>
      </w:r>
      <w:r w:rsidR="00C33F67">
        <w:rPr>
          <w:rFonts w:ascii="Arial" w:hAnsi="Arial" w:cs="Arial"/>
          <w:sz w:val="22"/>
          <w:szCs w:val="22"/>
        </w:rPr>
        <w:t>:</w:t>
      </w:r>
    </w:p>
    <w:p w14:paraId="401A6E3A" w14:textId="77777777" w:rsidR="00C33F67" w:rsidRPr="003C666A" w:rsidRDefault="00C33F67" w:rsidP="00F20A17">
      <w:pPr>
        <w:spacing w:line="288" w:lineRule="auto"/>
        <w:jc w:val="both"/>
        <w:rPr>
          <w:rFonts w:ascii="Arial" w:hAnsi="Arial" w:cs="Arial"/>
          <w:i/>
          <w:iCs/>
          <w:sz w:val="22"/>
          <w:szCs w:val="22"/>
        </w:rPr>
      </w:pPr>
    </w:p>
    <w:p w14:paraId="51038A80" w14:textId="77777777" w:rsidR="0059020A" w:rsidRPr="0059020A" w:rsidRDefault="00C33F67" w:rsidP="003C666A">
      <w:pPr>
        <w:spacing w:line="288" w:lineRule="auto"/>
        <w:ind w:left="284" w:right="51"/>
        <w:jc w:val="both"/>
        <w:rPr>
          <w:rFonts w:ascii="Arial" w:hAnsi="Arial" w:cs="Arial"/>
          <w:i/>
          <w:sz w:val="22"/>
          <w:szCs w:val="22"/>
        </w:rPr>
      </w:pPr>
      <w:r w:rsidRPr="003C666A">
        <w:rPr>
          <w:rFonts w:ascii="Arial" w:hAnsi="Arial" w:cs="Arial"/>
          <w:i/>
          <w:iCs/>
          <w:sz w:val="22"/>
          <w:szCs w:val="22"/>
        </w:rPr>
        <w:t>“</w:t>
      </w:r>
      <w:r w:rsidR="0059020A" w:rsidRPr="003C666A">
        <w:rPr>
          <w:rFonts w:ascii="Arial" w:hAnsi="Arial" w:cs="Arial"/>
          <w:i/>
          <w:iCs/>
          <w:sz w:val="22"/>
          <w:szCs w:val="22"/>
        </w:rPr>
        <w:t xml:space="preserve">La unidad mínima productora de información que se caracteriza por ser una unidad jurídica, administrativa o económica que: a) desarrolla funciones de cometido estatal, b) controla recursos públicos, c) debe realizar una gestión eficiente de los recursos públicos que controla, d) está sujeta a diversas formas de control y e) está obligada a rendir cuentas sobre el uso de los recursos y el mantenimiento del patrimonio público. En consecuencia, la entidad contable pública debe desarrollar el proceso contable y </w:t>
      </w:r>
      <w:r w:rsidR="0059020A" w:rsidRPr="003C666A">
        <w:rPr>
          <w:rFonts w:ascii="Arial" w:hAnsi="Arial" w:cs="Arial"/>
          <w:i/>
          <w:iCs/>
          <w:sz w:val="22"/>
          <w:szCs w:val="22"/>
        </w:rPr>
        <w:lastRenderedPageBreak/>
        <w:t>producir estados, informes y reportes contables con base en las normas que expida el Contador General de la Nación”.</w:t>
      </w:r>
    </w:p>
    <w:p w14:paraId="0FE52BC4" w14:textId="77777777" w:rsidR="0059020A" w:rsidRDefault="0059020A" w:rsidP="00F20A17">
      <w:pPr>
        <w:spacing w:line="288" w:lineRule="auto"/>
        <w:jc w:val="both"/>
        <w:rPr>
          <w:rFonts w:ascii="Arial" w:hAnsi="Arial" w:cs="Arial"/>
          <w:i/>
          <w:sz w:val="22"/>
          <w:szCs w:val="22"/>
        </w:rPr>
      </w:pPr>
    </w:p>
    <w:p w14:paraId="65CCBAD1" w14:textId="414E23C8" w:rsidR="0046335B" w:rsidRPr="00B80246" w:rsidRDefault="0046335B" w:rsidP="00F20A17">
      <w:pPr>
        <w:spacing w:line="288" w:lineRule="auto"/>
        <w:jc w:val="both"/>
        <w:rPr>
          <w:rFonts w:ascii="Arial" w:hAnsi="Arial" w:cs="Arial"/>
          <w:sz w:val="22"/>
          <w:szCs w:val="22"/>
        </w:rPr>
      </w:pPr>
      <w:r w:rsidRPr="00B80246">
        <w:rPr>
          <w:rFonts w:ascii="Arial" w:hAnsi="Arial" w:cs="Arial"/>
          <w:sz w:val="22"/>
          <w:szCs w:val="22"/>
        </w:rPr>
        <w:t>La identificación de la ECP se realiza con el código institucional, que corresponde al número de nueve (9) dígitos asignado por la Contaduría General de la Nación para identificar una entidad contable pública en el Sistema Consolidador de Hacienda –CHIP. Este número se denomina código de consolidación</w:t>
      </w:r>
      <w:r w:rsidRPr="00B80246">
        <w:rPr>
          <w:rStyle w:val="Refdenotaalpie"/>
          <w:rFonts w:ascii="Arial" w:hAnsi="Arial" w:cs="Arial"/>
          <w:sz w:val="22"/>
          <w:szCs w:val="22"/>
        </w:rPr>
        <w:footnoteReference w:id="5"/>
      </w:r>
      <w:r w:rsidRPr="00B80246">
        <w:rPr>
          <w:rFonts w:ascii="Arial" w:hAnsi="Arial" w:cs="Arial"/>
          <w:sz w:val="22"/>
          <w:szCs w:val="22"/>
        </w:rPr>
        <w:t xml:space="preserve">. </w:t>
      </w:r>
    </w:p>
    <w:p w14:paraId="7A27E21A" w14:textId="77777777" w:rsidR="0046335B" w:rsidRPr="00B80246" w:rsidRDefault="0046335B" w:rsidP="00F20A17">
      <w:pPr>
        <w:spacing w:line="288" w:lineRule="auto"/>
        <w:jc w:val="both"/>
        <w:rPr>
          <w:rFonts w:ascii="Arial" w:hAnsi="Arial" w:cs="Arial"/>
          <w:sz w:val="22"/>
          <w:szCs w:val="22"/>
        </w:rPr>
      </w:pPr>
    </w:p>
    <w:p w14:paraId="6719FB26" w14:textId="1B605408" w:rsidR="0046335B" w:rsidRDefault="0046335B" w:rsidP="00F20A17">
      <w:pPr>
        <w:spacing w:line="288" w:lineRule="auto"/>
        <w:jc w:val="both"/>
        <w:rPr>
          <w:rFonts w:ascii="Arial" w:hAnsi="Arial" w:cs="Arial"/>
          <w:sz w:val="22"/>
          <w:szCs w:val="22"/>
        </w:rPr>
      </w:pPr>
      <w:r w:rsidRPr="00B80246">
        <w:rPr>
          <w:rFonts w:ascii="Arial" w:hAnsi="Arial" w:cs="Arial"/>
          <w:sz w:val="22"/>
          <w:szCs w:val="22"/>
        </w:rPr>
        <w:t xml:space="preserve">Al realizar la homologación de la clasificación de entidades, de conformidad con la estructura contable y la presupuestal, se identifica que una ECP corresponde a una o varias Unidades Ejecutoras de Presupuesto, así: </w:t>
      </w:r>
    </w:p>
    <w:p w14:paraId="5984692F" w14:textId="63F53CC8" w:rsidR="00535F6C" w:rsidRDefault="00535F6C" w:rsidP="00F20A17">
      <w:pPr>
        <w:spacing w:line="288" w:lineRule="auto"/>
        <w:jc w:val="both"/>
        <w:rPr>
          <w:rFonts w:ascii="Arial" w:hAnsi="Arial" w:cs="Arial"/>
          <w:sz w:val="22"/>
          <w:szCs w:val="22"/>
        </w:rPr>
      </w:pPr>
    </w:p>
    <w:tbl>
      <w:tblPr>
        <w:tblStyle w:val="Tablaconcuadrcula4-nfasis5"/>
        <w:tblW w:w="8784" w:type="dxa"/>
        <w:tblLook w:val="04A0" w:firstRow="1" w:lastRow="0" w:firstColumn="1" w:lastColumn="0" w:noHBand="0" w:noVBand="1"/>
      </w:tblPr>
      <w:tblGrid>
        <w:gridCol w:w="986"/>
        <w:gridCol w:w="741"/>
        <w:gridCol w:w="4010"/>
        <w:gridCol w:w="1319"/>
        <w:gridCol w:w="1728"/>
      </w:tblGrid>
      <w:tr w:rsidR="00535F6C" w:rsidRPr="00C8163E" w14:paraId="37F97364" w14:textId="77777777" w:rsidTr="00AE31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7" w:type="dxa"/>
            <w:gridSpan w:val="3"/>
            <w:tcBorders>
              <w:bottom w:val="single" w:sz="4" w:space="0" w:color="3366CC"/>
            </w:tcBorders>
            <w:shd w:val="clear" w:color="auto" w:fill="3366CC"/>
            <w:vAlign w:val="center"/>
            <w:hideMark/>
          </w:tcPr>
          <w:p w14:paraId="54F716ED" w14:textId="77777777" w:rsidR="00535F6C" w:rsidRPr="00AE3131" w:rsidRDefault="00535F6C" w:rsidP="00535F6C">
            <w:pPr>
              <w:jc w:val="center"/>
              <w:rPr>
                <w:rFonts w:ascii="Arial" w:hAnsi="Arial" w:cs="Arial"/>
                <w:sz w:val="16"/>
                <w:szCs w:val="16"/>
                <w:lang w:val="es-CO" w:eastAsia="es-CO"/>
              </w:rPr>
            </w:pPr>
            <w:r w:rsidRPr="00AE3131">
              <w:rPr>
                <w:rFonts w:ascii="Arial" w:hAnsi="Arial" w:cs="Arial"/>
                <w:sz w:val="16"/>
                <w:szCs w:val="16"/>
                <w:lang w:val="es-CO" w:eastAsia="es-CO"/>
              </w:rPr>
              <w:t>SIIF</w:t>
            </w:r>
          </w:p>
        </w:tc>
        <w:tc>
          <w:tcPr>
            <w:tcW w:w="3047" w:type="dxa"/>
            <w:gridSpan w:val="2"/>
            <w:tcBorders>
              <w:bottom w:val="single" w:sz="4" w:space="0" w:color="3366CC"/>
            </w:tcBorders>
            <w:shd w:val="clear" w:color="auto" w:fill="3366CC"/>
            <w:vAlign w:val="center"/>
            <w:hideMark/>
          </w:tcPr>
          <w:p w14:paraId="26377111" w14:textId="77777777" w:rsidR="00535F6C" w:rsidRPr="00AE3131" w:rsidRDefault="00535F6C" w:rsidP="00535F6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eastAsia="es-CO"/>
              </w:rPr>
            </w:pPr>
            <w:r w:rsidRPr="00AE3131">
              <w:rPr>
                <w:rFonts w:ascii="Arial" w:hAnsi="Arial" w:cs="Arial"/>
                <w:sz w:val="16"/>
                <w:szCs w:val="16"/>
                <w:lang w:val="es-CO" w:eastAsia="es-CO"/>
              </w:rPr>
              <w:t xml:space="preserve">CGN </w:t>
            </w:r>
          </w:p>
        </w:tc>
      </w:tr>
      <w:tr w:rsidR="00C8163E" w:rsidRPr="00C8163E" w14:paraId="1DFD4EB5" w14:textId="77777777" w:rsidTr="00C8163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3366CC"/>
            <w:vAlign w:val="center"/>
            <w:hideMark/>
          </w:tcPr>
          <w:p w14:paraId="77CC917A" w14:textId="77777777" w:rsidR="00535F6C" w:rsidRPr="00AE3131" w:rsidRDefault="00535F6C" w:rsidP="00535F6C">
            <w:pPr>
              <w:jc w:val="center"/>
              <w:rPr>
                <w:rFonts w:ascii="Arial" w:hAnsi="Arial" w:cs="Arial"/>
                <w:color w:val="FFFFFF" w:themeColor="background1"/>
                <w:sz w:val="16"/>
                <w:szCs w:val="16"/>
                <w:lang w:val="es-CO" w:eastAsia="es-CO"/>
              </w:rPr>
            </w:pPr>
            <w:r w:rsidRPr="00AE3131">
              <w:rPr>
                <w:rFonts w:ascii="Arial" w:hAnsi="Arial" w:cs="Arial"/>
                <w:color w:val="FFFFFF" w:themeColor="background1"/>
                <w:sz w:val="16"/>
                <w:szCs w:val="16"/>
                <w:lang w:val="es-CO" w:eastAsia="es-CO"/>
              </w:rPr>
              <w:t>Posición Unidad</w:t>
            </w:r>
          </w:p>
        </w:tc>
        <w:tc>
          <w:tcPr>
            <w:tcW w:w="741" w:type="dxa"/>
            <w:tcBorders>
              <w:top w:val="single" w:sz="4" w:space="0" w:color="3366CC"/>
              <w:left w:val="single" w:sz="4" w:space="0" w:color="3366CC"/>
              <w:bottom w:val="single" w:sz="4" w:space="0" w:color="3366CC"/>
              <w:right w:val="single" w:sz="4" w:space="0" w:color="3366CC"/>
            </w:tcBorders>
            <w:shd w:val="clear" w:color="auto" w:fill="3366CC"/>
            <w:vAlign w:val="center"/>
            <w:hideMark/>
          </w:tcPr>
          <w:p w14:paraId="7DF5E077" w14:textId="77777777" w:rsidR="00535F6C" w:rsidRPr="00AE3131" w:rsidRDefault="00535F6C" w:rsidP="00535F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szCs w:val="16"/>
                <w:lang w:val="es-CO" w:eastAsia="es-CO"/>
              </w:rPr>
            </w:pPr>
            <w:r w:rsidRPr="00AE3131">
              <w:rPr>
                <w:rFonts w:ascii="Arial" w:hAnsi="Arial" w:cs="Arial"/>
                <w:b/>
                <w:bCs/>
                <w:color w:val="FFFFFF" w:themeColor="background1"/>
                <w:sz w:val="16"/>
                <w:szCs w:val="16"/>
                <w:lang w:val="es-CO" w:eastAsia="es-CO"/>
              </w:rPr>
              <w:t xml:space="preserve">Sub- unidad </w:t>
            </w:r>
          </w:p>
        </w:tc>
        <w:tc>
          <w:tcPr>
            <w:tcW w:w="4010" w:type="dxa"/>
            <w:tcBorders>
              <w:top w:val="single" w:sz="4" w:space="0" w:color="3366CC"/>
              <w:left w:val="single" w:sz="4" w:space="0" w:color="3366CC"/>
              <w:bottom w:val="single" w:sz="4" w:space="0" w:color="3366CC"/>
              <w:right w:val="single" w:sz="4" w:space="0" w:color="3366CC"/>
            </w:tcBorders>
            <w:shd w:val="clear" w:color="auto" w:fill="3366CC"/>
            <w:vAlign w:val="center"/>
            <w:hideMark/>
          </w:tcPr>
          <w:p w14:paraId="5CB12BD7" w14:textId="77777777" w:rsidR="00535F6C" w:rsidRPr="00AE3131" w:rsidRDefault="00535F6C" w:rsidP="00535F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szCs w:val="16"/>
                <w:lang w:val="es-CO" w:eastAsia="es-CO"/>
              </w:rPr>
            </w:pPr>
            <w:r w:rsidRPr="00AE3131">
              <w:rPr>
                <w:rFonts w:ascii="Arial" w:hAnsi="Arial" w:cs="Arial"/>
                <w:b/>
                <w:bCs/>
                <w:color w:val="FFFFFF" w:themeColor="background1"/>
                <w:sz w:val="16"/>
                <w:szCs w:val="16"/>
                <w:lang w:val="es-CO" w:eastAsia="es-CO"/>
              </w:rPr>
              <w:t xml:space="preserve">Descripción </w:t>
            </w:r>
          </w:p>
        </w:tc>
        <w:tc>
          <w:tcPr>
            <w:tcW w:w="1319" w:type="dxa"/>
            <w:tcBorders>
              <w:top w:val="single" w:sz="4" w:space="0" w:color="3366CC"/>
              <w:left w:val="single" w:sz="4" w:space="0" w:color="3366CC"/>
              <w:bottom w:val="single" w:sz="4" w:space="0" w:color="3366CC"/>
              <w:right w:val="single" w:sz="4" w:space="0" w:color="3366CC"/>
            </w:tcBorders>
            <w:shd w:val="clear" w:color="auto" w:fill="3366CC"/>
            <w:vAlign w:val="center"/>
            <w:hideMark/>
          </w:tcPr>
          <w:p w14:paraId="13EBC5A1" w14:textId="77777777" w:rsidR="00535F6C" w:rsidRPr="00AE3131" w:rsidRDefault="00535F6C" w:rsidP="00535F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szCs w:val="16"/>
                <w:lang w:val="es-CO" w:eastAsia="es-CO"/>
              </w:rPr>
            </w:pPr>
            <w:r w:rsidRPr="00AE3131">
              <w:rPr>
                <w:rFonts w:ascii="Arial" w:hAnsi="Arial" w:cs="Arial"/>
                <w:b/>
                <w:bCs/>
                <w:color w:val="FFFFFF" w:themeColor="background1"/>
                <w:sz w:val="16"/>
                <w:szCs w:val="16"/>
                <w:lang w:val="es-CO" w:eastAsia="es-CO"/>
              </w:rPr>
              <w:t xml:space="preserve">Código de Consolidación </w:t>
            </w:r>
          </w:p>
        </w:tc>
        <w:tc>
          <w:tcPr>
            <w:tcW w:w="1728" w:type="dxa"/>
            <w:tcBorders>
              <w:top w:val="single" w:sz="4" w:space="0" w:color="3366CC"/>
              <w:left w:val="single" w:sz="4" w:space="0" w:color="3366CC"/>
              <w:bottom w:val="single" w:sz="4" w:space="0" w:color="3366CC"/>
              <w:right w:val="single" w:sz="4" w:space="0" w:color="3366CC"/>
            </w:tcBorders>
            <w:shd w:val="clear" w:color="auto" w:fill="3366CC"/>
            <w:vAlign w:val="center"/>
            <w:hideMark/>
          </w:tcPr>
          <w:p w14:paraId="570961E4" w14:textId="77777777" w:rsidR="00535F6C" w:rsidRPr="00AE3131" w:rsidRDefault="00535F6C" w:rsidP="00535F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szCs w:val="16"/>
                <w:lang w:val="es-CO" w:eastAsia="es-CO"/>
              </w:rPr>
            </w:pPr>
            <w:r w:rsidRPr="00AE3131">
              <w:rPr>
                <w:rFonts w:ascii="Arial" w:hAnsi="Arial" w:cs="Arial"/>
                <w:b/>
                <w:bCs/>
                <w:color w:val="FFFFFF" w:themeColor="background1"/>
                <w:sz w:val="16"/>
                <w:szCs w:val="16"/>
                <w:lang w:val="es-CO" w:eastAsia="es-CO"/>
              </w:rPr>
              <w:t xml:space="preserve">Descripción </w:t>
            </w:r>
          </w:p>
        </w:tc>
      </w:tr>
      <w:tr w:rsidR="00C8163E" w:rsidRPr="00C8163E" w14:paraId="68DAFCD1" w14:textId="77777777" w:rsidTr="00C8163E">
        <w:trPr>
          <w:trHeight w:val="45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19C1384B" w14:textId="77777777" w:rsidR="00535F6C" w:rsidRPr="00C8163E" w:rsidRDefault="00535F6C"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01-01-01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2499541D" w14:textId="77777777" w:rsidR="00535F6C" w:rsidRPr="00C8163E" w:rsidRDefault="00535F6C"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293C9F39" w14:textId="77777777" w:rsidR="00535F6C" w:rsidRPr="00C8163E" w:rsidRDefault="00535F6C"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CONGRESO DE LA REPÚBLICA - SENADO DE LA REPÚBLICA - GESTIÓN GENERAL</w:t>
            </w:r>
          </w:p>
        </w:tc>
        <w:tc>
          <w:tcPr>
            <w:tcW w:w="1319"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15B51A83" w14:textId="77777777" w:rsidR="00535F6C" w:rsidRPr="00C8163E" w:rsidRDefault="00535F6C" w:rsidP="00535F6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14000000</w:t>
            </w:r>
          </w:p>
        </w:tc>
        <w:tc>
          <w:tcPr>
            <w:tcW w:w="1728"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5FC6CE08" w14:textId="77777777" w:rsidR="00535F6C" w:rsidRPr="00C8163E" w:rsidRDefault="00535F6C"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SENADO DE LA REPÚBLICA</w:t>
            </w:r>
          </w:p>
        </w:tc>
      </w:tr>
      <w:tr w:rsidR="00C8163E" w:rsidRPr="00C8163E" w14:paraId="12DE92CD" w14:textId="77777777" w:rsidTr="00AE313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3421DE0E" w14:textId="77777777" w:rsidR="00535F6C" w:rsidRPr="00C8163E" w:rsidRDefault="00535F6C"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01-01-02</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125089CB" w14:textId="77777777" w:rsidR="00535F6C" w:rsidRPr="00C8163E" w:rsidRDefault="00535F6C"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36C2E7E5" w14:textId="77777777" w:rsidR="00535F6C" w:rsidRPr="00C8163E" w:rsidRDefault="00535F6C"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CONGRESO DE LA REPÚBLICA - CÁMARA DE REPRESENTANTES - GESTIÓN GENERAL</w:t>
            </w:r>
          </w:p>
        </w:tc>
        <w:tc>
          <w:tcPr>
            <w:tcW w:w="1319"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6E470A0A" w14:textId="77777777" w:rsidR="00535F6C" w:rsidRPr="00C8163E" w:rsidRDefault="00535F6C" w:rsidP="00535F6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13900000</w:t>
            </w:r>
          </w:p>
        </w:tc>
        <w:tc>
          <w:tcPr>
            <w:tcW w:w="1728"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36591745" w14:textId="77777777" w:rsidR="00535F6C" w:rsidRPr="00C8163E" w:rsidRDefault="00535F6C"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 xml:space="preserve">CÁMARA DE REPRESENTANTES </w:t>
            </w:r>
          </w:p>
        </w:tc>
      </w:tr>
      <w:tr w:rsidR="00C8163E" w:rsidRPr="00C8163E" w14:paraId="11CDDA14" w14:textId="77777777" w:rsidTr="000A751E">
        <w:trPr>
          <w:trHeight w:val="90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7FB2890D" w14:textId="77777777" w:rsidR="00C8163E" w:rsidRPr="00C8163E" w:rsidRDefault="00C8163E"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02-01-01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7F40BBF8"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717809DC"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 xml:space="preserve">PRESIDENCIA DE LA REPÚBLICA - GESTIÓN GENERAL </w:t>
            </w:r>
          </w:p>
        </w:tc>
        <w:tc>
          <w:tcPr>
            <w:tcW w:w="1319" w:type="dxa"/>
            <w:vMerge w:val="restart"/>
            <w:tcBorders>
              <w:top w:val="single" w:sz="4" w:space="0" w:color="3366CC"/>
              <w:left w:val="single" w:sz="4" w:space="0" w:color="3366CC"/>
              <w:right w:val="single" w:sz="4" w:space="0" w:color="3366CC"/>
            </w:tcBorders>
            <w:shd w:val="clear" w:color="auto" w:fill="FFFFFF" w:themeFill="background1"/>
            <w:vAlign w:val="center"/>
            <w:hideMark/>
          </w:tcPr>
          <w:p w14:paraId="251F2500" w14:textId="77777777" w:rsidR="00C8163E" w:rsidRPr="00C8163E" w:rsidRDefault="00C8163E" w:rsidP="00535F6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10600000</w:t>
            </w:r>
          </w:p>
        </w:tc>
        <w:tc>
          <w:tcPr>
            <w:tcW w:w="1728" w:type="dxa"/>
            <w:vMerge w:val="restart"/>
            <w:tcBorders>
              <w:top w:val="single" w:sz="4" w:space="0" w:color="3366CC"/>
              <w:left w:val="single" w:sz="4" w:space="0" w:color="3366CC"/>
              <w:right w:val="single" w:sz="4" w:space="0" w:color="3366CC"/>
            </w:tcBorders>
            <w:shd w:val="clear" w:color="auto" w:fill="FFFFFF" w:themeFill="background1"/>
            <w:vAlign w:val="center"/>
            <w:hideMark/>
          </w:tcPr>
          <w:p w14:paraId="36DB3004"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DEPARTAMENTO ADMINISTRATIVO DE LA PRESIDENCIA DE LA REPÚBLICA</w:t>
            </w:r>
          </w:p>
        </w:tc>
      </w:tr>
      <w:tr w:rsidR="00C8163E" w:rsidRPr="00C8163E" w14:paraId="6899D792" w14:textId="77777777" w:rsidTr="000A7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2133F5D4" w14:textId="77777777" w:rsidR="00C8163E" w:rsidRPr="00C8163E" w:rsidRDefault="00C8163E"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02-01-01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616A8135"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-000</w:t>
            </w: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4DEBBB20"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DAPRE - GESTIÓN GENERAL</w:t>
            </w:r>
          </w:p>
        </w:tc>
        <w:tc>
          <w:tcPr>
            <w:tcW w:w="1319" w:type="dxa"/>
            <w:vMerge/>
            <w:tcBorders>
              <w:left w:val="single" w:sz="4" w:space="0" w:color="3366CC"/>
              <w:right w:val="single" w:sz="4" w:space="0" w:color="3366CC"/>
            </w:tcBorders>
            <w:shd w:val="clear" w:color="auto" w:fill="FFFFFF" w:themeFill="background1"/>
            <w:vAlign w:val="center"/>
            <w:hideMark/>
          </w:tcPr>
          <w:p w14:paraId="6776918A"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p>
        </w:tc>
        <w:tc>
          <w:tcPr>
            <w:tcW w:w="1728" w:type="dxa"/>
            <w:vMerge/>
            <w:tcBorders>
              <w:left w:val="single" w:sz="4" w:space="0" w:color="3366CC"/>
              <w:right w:val="single" w:sz="4" w:space="0" w:color="3366CC"/>
            </w:tcBorders>
            <w:shd w:val="clear" w:color="auto" w:fill="FFFFFF" w:themeFill="background1"/>
            <w:vAlign w:val="center"/>
            <w:hideMark/>
          </w:tcPr>
          <w:p w14:paraId="4ABA4FF2" w14:textId="77777777" w:rsidR="00C8163E" w:rsidRPr="00AE3131"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eastAsia="es-CO"/>
              </w:rPr>
            </w:pPr>
          </w:p>
        </w:tc>
      </w:tr>
      <w:tr w:rsidR="00C8163E" w:rsidRPr="00C8163E" w14:paraId="5D1A8926" w14:textId="77777777" w:rsidTr="000A751E">
        <w:trPr>
          <w:trHeight w:val="30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70EFE204" w14:textId="77777777" w:rsidR="00C8163E" w:rsidRPr="00C8163E" w:rsidRDefault="00C8163E"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02-01-01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3DBE9576"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-005</w:t>
            </w: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537899D2"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DAPRE - FONDO DE PAZ</w:t>
            </w:r>
          </w:p>
        </w:tc>
        <w:tc>
          <w:tcPr>
            <w:tcW w:w="1319" w:type="dxa"/>
            <w:vMerge/>
            <w:tcBorders>
              <w:left w:val="single" w:sz="4" w:space="0" w:color="3366CC"/>
              <w:right w:val="single" w:sz="4" w:space="0" w:color="3366CC"/>
            </w:tcBorders>
            <w:shd w:val="clear" w:color="auto" w:fill="FFFFFF" w:themeFill="background1"/>
            <w:vAlign w:val="center"/>
            <w:hideMark/>
          </w:tcPr>
          <w:p w14:paraId="54B1F1D8"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p>
        </w:tc>
        <w:tc>
          <w:tcPr>
            <w:tcW w:w="1728" w:type="dxa"/>
            <w:vMerge/>
            <w:tcBorders>
              <w:left w:val="single" w:sz="4" w:space="0" w:color="3366CC"/>
              <w:right w:val="single" w:sz="4" w:space="0" w:color="3366CC"/>
            </w:tcBorders>
            <w:shd w:val="clear" w:color="auto" w:fill="FFFFFF" w:themeFill="background1"/>
            <w:vAlign w:val="center"/>
            <w:hideMark/>
          </w:tcPr>
          <w:p w14:paraId="4997BC2B" w14:textId="77777777" w:rsidR="00C8163E" w:rsidRPr="00AE3131"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eastAsia="es-CO"/>
              </w:rPr>
            </w:pPr>
          </w:p>
        </w:tc>
      </w:tr>
      <w:tr w:rsidR="00C8163E" w:rsidRPr="00C8163E" w14:paraId="424E5545" w14:textId="77777777" w:rsidTr="000A7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5E0C543D" w14:textId="77777777" w:rsidR="00C8163E" w:rsidRPr="00C8163E" w:rsidRDefault="00C8163E"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02-01-01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1A089569"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-006</w:t>
            </w: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56588A2D"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DAPRE - A.C.R. COMUNIDAD EUROPEA</w:t>
            </w:r>
          </w:p>
        </w:tc>
        <w:tc>
          <w:tcPr>
            <w:tcW w:w="1319" w:type="dxa"/>
            <w:vMerge/>
            <w:tcBorders>
              <w:left w:val="single" w:sz="4" w:space="0" w:color="3366CC"/>
              <w:right w:val="single" w:sz="4" w:space="0" w:color="3366CC"/>
            </w:tcBorders>
            <w:shd w:val="clear" w:color="auto" w:fill="FFFFFF" w:themeFill="background1"/>
            <w:vAlign w:val="center"/>
            <w:hideMark/>
          </w:tcPr>
          <w:p w14:paraId="1DB9C08F" w14:textId="77777777" w:rsidR="00C8163E" w:rsidRPr="00C8163E"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p>
        </w:tc>
        <w:tc>
          <w:tcPr>
            <w:tcW w:w="1728" w:type="dxa"/>
            <w:vMerge/>
            <w:tcBorders>
              <w:left w:val="single" w:sz="4" w:space="0" w:color="3366CC"/>
              <w:right w:val="single" w:sz="4" w:space="0" w:color="3366CC"/>
            </w:tcBorders>
            <w:shd w:val="clear" w:color="auto" w:fill="FFFFFF" w:themeFill="background1"/>
            <w:vAlign w:val="center"/>
            <w:hideMark/>
          </w:tcPr>
          <w:p w14:paraId="7A1CEA1D" w14:textId="77777777" w:rsidR="00C8163E" w:rsidRPr="00AE3131" w:rsidRDefault="00C8163E" w:rsidP="00535F6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eastAsia="es-CO"/>
              </w:rPr>
            </w:pPr>
          </w:p>
        </w:tc>
      </w:tr>
      <w:tr w:rsidR="00C8163E" w:rsidRPr="00C8163E" w14:paraId="07462F3E" w14:textId="77777777" w:rsidTr="000A751E">
        <w:trPr>
          <w:trHeight w:val="300"/>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5229FFEC" w14:textId="77777777" w:rsidR="00C8163E" w:rsidRPr="00C8163E" w:rsidRDefault="00C8163E" w:rsidP="00535F6C">
            <w:pPr>
              <w:rPr>
                <w:rFonts w:ascii="Arial" w:hAnsi="Arial" w:cs="Arial"/>
                <w:color w:val="000000"/>
                <w:sz w:val="16"/>
                <w:szCs w:val="16"/>
                <w:lang w:val="es-CO" w:eastAsia="es-CO"/>
              </w:rPr>
            </w:pPr>
            <w:r w:rsidRPr="00C8163E">
              <w:rPr>
                <w:rFonts w:ascii="Arial" w:hAnsi="Arial" w:cs="Arial"/>
                <w:color w:val="000000"/>
                <w:sz w:val="16"/>
                <w:szCs w:val="16"/>
                <w:lang w:val="es-CO" w:eastAsia="es-CO"/>
              </w:rPr>
              <w:t>02-01-01</w:t>
            </w:r>
          </w:p>
        </w:tc>
        <w:tc>
          <w:tcPr>
            <w:tcW w:w="741"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304BE1FE"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-007</w:t>
            </w:r>
          </w:p>
        </w:tc>
        <w:tc>
          <w:tcPr>
            <w:tcW w:w="4010" w:type="dxa"/>
            <w:tcBorders>
              <w:top w:val="single" w:sz="4" w:space="0" w:color="3366CC"/>
              <w:left w:val="single" w:sz="4" w:space="0" w:color="3366CC"/>
              <w:bottom w:val="single" w:sz="4" w:space="0" w:color="3366CC"/>
              <w:right w:val="single" w:sz="4" w:space="0" w:color="3366CC"/>
            </w:tcBorders>
            <w:shd w:val="clear" w:color="auto" w:fill="FFFFFF" w:themeFill="background1"/>
            <w:vAlign w:val="center"/>
            <w:hideMark/>
          </w:tcPr>
          <w:p w14:paraId="6A299E45"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C8163E">
              <w:rPr>
                <w:rFonts w:ascii="Arial" w:hAnsi="Arial" w:cs="Arial"/>
                <w:color w:val="000000"/>
                <w:sz w:val="16"/>
                <w:szCs w:val="16"/>
                <w:lang w:val="es-CO" w:eastAsia="es-CO"/>
              </w:rPr>
              <w:t>DAPRE - A.C.R. COMUNIDAD EUROPEA</w:t>
            </w:r>
          </w:p>
        </w:tc>
        <w:tc>
          <w:tcPr>
            <w:tcW w:w="1319" w:type="dxa"/>
            <w:vMerge/>
            <w:tcBorders>
              <w:left w:val="single" w:sz="4" w:space="0" w:color="3366CC"/>
              <w:bottom w:val="single" w:sz="4" w:space="0" w:color="3366CC"/>
              <w:right w:val="single" w:sz="4" w:space="0" w:color="3366CC"/>
            </w:tcBorders>
            <w:shd w:val="clear" w:color="auto" w:fill="FFFFFF" w:themeFill="background1"/>
            <w:vAlign w:val="center"/>
            <w:hideMark/>
          </w:tcPr>
          <w:p w14:paraId="59A9A477" w14:textId="77777777" w:rsidR="00C8163E" w:rsidRPr="00C8163E"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p>
        </w:tc>
        <w:tc>
          <w:tcPr>
            <w:tcW w:w="1728" w:type="dxa"/>
            <w:vMerge/>
            <w:tcBorders>
              <w:left w:val="single" w:sz="4" w:space="0" w:color="3366CC"/>
              <w:bottom w:val="single" w:sz="4" w:space="0" w:color="3366CC"/>
              <w:right w:val="single" w:sz="4" w:space="0" w:color="3366CC"/>
            </w:tcBorders>
            <w:shd w:val="clear" w:color="auto" w:fill="FFFFFF" w:themeFill="background1"/>
            <w:vAlign w:val="center"/>
            <w:hideMark/>
          </w:tcPr>
          <w:p w14:paraId="5C175C8B" w14:textId="77777777" w:rsidR="00C8163E" w:rsidRPr="00AE3131" w:rsidRDefault="00C8163E" w:rsidP="00535F6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eastAsia="es-CO"/>
              </w:rPr>
            </w:pPr>
          </w:p>
        </w:tc>
      </w:tr>
    </w:tbl>
    <w:p w14:paraId="0FC96507" w14:textId="77777777" w:rsidR="0046335B" w:rsidRPr="00B80246" w:rsidRDefault="0046335B" w:rsidP="00A606C2">
      <w:pPr>
        <w:jc w:val="both"/>
        <w:rPr>
          <w:rFonts w:ascii="Arial" w:hAnsi="Arial" w:cs="Arial"/>
          <w:sz w:val="22"/>
          <w:szCs w:val="22"/>
        </w:rPr>
      </w:pPr>
    </w:p>
    <w:p w14:paraId="3C358673" w14:textId="77777777" w:rsidR="00C33F67" w:rsidRDefault="0046335B" w:rsidP="00EF3D59">
      <w:pPr>
        <w:spacing w:line="288" w:lineRule="auto"/>
        <w:jc w:val="both"/>
        <w:rPr>
          <w:rFonts w:ascii="Arial" w:hAnsi="Arial" w:cs="Arial"/>
          <w:sz w:val="22"/>
          <w:szCs w:val="22"/>
        </w:rPr>
      </w:pPr>
      <w:r w:rsidRPr="00B80246">
        <w:rPr>
          <w:rFonts w:ascii="Arial" w:hAnsi="Arial" w:cs="Arial"/>
          <w:sz w:val="22"/>
          <w:szCs w:val="22"/>
        </w:rPr>
        <w:t>El RCP define el proceso contable</w:t>
      </w:r>
      <w:r w:rsidR="00C33F67">
        <w:rPr>
          <w:rFonts w:ascii="Arial" w:hAnsi="Arial" w:cs="Arial"/>
          <w:sz w:val="22"/>
          <w:szCs w:val="22"/>
        </w:rPr>
        <w:t xml:space="preserve"> de la siguiente forma: </w:t>
      </w:r>
    </w:p>
    <w:p w14:paraId="6C73B980" w14:textId="77777777" w:rsidR="00C33F67" w:rsidRDefault="00C33F67" w:rsidP="00EF3D59">
      <w:pPr>
        <w:spacing w:line="288" w:lineRule="auto"/>
        <w:jc w:val="both"/>
        <w:rPr>
          <w:rFonts w:ascii="Arial" w:hAnsi="Arial" w:cs="Arial"/>
          <w:sz w:val="22"/>
          <w:szCs w:val="22"/>
        </w:rPr>
      </w:pPr>
    </w:p>
    <w:p w14:paraId="2EA04788" w14:textId="77777777" w:rsidR="00C33F67" w:rsidRPr="003C666A" w:rsidRDefault="00C33F67" w:rsidP="00EF3D59">
      <w:pPr>
        <w:spacing w:line="288" w:lineRule="auto"/>
        <w:ind w:left="284"/>
        <w:jc w:val="both"/>
        <w:rPr>
          <w:rFonts w:ascii="Arial" w:hAnsi="Arial" w:cs="Arial"/>
          <w:i/>
          <w:iCs/>
          <w:sz w:val="22"/>
          <w:szCs w:val="22"/>
        </w:rPr>
      </w:pPr>
      <w:r w:rsidRPr="003C666A">
        <w:rPr>
          <w:rFonts w:ascii="Arial" w:hAnsi="Arial" w:cs="Arial"/>
          <w:i/>
          <w:iCs/>
          <w:sz w:val="22"/>
          <w:szCs w:val="22"/>
        </w:rPr>
        <w:t xml:space="preserve">“El proceso contable es el conjunto ordenado de etapas, que tiene como propósito el registro de los hechos económicos conforme a los criterios de reconocimiento, medición y revelación establecidos en los respectivos marcos normativos, de tal manera que la información financiera que se genere atienda las características cualitativas definidas en los mismos. Un hecho económico es un suceso derivado de las decisiones de gestión de los recursos de la entidad, que da origen, modifica o extingue algún elemento de los estados financieros. </w:t>
      </w:r>
    </w:p>
    <w:p w14:paraId="55E4F2C3" w14:textId="77777777" w:rsidR="00C33F67" w:rsidRPr="003C666A" w:rsidRDefault="00C33F67" w:rsidP="00EF3D59">
      <w:pPr>
        <w:spacing w:line="288" w:lineRule="auto"/>
        <w:ind w:left="284"/>
        <w:jc w:val="both"/>
        <w:rPr>
          <w:rFonts w:ascii="Arial" w:hAnsi="Arial" w:cs="Arial"/>
          <w:i/>
          <w:iCs/>
          <w:sz w:val="22"/>
          <w:szCs w:val="22"/>
        </w:rPr>
      </w:pPr>
    </w:p>
    <w:p w14:paraId="4B42122F" w14:textId="77777777" w:rsidR="00C33F67" w:rsidRPr="003C666A" w:rsidRDefault="00C33F67" w:rsidP="00EF3D59">
      <w:pPr>
        <w:spacing w:line="288" w:lineRule="auto"/>
        <w:ind w:left="284"/>
        <w:jc w:val="both"/>
        <w:rPr>
          <w:rFonts w:ascii="Arial" w:hAnsi="Arial" w:cs="Arial"/>
          <w:i/>
          <w:iCs/>
          <w:sz w:val="22"/>
          <w:szCs w:val="22"/>
        </w:rPr>
      </w:pPr>
      <w:r w:rsidRPr="003C666A">
        <w:rPr>
          <w:rFonts w:ascii="Arial" w:hAnsi="Arial" w:cs="Arial"/>
          <w:i/>
          <w:iCs/>
          <w:sz w:val="22"/>
          <w:szCs w:val="22"/>
        </w:rPr>
        <w:lastRenderedPageBreak/>
        <w:t xml:space="preserve">En el proceso contable se capturan datos originados en los hechos económicos de manera cronológica haciendo uso de la partida doble y la base de devengo, convirtiéndolos en informes financieros útiles para los diferentes usuarios. </w:t>
      </w:r>
    </w:p>
    <w:p w14:paraId="40C06BC4" w14:textId="77777777" w:rsidR="00C33F67" w:rsidRPr="003C666A" w:rsidRDefault="00C33F67" w:rsidP="00EF3D59">
      <w:pPr>
        <w:spacing w:line="288" w:lineRule="auto"/>
        <w:ind w:left="284"/>
        <w:jc w:val="both"/>
        <w:rPr>
          <w:rFonts w:ascii="Arial" w:hAnsi="Arial" w:cs="Arial"/>
          <w:i/>
          <w:iCs/>
          <w:sz w:val="22"/>
          <w:szCs w:val="22"/>
        </w:rPr>
      </w:pPr>
    </w:p>
    <w:p w14:paraId="30F31E1D" w14:textId="77777777" w:rsidR="00C33F67" w:rsidRPr="003C666A" w:rsidRDefault="00C33F67" w:rsidP="00EF3D59">
      <w:pPr>
        <w:spacing w:line="288" w:lineRule="auto"/>
        <w:ind w:left="284"/>
        <w:jc w:val="both"/>
        <w:rPr>
          <w:rFonts w:ascii="Arial" w:hAnsi="Arial" w:cs="Arial"/>
          <w:i/>
          <w:iCs/>
          <w:sz w:val="22"/>
          <w:szCs w:val="22"/>
        </w:rPr>
      </w:pPr>
      <w:r w:rsidRPr="003C666A">
        <w:rPr>
          <w:rFonts w:ascii="Arial" w:hAnsi="Arial" w:cs="Arial"/>
          <w:i/>
          <w:iCs/>
          <w:sz w:val="22"/>
          <w:szCs w:val="22"/>
        </w:rPr>
        <w:t xml:space="preserve">El desarrollo del proceso contable implica la observancia del marco normativo, contenido en el Régimen de Contabilidad Pública, que le sea aplicable a la entidad. </w:t>
      </w:r>
    </w:p>
    <w:p w14:paraId="79D70530" w14:textId="77777777" w:rsidR="00C33F67" w:rsidRPr="003C666A" w:rsidRDefault="00C33F67" w:rsidP="00EF3D59">
      <w:pPr>
        <w:spacing w:line="288" w:lineRule="auto"/>
        <w:ind w:left="284"/>
        <w:jc w:val="both"/>
        <w:rPr>
          <w:rFonts w:ascii="Arial" w:hAnsi="Arial" w:cs="Arial"/>
          <w:i/>
          <w:iCs/>
          <w:sz w:val="22"/>
          <w:szCs w:val="22"/>
        </w:rPr>
      </w:pPr>
    </w:p>
    <w:p w14:paraId="48EF0DA7" w14:textId="77777777" w:rsidR="00C33F67" w:rsidRDefault="00C33F67" w:rsidP="00EF3D59">
      <w:pPr>
        <w:spacing w:line="288" w:lineRule="auto"/>
        <w:ind w:left="284"/>
        <w:jc w:val="both"/>
        <w:rPr>
          <w:rFonts w:ascii="Arial" w:hAnsi="Arial" w:cs="Arial"/>
          <w:sz w:val="22"/>
          <w:szCs w:val="22"/>
        </w:rPr>
      </w:pPr>
      <w:r w:rsidRPr="003C666A">
        <w:rPr>
          <w:rFonts w:ascii="Arial" w:hAnsi="Arial" w:cs="Arial"/>
          <w:i/>
          <w:iCs/>
          <w:sz w:val="22"/>
          <w:szCs w:val="22"/>
        </w:rPr>
        <w:t>La captura y procesamiento de los datos, así como la generación de informes financieros, se pueden llevar a cabo por medios electrónicos o manuales, empleando aplicativos informáticos, intercambio electrónico de datos (EDI), Internet y correo electrónico, para recibir, generar, enviar y comunicar información.”</w:t>
      </w:r>
    </w:p>
    <w:p w14:paraId="15EBAC64" w14:textId="77777777" w:rsidR="00C33F67" w:rsidRDefault="00C33F67" w:rsidP="00EF3D59">
      <w:pPr>
        <w:spacing w:line="288" w:lineRule="auto"/>
        <w:jc w:val="both"/>
        <w:rPr>
          <w:rFonts w:ascii="Arial" w:hAnsi="Arial" w:cs="Arial"/>
          <w:sz w:val="22"/>
          <w:szCs w:val="22"/>
        </w:rPr>
      </w:pPr>
    </w:p>
    <w:p w14:paraId="0D414150" w14:textId="77777777" w:rsidR="0046335B" w:rsidRPr="00B80246" w:rsidRDefault="0046335B" w:rsidP="00EF3D59">
      <w:pPr>
        <w:spacing w:line="288" w:lineRule="auto"/>
        <w:jc w:val="both"/>
        <w:rPr>
          <w:rFonts w:ascii="Arial" w:hAnsi="Arial" w:cs="Arial"/>
          <w:sz w:val="22"/>
          <w:szCs w:val="22"/>
          <w:lang w:val="es-MX"/>
        </w:rPr>
      </w:pPr>
      <w:r w:rsidRPr="00B80246">
        <w:rPr>
          <w:rFonts w:ascii="Arial" w:hAnsi="Arial" w:cs="Arial"/>
          <w:sz w:val="22"/>
          <w:szCs w:val="22"/>
          <w:lang w:val="es-MX"/>
        </w:rPr>
        <w:t xml:space="preserve">En consecuencia, los registros contables, libros principales y estados contables están definidos en el SIIF- Nación por ECP, lo anterior tiene incidencia en: </w:t>
      </w:r>
    </w:p>
    <w:p w14:paraId="1B734A65" w14:textId="77777777" w:rsidR="0046335B" w:rsidRPr="00B80246" w:rsidRDefault="0046335B" w:rsidP="00EF3D59">
      <w:pPr>
        <w:spacing w:line="288" w:lineRule="auto"/>
        <w:jc w:val="both"/>
        <w:rPr>
          <w:rFonts w:ascii="Arial" w:hAnsi="Arial" w:cs="Arial"/>
          <w:sz w:val="22"/>
          <w:szCs w:val="22"/>
          <w:lang w:val="es-MX"/>
        </w:rPr>
      </w:pPr>
    </w:p>
    <w:p w14:paraId="30F9BE3D" w14:textId="77777777" w:rsidR="00DC43EA" w:rsidRPr="00B80246" w:rsidRDefault="0046335B" w:rsidP="00343ECE">
      <w:pPr>
        <w:numPr>
          <w:ilvl w:val="0"/>
          <w:numId w:val="11"/>
        </w:numPr>
        <w:spacing w:line="288" w:lineRule="auto"/>
        <w:ind w:left="284" w:hanging="284"/>
        <w:jc w:val="both"/>
        <w:rPr>
          <w:rFonts w:ascii="Arial" w:hAnsi="Arial" w:cs="Arial"/>
          <w:sz w:val="22"/>
          <w:szCs w:val="22"/>
          <w:lang w:val="es-MX"/>
        </w:rPr>
      </w:pPr>
      <w:r w:rsidRPr="00B80246">
        <w:rPr>
          <w:rFonts w:ascii="Arial" w:hAnsi="Arial" w:cs="Arial"/>
          <w:sz w:val="22"/>
          <w:szCs w:val="22"/>
          <w:lang w:val="es-MX"/>
        </w:rPr>
        <w:t xml:space="preserve">Los registros contables que se </w:t>
      </w:r>
      <w:r w:rsidR="00501F03">
        <w:rPr>
          <w:rFonts w:ascii="Arial" w:hAnsi="Arial" w:cs="Arial"/>
          <w:sz w:val="22"/>
          <w:szCs w:val="22"/>
          <w:lang w:val="es-MX"/>
        </w:rPr>
        <w:t xml:space="preserve">elaboren </w:t>
      </w:r>
      <w:r w:rsidRPr="00B80246">
        <w:rPr>
          <w:rFonts w:ascii="Arial" w:hAnsi="Arial" w:cs="Arial"/>
          <w:sz w:val="22"/>
          <w:szCs w:val="22"/>
          <w:lang w:val="es-MX"/>
        </w:rPr>
        <w:t xml:space="preserve">entre unidades o subunidades dependientes del mismo código institucional, generan registros contables por partida doble al interior de la ECP y no en cada unidad o subunidad. </w:t>
      </w:r>
    </w:p>
    <w:p w14:paraId="7803F0D0" w14:textId="77777777" w:rsidR="00DC43EA" w:rsidRPr="00B80246" w:rsidRDefault="00DC43EA" w:rsidP="00EF3D59">
      <w:pPr>
        <w:spacing w:line="288" w:lineRule="auto"/>
        <w:ind w:left="284" w:hanging="284"/>
        <w:jc w:val="both"/>
        <w:rPr>
          <w:rFonts w:ascii="Arial" w:hAnsi="Arial" w:cs="Arial"/>
          <w:sz w:val="22"/>
          <w:szCs w:val="22"/>
          <w:lang w:val="es-MX"/>
        </w:rPr>
      </w:pPr>
    </w:p>
    <w:p w14:paraId="4A3A66C7" w14:textId="77777777" w:rsidR="00DC43EA" w:rsidRPr="00B80246" w:rsidRDefault="0046335B" w:rsidP="00343ECE">
      <w:pPr>
        <w:numPr>
          <w:ilvl w:val="0"/>
          <w:numId w:val="11"/>
        </w:numPr>
        <w:spacing w:line="288" w:lineRule="auto"/>
        <w:ind w:left="284" w:hanging="284"/>
        <w:jc w:val="both"/>
        <w:rPr>
          <w:rFonts w:ascii="Arial" w:hAnsi="Arial" w:cs="Arial"/>
          <w:sz w:val="22"/>
          <w:szCs w:val="22"/>
          <w:lang w:val="es-MX"/>
        </w:rPr>
      </w:pPr>
      <w:r w:rsidRPr="00B80246">
        <w:rPr>
          <w:rFonts w:ascii="Arial" w:hAnsi="Arial" w:cs="Arial"/>
          <w:sz w:val="22"/>
          <w:szCs w:val="22"/>
          <w:lang w:val="es-MX"/>
        </w:rPr>
        <w:t xml:space="preserve">Al nivel de auxiliar contable, se requiere la identificación de cada una de las unidades o subunidades, que conforman una ECP. Esta identificación corresponde al </w:t>
      </w:r>
      <w:r w:rsidRPr="003C666A">
        <w:rPr>
          <w:rFonts w:ascii="Arial" w:hAnsi="Arial" w:cs="Arial"/>
          <w:i/>
          <w:iCs/>
          <w:sz w:val="22"/>
          <w:szCs w:val="22"/>
          <w:lang w:val="es-MX"/>
        </w:rPr>
        <w:t>“Auxiliar PCI de conexión”</w:t>
      </w:r>
      <w:r w:rsidRPr="00B80246">
        <w:rPr>
          <w:rFonts w:ascii="Arial" w:hAnsi="Arial" w:cs="Arial"/>
          <w:sz w:val="22"/>
          <w:szCs w:val="22"/>
          <w:lang w:val="es-MX"/>
        </w:rPr>
        <w:t xml:space="preserve">. </w:t>
      </w:r>
    </w:p>
    <w:p w14:paraId="3D85CD04" w14:textId="77777777" w:rsidR="00DC43EA" w:rsidRPr="00B80246" w:rsidRDefault="00DC43EA" w:rsidP="00EF3D59">
      <w:pPr>
        <w:pStyle w:val="Prrafodelista"/>
        <w:spacing w:line="288" w:lineRule="auto"/>
        <w:rPr>
          <w:rFonts w:ascii="Arial" w:hAnsi="Arial" w:cs="Arial"/>
          <w:sz w:val="22"/>
          <w:szCs w:val="22"/>
          <w:lang w:val="es-MX"/>
        </w:rPr>
      </w:pPr>
    </w:p>
    <w:p w14:paraId="5116DB6F" w14:textId="77777777" w:rsidR="0046335B" w:rsidRPr="00A736A0" w:rsidRDefault="0046335B" w:rsidP="00343ECE">
      <w:pPr>
        <w:pStyle w:val="Ttulo3"/>
        <w:numPr>
          <w:ilvl w:val="2"/>
          <w:numId w:val="15"/>
        </w:numPr>
        <w:spacing w:line="288" w:lineRule="auto"/>
        <w:rPr>
          <w:rFonts w:ascii="Arial" w:hAnsi="Arial" w:cs="Arial"/>
          <w:b/>
          <w:sz w:val="22"/>
          <w:szCs w:val="22"/>
        </w:rPr>
      </w:pPr>
      <w:bookmarkStart w:id="116" w:name="_Toc397936262"/>
      <w:bookmarkStart w:id="117" w:name="_Toc459991361"/>
      <w:bookmarkStart w:id="118" w:name="_Toc490726961"/>
      <w:bookmarkStart w:id="119" w:name="_Toc490727909"/>
      <w:bookmarkStart w:id="120" w:name="_Toc59377827"/>
      <w:r w:rsidRPr="00A736A0">
        <w:rPr>
          <w:rFonts w:ascii="Arial" w:hAnsi="Arial" w:cs="Arial"/>
          <w:b/>
          <w:sz w:val="22"/>
          <w:szCs w:val="22"/>
        </w:rPr>
        <w:t>Tablas contables</w:t>
      </w:r>
      <w:bookmarkEnd w:id="116"/>
      <w:bookmarkEnd w:id="117"/>
      <w:bookmarkEnd w:id="118"/>
      <w:bookmarkEnd w:id="119"/>
      <w:bookmarkEnd w:id="120"/>
    </w:p>
    <w:p w14:paraId="74ED0803" w14:textId="77777777" w:rsidR="00A736A0" w:rsidRPr="00A736A0" w:rsidRDefault="00A736A0" w:rsidP="00EF3D59">
      <w:pPr>
        <w:spacing w:line="288" w:lineRule="auto"/>
        <w:ind w:left="720"/>
      </w:pPr>
    </w:p>
    <w:p w14:paraId="4459615D" w14:textId="77777777" w:rsidR="0046335B" w:rsidRPr="00B80246" w:rsidRDefault="0046335B" w:rsidP="00EF3D59">
      <w:pPr>
        <w:spacing w:line="288" w:lineRule="auto"/>
        <w:jc w:val="both"/>
        <w:rPr>
          <w:rFonts w:ascii="Arial" w:hAnsi="Arial" w:cs="Arial"/>
          <w:sz w:val="22"/>
          <w:szCs w:val="22"/>
        </w:rPr>
      </w:pPr>
      <w:r w:rsidRPr="00B80246">
        <w:rPr>
          <w:rFonts w:ascii="Arial" w:hAnsi="Arial" w:cs="Arial"/>
          <w:sz w:val="22"/>
          <w:szCs w:val="22"/>
        </w:rPr>
        <w:t>El macroproceso contable tiene definidas tres clases de tablas: de eventos contables, de formularios y de reportes.</w:t>
      </w:r>
    </w:p>
    <w:p w14:paraId="33F8F372" w14:textId="77777777" w:rsidR="0046335B" w:rsidRPr="00B80246" w:rsidRDefault="0046335B" w:rsidP="00EF3D59">
      <w:pPr>
        <w:spacing w:line="288" w:lineRule="auto"/>
        <w:jc w:val="both"/>
        <w:rPr>
          <w:rFonts w:ascii="Arial" w:hAnsi="Arial" w:cs="Arial"/>
          <w:sz w:val="22"/>
          <w:szCs w:val="22"/>
        </w:rPr>
      </w:pPr>
    </w:p>
    <w:p w14:paraId="70A01AE7" w14:textId="77777777" w:rsidR="00501F03" w:rsidRPr="00501F03" w:rsidRDefault="00501F03" w:rsidP="00EF3D59">
      <w:pPr>
        <w:spacing w:line="288" w:lineRule="auto"/>
        <w:jc w:val="both"/>
        <w:rPr>
          <w:rFonts w:ascii="Arial" w:hAnsi="Arial" w:cs="Arial"/>
          <w:sz w:val="22"/>
          <w:szCs w:val="22"/>
        </w:rPr>
      </w:pPr>
      <w:r w:rsidRPr="00501F03">
        <w:rPr>
          <w:rFonts w:ascii="Arial" w:hAnsi="Arial" w:cs="Arial"/>
          <w:b/>
          <w:sz w:val="22"/>
          <w:szCs w:val="22"/>
        </w:rPr>
        <w:t>Tabla de eventos contables:</w:t>
      </w:r>
      <w:r w:rsidRPr="00501F03">
        <w:rPr>
          <w:rFonts w:ascii="Arial" w:hAnsi="Arial" w:cs="Arial"/>
          <w:sz w:val="22"/>
          <w:szCs w:val="22"/>
        </w:rPr>
        <w:t xml:space="preserve"> Es una herramienta que relaciona los tipos de registro con los catálogos de ingresos, gastos y no presupuestales. Además, se relacionan parámetros de información tales como los tipos de operación, atributos contables, tipos de gasto, medio pago y de recaudo o, misma entidad contable pública, entidad responsable del recaudo, entre otras variables; para definir el registro contable con la identificación del código contable al nivel de imputación al </w:t>
      </w:r>
      <w:r w:rsidRPr="003D7673">
        <w:rPr>
          <w:rFonts w:ascii="Arial" w:hAnsi="Arial" w:cs="Arial"/>
          <w:i/>
          <w:iCs/>
          <w:sz w:val="22"/>
          <w:szCs w:val="22"/>
        </w:rPr>
        <w:t>“debe”</w:t>
      </w:r>
      <w:r w:rsidRPr="00501F03">
        <w:rPr>
          <w:rFonts w:ascii="Arial" w:hAnsi="Arial" w:cs="Arial"/>
          <w:sz w:val="22"/>
          <w:szCs w:val="22"/>
        </w:rPr>
        <w:t xml:space="preserve"> y al </w:t>
      </w:r>
      <w:r w:rsidRPr="003D7673">
        <w:rPr>
          <w:rFonts w:ascii="Arial" w:hAnsi="Arial" w:cs="Arial"/>
          <w:i/>
          <w:iCs/>
          <w:sz w:val="22"/>
          <w:szCs w:val="22"/>
        </w:rPr>
        <w:t>“haber”</w:t>
      </w:r>
      <w:r w:rsidRPr="00501F03">
        <w:rPr>
          <w:rFonts w:ascii="Arial" w:hAnsi="Arial" w:cs="Arial"/>
          <w:sz w:val="22"/>
          <w:szCs w:val="22"/>
        </w:rPr>
        <w:t xml:space="preserve"> de los asientos automáticos. Mediante estas tablas y el </w:t>
      </w:r>
      <w:r w:rsidRPr="003D7673">
        <w:rPr>
          <w:rFonts w:ascii="Arial" w:hAnsi="Arial" w:cs="Arial"/>
          <w:i/>
          <w:iCs/>
          <w:sz w:val="22"/>
          <w:szCs w:val="22"/>
        </w:rPr>
        <w:t>“motor contable”</w:t>
      </w:r>
      <w:r w:rsidRPr="00501F03">
        <w:rPr>
          <w:rFonts w:ascii="Arial" w:hAnsi="Arial" w:cs="Arial"/>
          <w:sz w:val="22"/>
          <w:szCs w:val="22"/>
        </w:rPr>
        <w:t xml:space="preserve"> el sistema construye los comprobantes contables de asientos automáticos.</w:t>
      </w:r>
    </w:p>
    <w:p w14:paraId="4934FC7D" w14:textId="77777777" w:rsidR="00501F03" w:rsidRPr="00501F03" w:rsidRDefault="00501F03" w:rsidP="00EF3D59">
      <w:pPr>
        <w:spacing w:line="288" w:lineRule="auto"/>
        <w:jc w:val="both"/>
        <w:rPr>
          <w:rFonts w:ascii="Arial" w:hAnsi="Arial" w:cs="Arial"/>
          <w:sz w:val="22"/>
          <w:szCs w:val="22"/>
        </w:rPr>
      </w:pPr>
    </w:p>
    <w:p w14:paraId="10C728E5" w14:textId="77777777" w:rsidR="00501F03" w:rsidRDefault="00501F03" w:rsidP="00EF3D59">
      <w:pPr>
        <w:spacing w:line="288" w:lineRule="auto"/>
        <w:jc w:val="both"/>
        <w:rPr>
          <w:rFonts w:ascii="Arial" w:hAnsi="Arial" w:cs="Arial"/>
          <w:sz w:val="22"/>
          <w:szCs w:val="22"/>
        </w:rPr>
      </w:pPr>
      <w:r w:rsidRPr="00501F03">
        <w:rPr>
          <w:rFonts w:ascii="Arial" w:hAnsi="Arial" w:cs="Arial"/>
          <w:b/>
          <w:sz w:val="22"/>
          <w:szCs w:val="22"/>
        </w:rPr>
        <w:t>Tablas de formularios contables:</w:t>
      </w:r>
      <w:r w:rsidRPr="00501F03">
        <w:rPr>
          <w:rFonts w:ascii="Arial" w:hAnsi="Arial" w:cs="Arial"/>
          <w:sz w:val="22"/>
          <w:szCs w:val="22"/>
        </w:rPr>
        <w:t xml:space="preserve"> Es una herramienta que permite definir formularios que sirven como insumo en la generación de información, tales como: la distribución de saldos en corriente y no corriente.</w:t>
      </w:r>
    </w:p>
    <w:p w14:paraId="437898BB" w14:textId="77777777" w:rsidR="00501F03" w:rsidRPr="00501F03" w:rsidRDefault="00501F03" w:rsidP="00EF3D59">
      <w:pPr>
        <w:spacing w:line="288" w:lineRule="auto"/>
        <w:jc w:val="both"/>
        <w:rPr>
          <w:rFonts w:ascii="Arial" w:hAnsi="Arial" w:cs="Arial"/>
          <w:sz w:val="22"/>
          <w:szCs w:val="22"/>
        </w:rPr>
      </w:pPr>
    </w:p>
    <w:p w14:paraId="048818FA" w14:textId="77777777" w:rsidR="00501F03" w:rsidRPr="00501F03" w:rsidRDefault="00501F03" w:rsidP="00EF3D59">
      <w:pPr>
        <w:spacing w:line="288" w:lineRule="auto"/>
        <w:jc w:val="both"/>
        <w:rPr>
          <w:rFonts w:ascii="Arial" w:hAnsi="Arial" w:cs="Arial"/>
          <w:sz w:val="22"/>
          <w:szCs w:val="22"/>
        </w:rPr>
      </w:pPr>
      <w:r w:rsidRPr="00501F03">
        <w:rPr>
          <w:rFonts w:ascii="Arial" w:hAnsi="Arial" w:cs="Arial"/>
          <w:b/>
          <w:sz w:val="22"/>
          <w:szCs w:val="22"/>
        </w:rPr>
        <w:t xml:space="preserve">Tablas de reportes contables: </w:t>
      </w:r>
      <w:r w:rsidRPr="00501F03">
        <w:rPr>
          <w:rFonts w:ascii="Arial" w:hAnsi="Arial" w:cs="Arial"/>
          <w:sz w:val="22"/>
          <w:szCs w:val="22"/>
        </w:rPr>
        <w:t>Es una herramienta que permite definir report</w:t>
      </w:r>
      <w:r w:rsidR="00493DD6">
        <w:rPr>
          <w:rFonts w:ascii="Arial" w:hAnsi="Arial" w:cs="Arial"/>
          <w:sz w:val="22"/>
          <w:szCs w:val="22"/>
        </w:rPr>
        <w:t>es, tales como estados contables (es</w:t>
      </w:r>
      <w:r>
        <w:rPr>
          <w:rFonts w:ascii="Arial" w:hAnsi="Arial" w:cs="Arial"/>
          <w:sz w:val="22"/>
          <w:szCs w:val="22"/>
        </w:rPr>
        <w:t>tado de situación financiera, estado de resultados</w:t>
      </w:r>
      <w:r w:rsidRPr="00501F03">
        <w:rPr>
          <w:rFonts w:ascii="Arial" w:hAnsi="Arial" w:cs="Arial"/>
          <w:sz w:val="22"/>
          <w:szCs w:val="22"/>
        </w:rPr>
        <w:t>, entre otros</w:t>
      </w:r>
      <w:r w:rsidR="00493DD6">
        <w:rPr>
          <w:rFonts w:ascii="Arial" w:hAnsi="Arial" w:cs="Arial"/>
          <w:sz w:val="22"/>
          <w:szCs w:val="22"/>
        </w:rPr>
        <w:t>)</w:t>
      </w:r>
      <w:r w:rsidRPr="00501F03">
        <w:rPr>
          <w:rFonts w:ascii="Arial" w:hAnsi="Arial" w:cs="Arial"/>
          <w:sz w:val="22"/>
          <w:szCs w:val="22"/>
        </w:rPr>
        <w:t>.</w:t>
      </w:r>
    </w:p>
    <w:p w14:paraId="7432D688" w14:textId="77777777" w:rsidR="00501F03" w:rsidRDefault="00501F03" w:rsidP="00EF3D59">
      <w:pPr>
        <w:spacing w:line="288" w:lineRule="auto"/>
        <w:jc w:val="both"/>
        <w:rPr>
          <w:rFonts w:ascii="Arial" w:hAnsi="Arial" w:cs="Arial"/>
          <w:sz w:val="22"/>
          <w:szCs w:val="22"/>
        </w:rPr>
      </w:pPr>
    </w:p>
    <w:p w14:paraId="5D5D0395" w14:textId="77777777" w:rsidR="00493DD6" w:rsidRPr="00145DB9" w:rsidRDefault="00493DD6" w:rsidP="00343ECE">
      <w:pPr>
        <w:pStyle w:val="Ttulo3"/>
        <w:numPr>
          <w:ilvl w:val="3"/>
          <w:numId w:val="15"/>
        </w:numPr>
        <w:spacing w:line="288" w:lineRule="auto"/>
        <w:rPr>
          <w:rFonts w:ascii="Arial" w:hAnsi="Arial" w:cs="Arial"/>
          <w:b/>
          <w:sz w:val="22"/>
          <w:szCs w:val="22"/>
        </w:rPr>
      </w:pPr>
      <w:bookmarkStart w:id="121" w:name="_Toc59377828"/>
      <w:r w:rsidRPr="00145DB9">
        <w:rPr>
          <w:rFonts w:ascii="Arial" w:hAnsi="Arial" w:cs="Arial"/>
          <w:b/>
          <w:sz w:val="22"/>
          <w:szCs w:val="22"/>
        </w:rPr>
        <w:t>Universalidad en la parametrización de las tablas de eventos contables</w:t>
      </w:r>
      <w:bookmarkEnd w:id="121"/>
    </w:p>
    <w:p w14:paraId="545F65C9" w14:textId="77777777" w:rsidR="00493DD6" w:rsidRPr="00493DD6" w:rsidRDefault="00493DD6" w:rsidP="00EF3D59">
      <w:pPr>
        <w:spacing w:line="288" w:lineRule="auto"/>
        <w:ind w:left="720"/>
      </w:pPr>
    </w:p>
    <w:p w14:paraId="6AD0B71E" w14:textId="77777777" w:rsidR="00493DD6" w:rsidRDefault="00493DD6" w:rsidP="00EF3D59">
      <w:pPr>
        <w:pStyle w:val="unico"/>
        <w:spacing w:before="0" w:beforeAutospacing="0" w:after="0" w:afterAutospacing="0" w:line="288" w:lineRule="auto"/>
        <w:jc w:val="both"/>
        <w:rPr>
          <w:rFonts w:ascii="Arial" w:hAnsi="Arial" w:cs="Arial"/>
          <w:sz w:val="22"/>
          <w:szCs w:val="22"/>
          <w:lang w:val="es-ES" w:eastAsia="es-ES"/>
        </w:rPr>
      </w:pPr>
      <w:r w:rsidRPr="00493DD6">
        <w:rPr>
          <w:rFonts w:ascii="Arial" w:hAnsi="Arial" w:cs="Arial"/>
          <w:sz w:val="22"/>
          <w:szCs w:val="22"/>
          <w:lang w:val="es-ES" w:eastAsia="es-ES"/>
        </w:rPr>
        <w:t xml:space="preserve">Los registros contables definidos en las tablas de eventos contables, aplican para todas las entidades del ámbito SIIF y se definen desde el catálogo del negocio con la marca </w:t>
      </w:r>
      <w:r w:rsidRPr="003D7673">
        <w:rPr>
          <w:rFonts w:ascii="Arial" w:hAnsi="Arial" w:cs="Arial"/>
          <w:i/>
          <w:iCs/>
          <w:sz w:val="22"/>
          <w:szCs w:val="22"/>
          <w:lang w:val="es-ES" w:eastAsia="es-ES"/>
        </w:rPr>
        <w:t>“universal”</w:t>
      </w:r>
      <w:r w:rsidRPr="00493DD6">
        <w:rPr>
          <w:rFonts w:ascii="Arial" w:hAnsi="Arial" w:cs="Arial"/>
          <w:sz w:val="22"/>
          <w:szCs w:val="22"/>
          <w:lang w:val="es-ES" w:eastAsia="es-ES"/>
        </w:rPr>
        <w:t>, permitiendo que la información contable pública sea comprensible, es decir, es racional y consistente, con criterios que orientan su elaboración de manera coherente y uniforme.</w:t>
      </w:r>
    </w:p>
    <w:p w14:paraId="640DF7B3" w14:textId="77777777" w:rsidR="00493DD6" w:rsidRPr="00493DD6" w:rsidRDefault="00493DD6" w:rsidP="00EF3D59">
      <w:pPr>
        <w:pStyle w:val="unico"/>
        <w:spacing w:before="0" w:beforeAutospacing="0" w:after="0" w:afterAutospacing="0" w:line="288" w:lineRule="auto"/>
        <w:jc w:val="both"/>
        <w:rPr>
          <w:rFonts w:ascii="Arial" w:hAnsi="Arial" w:cs="Arial"/>
          <w:sz w:val="22"/>
          <w:szCs w:val="22"/>
          <w:lang w:val="es-ES" w:eastAsia="es-ES"/>
        </w:rPr>
      </w:pPr>
    </w:p>
    <w:p w14:paraId="06E48D56" w14:textId="77777777" w:rsidR="00493DD6" w:rsidRPr="00493DD6" w:rsidRDefault="00493DD6" w:rsidP="00EF3D59">
      <w:pPr>
        <w:pStyle w:val="unico"/>
        <w:spacing w:before="0" w:beforeAutospacing="0" w:after="0" w:afterAutospacing="0" w:line="288" w:lineRule="auto"/>
        <w:jc w:val="both"/>
        <w:rPr>
          <w:rFonts w:ascii="Arial" w:hAnsi="Arial" w:cs="Arial"/>
          <w:sz w:val="22"/>
          <w:szCs w:val="22"/>
          <w:lang w:val="es-ES" w:eastAsia="es-ES"/>
        </w:rPr>
      </w:pPr>
      <w:r w:rsidRPr="00493DD6">
        <w:rPr>
          <w:rFonts w:ascii="Arial" w:hAnsi="Arial" w:cs="Arial"/>
          <w:sz w:val="22"/>
          <w:szCs w:val="22"/>
          <w:lang w:val="es-ES" w:eastAsia="es-ES"/>
        </w:rPr>
        <w:t xml:space="preserve">Para definir un registro por ámbito, el o (los) catálogo (s) de negocio utilizados en la tabla, debe(n) tener la marca </w:t>
      </w:r>
      <w:r w:rsidRPr="003D7673">
        <w:rPr>
          <w:rFonts w:ascii="Arial" w:hAnsi="Arial" w:cs="Arial"/>
          <w:i/>
          <w:iCs/>
          <w:sz w:val="22"/>
          <w:szCs w:val="22"/>
          <w:lang w:val="es-ES" w:eastAsia="es-ES"/>
        </w:rPr>
        <w:t>“no universal”</w:t>
      </w:r>
      <w:r w:rsidRPr="00493DD6">
        <w:rPr>
          <w:rFonts w:ascii="Arial" w:hAnsi="Arial" w:cs="Arial"/>
          <w:sz w:val="22"/>
          <w:szCs w:val="22"/>
          <w:lang w:val="es-ES" w:eastAsia="es-ES"/>
        </w:rPr>
        <w:t xml:space="preserve"> esto significa, una parametrización específica para una ECP en particular; por excepción las tablas de eventos TCON12-tipos de operación y TCON7-causación de gastos, contienen registros con ámbito de aplicación específico.</w:t>
      </w:r>
    </w:p>
    <w:p w14:paraId="090EC0A9" w14:textId="77777777" w:rsidR="00493DD6" w:rsidRPr="00493DD6" w:rsidRDefault="00493DD6" w:rsidP="00EF3D59">
      <w:pPr>
        <w:spacing w:line="288" w:lineRule="auto"/>
        <w:rPr>
          <w:rFonts w:ascii="Arial" w:hAnsi="Arial" w:cs="Arial"/>
          <w:sz w:val="22"/>
          <w:szCs w:val="22"/>
        </w:rPr>
      </w:pPr>
    </w:p>
    <w:p w14:paraId="1601D183" w14:textId="77777777" w:rsidR="007F4BEC" w:rsidRDefault="007F4BEC" w:rsidP="00343ECE">
      <w:pPr>
        <w:pStyle w:val="Ttulo3"/>
        <w:numPr>
          <w:ilvl w:val="3"/>
          <w:numId w:val="15"/>
        </w:numPr>
        <w:spacing w:line="288" w:lineRule="auto"/>
        <w:rPr>
          <w:rFonts w:ascii="Arial" w:hAnsi="Arial" w:cs="Arial"/>
          <w:b/>
          <w:sz w:val="22"/>
          <w:szCs w:val="22"/>
        </w:rPr>
      </w:pPr>
      <w:bookmarkStart w:id="122" w:name="_Toc59377829"/>
      <w:r w:rsidRPr="00145DB9">
        <w:rPr>
          <w:rFonts w:ascii="Arial" w:hAnsi="Arial" w:cs="Arial"/>
          <w:b/>
          <w:sz w:val="22"/>
          <w:szCs w:val="22"/>
        </w:rPr>
        <w:t>Catálogos de negocio</w:t>
      </w:r>
      <w:bookmarkEnd w:id="122"/>
    </w:p>
    <w:p w14:paraId="5ECF5851" w14:textId="77777777" w:rsidR="007F4BEC" w:rsidRPr="007F4BEC" w:rsidRDefault="007F4BEC" w:rsidP="00EF3D59">
      <w:pPr>
        <w:spacing w:line="288" w:lineRule="auto"/>
        <w:ind w:left="720"/>
      </w:pPr>
    </w:p>
    <w:p w14:paraId="537C1170" w14:textId="77777777" w:rsidR="007F4BEC" w:rsidRPr="00415977" w:rsidRDefault="007F4BEC" w:rsidP="00EF3D59">
      <w:pPr>
        <w:pStyle w:val="unico"/>
        <w:spacing w:before="0" w:beforeAutospacing="0" w:after="0" w:afterAutospacing="0" w:line="288" w:lineRule="auto"/>
        <w:jc w:val="both"/>
        <w:rPr>
          <w:rFonts w:ascii="Arial" w:hAnsi="Arial" w:cs="Arial"/>
          <w:sz w:val="22"/>
          <w:szCs w:val="22"/>
          <w:lang w:val="es-ES" w:eastAsia="es-ES"/>
        </w:rPr>
      </w:pPr>
      <w:r w:rsidRPr="00415977">
        <w:rPr>
          <w:rFonts w:ascii="Arial" w:hAnsi="Arial" w:cs="Arial"/>
          <w:sz w:val="22"/>
          <w:szCs w:val="22"/>
          <w:lang w:val="es-ES" w:eastAsia="es-ES"/>
        </w:rPr>
        <w:t xml:space="preserve">Corresponde a los catálogos de otros macroprocesos, tales como: catálogo presupuestal de ingresos, catálogo presupuestal de gastos, catálogo no presupuestal. Se requiere que su estado sea </w:t>
      </w:r>
      <w:r w:rsidRPr="003D7673">
        <w:rPr>
          <w:rFonts w:ascii="Arial" w:hAnsi="Arial" w:cs="Arial"/>
          <w:i/>
          <w:iCs/>
          <w:sz w:val="22"/>
          <w:szCs w:val="22"/>
          <w:lang w:val="es-ES" w:eastAsia="es-ES"/>
        </w:rPr>
        <w:t>“activo”,</w:t>
      </w:r>
      <w:r w:rsidRPr="00415977">
        <w:rPr>
          <w:rFonts w:ascii="Arial" w:hAnsi="Arial" w:cs="Arial"/>
          <w:sz w:val="22"/>
          <w:szCs w:val="22"/>
          <w:lang w:val="es-ES" w:eastAsia="es-ES"/>
        </w:rPr>
        <w:t xml:space="preserve"> de uso saldos, y al máximo nivel de desagregación en el caso de posiciones universales y en el caso de posiciones no universales el máximo nivel de desagregación es por PCI.</w:t>
      </w:r>
    </w:p>
    <w:p w14:paraId="59B5D2BF" w14:textId="77777777" w:rsidR="005F1D43" w:rsidRPr="00415977" w:rsidRDefault="005F1D43" w:rsidP="00EF3D59">
      <w:pPr>
        <w:pStyle w:val="Ttulo2"/>
        <w:spacing w:line="288" w:lineRule="auto"/>
        <w:rPr>
          <w:rFonts w:ascii="Arial" w:hAnsi="Arial" w:cs="Arial"/>
          <w:b w:val="0"/>
          <w:sz w:val="22"/>
          <w:szCs w:val="22"/>
        </w:rPr>
      </w:pPr>
    </w:p>
    <w:p w14:paraId="2F62DA28" w14:textId="77777777" w:rsidR="007F4BEC" w:rsidRPr="00145DB9" w:rsidRDefault="007F4BEC" w:rsidP="00343ECE">
      <w:pPr>
        <w:pStyle w:val="Ttulo3"/>
        <w:numPr>
          <w:ilvl w:val="3"/>
          <w:numId w:val="15"/>
        </w:numPr>
        <w:spacing w:line="288" w:lineRule="auto"/>
        <w:rPr>
          <w:rFonts w:ascii="Arial" w:hAnsi="Arial" w:cs="Arial"/>
          <w:b/>
          <w:sz w:val="22"/>
          <w:szCs w:val="22"/>
        </w:rPr>
      </w:pPr>
      <w:bookmarkStart w:id="123" w:name="_Toc59377830"/>
      <w:r w:rsidRPr="00145DB9">
        <w:rPr>
          <w:rFonts w:ascii="Arial" w:hAnsi="Arial" w:cs="Arial"/>
          <w:b/>
          <w:sz w:val="22"/>
          <w:szCs w:val="22"/>
        </w:rPr>
        <w:t>Registros contables</w:t>
      </w:r>
      <w:bookmarkEnd w:id="123"/>
    </w:p>
    <w:p w14:paraId="7E57F22A" w14:textId="77777777" w:rsidR="005F1D43" w:rsidRPr="00415977" w:rsidRDefault="005F1D43" w:rsidP="00EF3D59">
      <w:pPr>
        <w:pStyle w:val="unico"/>
        <w:spacing w:before="0" w:beforeAutospacing="0" w:after="0" w:afterAutospacing="0" w:line="288" w:lineRule="auto"/>
        <w:jc w:val="both"/>
        <w:rPr>
          <w:rFonts w:ascii="Arial" w:hAnsi="Arial" w:cs="Arial"/>
          <w:sz w:val="22"/>
          <w:szCs w:val="22"/>
          <w:lang w:val="es-ES" w:eastAsia="es-ES"/>
        </w:rPr>
      </w:pPr>
    </w:p>
    <w:p w14:paraId="0EF239F6" w14:textId="77777777" w:rsidR="007F4BEC" w:rsidRPr="00415977" w:rsidRDefault="007F4BEC" w:rsidP="00EF3D59">
      <w:pPr>
        <w:pStyle w:val="unico"/>
        <w:spacing w:before="0" w:beforeAutospacing="0" w:after="0" w:afterAutospacing="0" w:line="288" w:lineRule="auto"/>
        <w:jc w:val="both"/>
        <w:rPr>
          <w:rFonts w:ascii="Arial" w:hAnsi="Arial" w:cs="Arial"/>
          <w:sz w:val="22"/>
          <w:szCs w:val="22"/>
          <w:lang w:val="es-ES" w:eastAsia="es-ES"/>
        </w:rPr>
      </w:pPr>
      <w:r w:rsidRPr="00415977">
        <w:rPr>
          <w:rFonts w:ascii="Arial" w:hAnsi="Arial" w:cs="Arial"/>
          <w:sz w:val="22"/>
          <w:szCs w:val="22"/>
          <w:lang w:val="es-ES" w:eastAsia="es-ES"/>
        </w:rPr>
        <w:t xml:space="preserve">De conformidad con el principio de </w:t>
      </w:r>
      <w:r w:rsidRPr="003D7673">
        <w:rPr>
          <w:rFonts w:ascii="Arial" w:hAnsi="Arial" w:cs="Arial"/>
          <w:i/>
          <w:iCs/>
          <w:sz w:val="22"/>
          <w:szCs w:val="22"/>
          <w:lang w:val="es-ES" w:eastAsia="es-ES"/>
        </w:rPr>
        <w:t>“registro”,</w:t>
      </w:r>
      <w:r w:rsidRPr="00415977">
        <w:rPr>
          <w:rFonts w:ascii="Arial" w:hAnsi="Arial" w:cs="Arial"/>
          <w:sz w:val="22"/>
          <w:szCs w:val="22"/>
          <w:lang w:val="es-ES" w:eastAsia="es-ES"/>
        </w:rPr>
        <w:t xml:space="preserve"> los hechos financieros, económicos, sociales y ambientales, se contabilizan de manera cronológica y conceptual observando la etapa del proceso contable relativa al reconocimiento. Estos registros se identifican en el sistema en asientos manuales y automáticos.</w:t>
      </w:r>
    </w:p>
    <w:p w14:paraId="7DA639DA" w14:textId="575A9490" w:rsidR="00493DD6" w:rsidRDefault="00493DD6" w:rsidP="00EF3D59">
      <w:pPr>
        <w:spacing w:line="288" w:lineRule="auto"/>
        <w:rPr>
          <w:rFonts w:ascii="Arial" w:hAnsi="Arial" w:cs="Arial"/>
          <w:b/>
          <w:sz w:val="22"/>
          <w:szCs w:val="22"/>
        </w:rPr>
      </w:pPr>
    </w:p>
    <w:p w14:paraId="490245A2" w14:textId="77363236" w:rsidR="00CA76B9" w:rsidRDefault="00CA76B9" w:rsidP="00EF3D59">
      <w:pPr>
        <w:spacing w:line="288" w:lineRule="auto"/>
        <w:rPr>
          <w:rFonts w:ascii="Arial" w:hAnsi="Arial" w:cs="Arial"/>
          <w:b/>
          <w:sz w:val="22"/>
          <w:szCs w:val="22"/>
        </w:rPr>
      </w:pPr>
    </w:p>
    <w:p w14:paraId="75314410" w14:textId="04E044A0" w:rsidR="00CA76B9" w:rsidRDefault="00CA76B9" w:rsidP="00EF3D59">
      <w:pPr>
        <w:spacing w:line="288" w:lineRule="auto"/>
        <w:rPr>
          <w:rFonts w:ascii="Arial" w:hAnsi="Arial" w:cs="Arial"/>
          <w:b/>
          <w:sz w:val="22"/>
          <w:szCs w:val="22"/>
        </w:rPr>
      </w:pPr>
    </w:p>
    <w:p w14:paraId="2AB5602E" w14:textId="4B3C7FC1" w:rsidR="00CA76B9" w:rsidRDefault="00CA76B9" w:rsidP="00EF3D59">
      <w:pPr>
        <w:spacing w:line="288" w:lineRule="auto"/>
        <w:rPr>
          <w:rFonts w:ascii="Arial" w:hAnsi="Arial" w:cs="Arial"/>
          <w:b/>
          <w:sz w:val="22"/>
          <w:szCs w:val="22"/>
        </w:rPr>
      </w:pPr>
    </w:p>
    <w:p w14:paraId="6AFDF77C" w14:textId="3C122FB4" w:rsidR="00CA76B9" w:rsidRDefault="00CA76B9" w:rsidP="00EF3D59">
      <w:pPr>
        <w:spacing w:line="288" w:lineRule="auto"/>
        <w:rPr>
          <w:rFonts w:ascii="Arial" w:hAnsi="Arial" w:cs="Arial"/>
          <w:b/>
          <w:sz w:val="22"/>
          <w:szCs w:val="22"/>
        </w:rPr>
      </w:pPr>
    </w:p>
    <w:p w14:paraId="20BCDFA3" w14:textId="722140E8" w:rsidR="00CA76B9" w:rsidRDefault="00CA76B9" w:rsidP="00EF3D59">
      <w:pPr>
        <w:spacing w:line="288" w:lineRule="auto"/>
        <w:rPr>
          <w:rFonts w:ascii="Arial" w:hAnsi="Arial" w:cs="Arial"/>
          <w:b/>
          <w:sz w:val="22"/>
          <w:szCs w:val="22"/>
        </w:rPr>
      </w:pPr>
    </w:p>
    <w:p w14:paraId="00C3F966" w14:textId="05DE4972" w:rsidR="00CA76B9" w:rsidRDefault="00CA76B9" w:rsidP="00EF3D59">
      <w:pPr>
        <w:spacing w:line="288" w:lineRule="auto"/>
        <w:rPr>
          <w:rFonts w:ascii="Arial" w:hAnsi="Arial" w:cs="Arial"/>
          <w:b/>
          <w:sz w:val="22"/>
          <w:szCs w:val="22"/>
        </w:rPr>
      </w:pPr>
    </w:p>
    <w:p w14:paraId="3BB4559C" w14:textId="77777777" w:rsidR="00CA76B9" w:rsidRDefault="00CA76B9" w:rsidP="00EF3D59">
      <w:pPr>
        <w:spacing w:line="288" w:lineRule="auto"/>
        <w:rPr>
          <w:rFonts w:ascii="Arial" w:hAnsi="Arial" w:cs="Arial"/>
          <w:b/>
          <w:sz w:val="22"/>
          <w:szCs w:val="22"/>
        </w:rPr>
      </w:pPr>
    </w:p>
    <w:p w14:paraId="6D0655D5" w14:textId="77777777" w:rsidR="0046335B" w:rsidRPr="00145DB9" w:rsidRDefault="0046335B" w:rsidP="00343ECE">
      <w:pPr>
        <w:pStyle w:val="Ttulo3"/>
        <w:numPr>
          <w:ilvl w:val="3"/>
          <w:numId w:val="15"/>
        </w:numPr>
        <w:spacing w:line="288" w:lineRule="auto"/>
        <w:rPr>
          <w:rFonts w:ascii="Arial" w:hAnsi="Arial" w:cs="Arial"/>
          <w:b/>
          <w:sz w:val="22"/>
          <w:szCs w:val="22"/>
        </w:rPr>
      </w:pPr>
      <w:bookmarkStart w:id="124" w:name="_Toc59377831"/>
      <w:r w:rsidRPr="00145DB9">
        <w:rPr>
          <w:rFonts w:ascii="Arial" w:hAnsi="Arial" w:cs="Arial"/>
          <w:b/>
          <w:sz w:val="22"/>
          <w:szCs w:val="22"/>
        </w:rPr>
        <w:lastRenderedPageBreak/>
        <w:t>Precondiciones para la generación de comprobantes contables</w:t>
      </w:r>
      <w:bookmarkEnd w:id="124"/>
      <w:r w:rsidRPr="00145DB9">
        <w:rPr>
          <w:rFonts w:ascii="Arial" w:hAnsi="Arial" w:cs="Arial"/>
          <w:b/>
          <w:sz w:val="22"/>
          <w:szCs w:val="22"/>
        </w:rPr>
        <w:t xml:space="preserve"> </w:t>
      </w:r>
    </w:p>
    <w:p w14:paraId="5258F831" w14:textId="77777777" w:rsidR="00107A1C" w:rsidRPr="00B80246" w:rsidRDefault="00107A1C" w:rsidP="005D402D">
      <w:pPr>
        <w:spacing w:line="288" w:lineRule="auto"/>
        <w:ind w:left="720"/>
        <w:jc w:val="both"/>
        <w:rPr>
          <w:rFonts w:ascii="Arial" w:hAnsi="Arial" w:cs="Arial"/>
          <w:sz w:val="22"/>
          <w:szCs w:val="22"/>
        </w:rPr>
      </w:pPr>
    </w:p>
    <w:p w14:paraId="3A3654A8" w14:textId="5BD64EC1" w:rsidR="0046335B" w:rsidRPr="00B80246" w:rsidRDefault="00E56F22" w:rsidP="00107A1C">
      <w:pPr>
        <w:jc w:val="center"/>
        <w:rPr>
          <w:rFonts w:ascii="Arial" w:hAnsi="Arial" w:cs="Arial"/>
          <w:b/>
          <w:sz w:val="22"/>
          <w:szCs w:val="22"/>
        </w:rPr>
      </w:pPr>
      <w:r w:rsidRPr="00B80246">
        <w:rPr>
          <w:rFonts w:ascii="Arial" w:hAnsi="Arial" w:cs="Arial"/>
          <w:b/>
          <w:noProof/>
          <w:sz w:val="22"/>
          <w:szCs w:val="22"/>
          <w:lang w:val="es-CO" w:eastAsia="es-CO"/>
        </w:rPr>
        <w:drawing>
          <wp:inline distT="0" distB="0" distL="0" distR="0" wp14:anchorId="1C0510E9" wp14:editId="09666B47">
            <wp:extent cx="5229225" cy="621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6210300"/>
                    </a:xfrm>
                    <a:prstGeom prst="rect">
                      <a:avLst/>
                    </a:prstGeom>
                    <a:noFill/>
                    <a:ln>
                      <a:noFill/>
                    </a:ln>
                  </pic:spPr>
                </pic:pic>
              </a:graphicData>
            </a:graphic>
          </wp:inline>
        </w:drawing>
      </w:r>
    </w:p>
    <w:p w14:paraId="515A773D" w14:textId="77777777" w:rsidR="00A07950" w:rsidRDefault="00A07950" w:rsidP="003218F3">
      <w:pPr>
        <w:pStyle w:val="Ttulo4"/>
        <w:rPr>
          <w:rFonts w:ascii="Arial" w:hAnsi="Arial" w:cs="Arial"/>
          <w:sz w:val="22"/>
          <w:szCs w:val="22"/>
        </w:rPr>
      </w:pPr>
      <w:bookmarkStart w:id="125" w:name="_Toc397936263"/>
      <w:bookmarkStart w:id="126" w:name="_Toc459991362"/>
      <w:bookmarkStart w:id="127" w:name="_Toc490726962"/>
      <w:bookmarkStart w:id="128" w:name="_Toc490727910"/>
    </w:p>
    <w:p w14:paraId="169D4092" w14:textId="77777777" w:rsidR="0046335B" w:rsidRPr="00852A89" w:rsidRDefault="0046335B" w:rsidP="00343ECE">
      <w:pPr>
        <w:pStyle w:val="Ttulo3"/>
        <w:numPr>
          <w:ilvl w:val="2"/>
          <w:numId w:val="15"/>
        </w:numPr>
        <w:spacing w:line="288" w:lineRule="auto"/>
        <w:rPr>
          <w:rFonts w:ascii="Arial" w:hAnsi="Arial" w:cs="Arial"/>
          <w:b/>
          <w:sz w:val="22"/>
          <w:szCs w:val="22"/>
        </w:rPr>
      </w:pPr>
      <w:bookmarkStart w:id="129" w:name="_Toc59377832"/>
      <w:r w:rsidRPr="00852A89">
        <w:rPr>
          <w:rFonts w:ascii="Arial" w:hAnsi="Arial" w:cs="Arial"/>
          <w:b/>
          <w:sz w:val="22"/>
          <w:szCs w:val="22"/>
        </w:rPr>
        <w:t>Catálogo contable</w:t>
      </w:r>
      <w:bookmarkEnd w:id="125"/>
      <w:bookmarkEnd w:id="126"/>
      <w:bookmarkEnd w:id="127"/>
      <w:bookmarkEnd w:id="128"/>
      <w:bookmarkEnd w:id="129"/>
    </w:p>
    <w:p w14:paraId="29C2D99D" w14:textId="77777777" w:rsidR="00A736A0" w:rsidRPr="00A736A0" w:rsidRDefault="00A736A0" w:rsidP="00EF3D59">
      <w:pPr>
        <w:spacing w:line="288" w:lineRule="auto"/>
      </w:pPr>
    </w:p>
    <w:p w14:paraId="332314D5" w14:textId="77777777" w:rsidR="0046335B" w:rsidRPr="00B80246" w:rsidRDefault="0046335B" w:rsidP="00EF3D59">
      <w:pPr>
        <w:spacing w:line="288" w:lineRule="auto"/>
        <w:jc w:val="both"/>
        <w:rPr>
          <w:rFonts w:ascii="Arial" w:hAnsi="Arial" w:cs="Arial"/>
          <w:sz w:val="22"/>
          <w:szCs w:val="22"/>
        </w:rPr>
      </w:pPr>
      <w:r w:rsidRPr="00B80246">
        <w:rPr>
          <w:rFonts w:ascii="Arial" w:hAnsi="Arial" w:cs="Arial"/>
          <w:sz w:val="22"/>
          <w:szCs w:val="22"/>
        </w:rPr>
        <w:t>Se constituye en el instrumento para el registro de las operaciones de la Entidad Contable Pública</w:t>
      </w:r>
      <w:r w:rsidR="00114DC4">
        <w:rPr>
          <w:rFonts w:ascii="Arial" w:hAnsi="Arial" w:cs="Arial"/>
          <w:sz w:val="22"/>
          <w:szCs w:val="22"/>
        </w:rPr>
        <w:t xml:space="preserve">, y corresponde </w:t>
      </w:r>
      <w:r w:rsidRPr="00B80246">
        <w:rPr>
          <w:rFonts w:ascii="Arial" w:hAnsi="Arial" w:cs="Arial"/>
          <w:sz w:val="22"/>
          <w:szCs w:val="22"/>
        </w:rPr>
        <w:t xml:space="preserve">al Catálogo General de Cuentas del Régimen de Contabilidad Pública. Contiene la relación de códigos que identifican la naturaleza y operación de las </w:t>
      </w:r>
      <w:r w:rsidRPr="00B80246">
        <w:rPr>
          <w:rFonts w:ascii="Arial" w:hAnsi="Arial" w:cs="Arial"/>
          <w:sz w:val="22"/>
          <w:szCs w:val="22"/>
        </w:rPr>
        <w:lastRenderedPageBreak/>
        <w:t>actividades que desarrollan las entidades que conforman el ámbito del SIIF Nación, con el fin de registrar de forma sistemática y metódica las distintas operaciones o transacciones realizadas por una entidad, y sus interrelaciones con otros catálogos en los demás macroprocesos.</w:t>
      </w:r>
    </w:p>
    <w:p w14:paraId="63E2FD14" w14:textId="77777777" w:rsidR="0046335B" w:rsidRPr="00B80246" w:rsidRDefault="0046335B" w:rsidP="00EF3D59">
      <w:pPr>
        <w:spacing w:line="288" w:lineRule="auto"/>
        <w:ind w:left="360"/>
        <w:rPr>
          <w:rFonts w:ascii="Arial" w:hAnsi="Arial" w:cs="Arial"/>
          <w:sz w:val="22"/>
          <w:szCs w:val="22"/>
        </w:rPr>
      </w:pPr>
    </w:p>
    <w:p w14:paraId="1613CFF8" w14:textId="77777777" w:rsidR="0046335B" w:rsidRPr="00B80246" w:rsidRDefault="0046335B" w:rsidP="00EF3D59">
      <w:pPr>
        <w:spacing w:line="288" w:lineRule="auto"/>
        <w:jc w:val="both"/>
        <w:rPr>
          <w:rFonts w:ascii="Arial" w:hAnsi="Arial" w:cs="Arial"/>
          <w:sz w:val="22"/>
          <w:szCs w:val="22"/>
        </w:rPr>
      </w:pPr>
      <w:r w:rsidRPr="00B80246">
        <w:rPr>
          <w:rFonts w:ascii="Arial" w:hAnsi="Arial" w:cs="Arial"/>
          <w:sz w:val="22"/>
          <w:szCs w:val="22"/>
        </w:rPr>
        <w:t>El catálogo contable, cuya estructura no es modificable, está conformado por los siguientes campos: Código contable, descripción, imputable, clasificación, Manual, Recíproca, aplica banco, naturaleza, saldo, vigente, código entidad y entidad contable pública.</w:t>
      </w:r>
    </w:p>
    <w:p w14:paraId="111E1F8F" w14:textId="77777777" w:rsidR="0046335B" w:rsidRDefault="0046335B" w:rsidP="00F20A17">
      <w:pPr>
        <w:spacing w:line="288" w:lineRule="auto"/>
        <w:jc w:val="both"/>
        <w:rPr>
          <w:rFonts w:ascii="Arial" w:hAnsi="Arial" w:cs="Arial"/>
          <w:sz w:val="22"/>
          <w:szCs w:val="22"/>
        </w:rPr>
      </w:pPr>
    </w:p>
    <w:p w14:paraId="4BAD68D8" w14:textId="77777777" w:rsidR="006672D7" w:rsidRDefault="00E56F22" w:rsidP="00114DC4">
      <w:pPr>
        <w:spacing w:line="288" w:lineRule="auto"/>
        <w:jc w:val="both"/>
        <w:rPr>
          <w:rFonts w:ascii="Arial" w:hAnsi="Arial" w:cs="Arial"/>
          <w:sz w:val="22"/>
          <w:szCs w:val="22"/>
        </w:rPr>
      </w:pPr>
      <w:r w:rsidRPr="006672D7">
        <w:rPr>
          <w:noProof/>
          <w:lang w:val="es-CO" w:eastAsia="es-CO"/>
        </w:rPr>
        <w:drawing>
          <wp:inline distT="0" distB="0" distL="0" distR="0" wp14:anchorId="392E31D9" wp14:editId="3C3B2E5E">
            <wp:extent cx="5610225" cy="1152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152525"/>
                    </a:xfrm>
                    <a:prstGeom prst="rect">
                      <a:avLst/>
                    </a:prstGeom>
                    <a:noFill/>
                    <a:ln>
                      <a:noFill/>
                    </a:ln>
                  </pic:spPr>
                </pic:pic>
              </a:graphicData>
            </a:graphic>
          </wp:inline>
        </w:drawing>
      </w:r>
    </w:p>
    <w:p w14:paraId="569C13A3" w14:textId="77777777" w:rsidR="00114DC4" w:rsidRDefault="00114DC4" w:rsidP="00A0134B">
      <w:pPr>
        <w:spacing w:line="288" w:lineRule="auto"/>
        <w:jc w:val="both"/>
        <w:rPr>
          <w:rFonts w:ascii="Arial" w:hAnsi="Arial" w:cs="Arial"/>
          <w:sz w:val="22"/>
          <w:szCs w:val="22"/>
        </w:rPr>
      </w:pPr>
    </w:p>
    <w:p w14:paraId="3CAA4701" w14:textId="77777777" w:rsidR="00114DC4" w:rsidRPr="00114DC4" w:rsidRDefault="00114DC4" w:rsidP="00A0134B">
      <w:pPr>
        <w:spacing w:line="288" w:lineRule="auto"/>
        <w:jc w:val="both"/>
        <w:rPr>
          <w:rFonts w:ascii="Arial" w:hAnsi="Arial" w:cs="Arial"/>
          <w:sz w:val="22"/>
          <w:szCs w:val="22"/>
        </w:rPr>
      </w:pPr>
      <w:r w:rsidRPr="00114DC4">
        <w:rPr>
          <w:rFonts w:ascii="Arial" w:hAnsi="Arial" w:cs="Arial"/>
          <w:b/>
          <w:sz w:val="22"/>
          <w:szCs w:val="22"/>
        </w:rPr>
        <w:t>Código contable:</w:t>
      </w:r>
      <w:r w:rsidRPr="00114DC4">
        <w:rPr>
          <w:rFonts w:ascii="Arial" w:hAnsi="Arial" w:cs="Arial"/>
          <w:sz w:val="22"/>
          <w:szCs w:val="22"/>
        </w:rPr>
        <w:t xml:space="preserve"> Presenta una estructura compuesta por máximo cinco niveles de clasificación con nueve dígitos que conforman un código contable: el primer nivel, con un dígito corresponde a la</w:t>
      </w:r>
      <w:r w:rsidR="00545EDE">
        <w:rPr>
          <w:rFonts w:ascii="Arial" w:hAnsi="Arial" w:cs="Arial"/>
          <w:sz w:val="22"/>
          <w:szCs w:val="22"/>
        </w:rPr>
        <w:t xml:space="preserve"> clase; el segundo nivel, con dos</w:t>
      </w:r>
      <w:r w:rsidRPr="00114DC4">
        <w:rPr>
          <w:rFonts w:ascii="Arial" w:hAnsi="Arial" w:cs="Arial"/>
          <w:sz w:val="22"/>
          <w:szCs w:val="22"/>
        </w:rPr>
        <w:t xml:space="preserve"> dígito</w:t>
      </w:r>
      <w:r w:rsidR="00545EDE">
        <w:rPr>
          <w:rFonts w:ascii="Arial" w:hAnsi="Arial" w:cs="Arial"/>
          <w:sz w:val="22"/>
          <w:szCs w:val="22"/>
        </w:rPr>
        <w:t>s</w:t>
      </w:r>
      <w:r w:rsidRPr="00114DC4">
        <w:rPr>
          <w:rFonts w:ascii="Arial" w:hAnsi="Arial" w:cs="Arial"/>
          <w:sz w:val="22"/>
          <w:szCs w:val="22"/>
        </w:rPr>
        <w:t xml:space="preserve"> corresponde al grupo; el</w:t>
      </w:r>
      <w:r w:rsidR="00545EDE">
        <w:rPr>
          <w:rFonts w:ascii="Arial" w:hAnsi="Arial" w:cs="Arial"/>
          <w:sz w:val="22"/>
          <w:szCs w:val="22"/>
        </w:rPr>
        <w:t xml:space="preserve"> tercer nivel, con cuatro</w:t>
      </w:r>
      <w:r w:rsidRPr="00114DC4">
        <w:rPr>
          <w:rFonts w:ascii="Arial" w:hAnsi="Arial" w:cs="Arial"/>
          <w:sz w:val="22"/>
          <w:szCs w:val="22"/>
        </w:rPr>
        <w:t xml:space="preserve"> dígitos corresponde a la cuenta; el cuarto nivel, con </w:t>
      </w:r>
      <w:r w:rsidR="00545EDE">
        <w:rPr>
          <w:rFonts w:ascii="Arial" w:hAnsi="Arial" w:cs="Arial"/>
          <w:sz w:val="22"/>
          <w:szCs w:val="22"/>
        </w:rPr>
        <w:t xml:space="preserve">seis </w:t>
      </w:r>
      <w:r w:rsidRPr="00114DC4">
        <w:rPr>
          <w:rFonts w:ascii="Arial" w:hAnsi="Arial" w:cs="Arial"/>
          <w:sz w:val="22"/>
          <w:szCs w:val="22"/>
        </w:rPr>
        <w:t>dígitos corresponde a la subcu</w:t>
      </w:r>
      <w:r w:rsidR="00545EDE">
        <w:rPr>
          <w:rFonts w:ascii="Arial" w:hAnsi="Arial" w:cs="Arial"/>
          <w:sz w:val="22"/>
          <w:szCs w:val="22"/>
        </w:rPr>
        <w:t>enta y el quinto nivel, con nueve</w:t>
      </w:r>
      <w:r w:rsidRPr="00114DC4">
        <w:rPr>
          <w:rFonts w:ascii="Arial" w:hAnsi="Arial" w:cs="Arial"/>
          <w:sz w:val="22"/>
          <w:szCs w:val="22"/>
        </w:rPr>
        <w:t xml:space="preserve"> dígitos corresponde al auxiliar directo.</w:t>
      </w:r>
    </w:p>
    <w:p w14:paraId="6B72D5B1" w14:textId="77777777" w:rsidR="00114DC4" w:rsidRPr="00114DC4" w:rsidRDefault="00114DC4" w:rsidP="00A0134B">
      <w:pPr>
        <w:spacing w:line="288" w:lineRule="auto"/>
        <w:jc w:val="both"/>
        <w:rPr>
          <w:rFonts w:ascii="Arial" w:hAnsi="Arial" w:cs="Arial"/>
          <w:sz w:val="22"/>
          <w:szCs w:val="22"/>
        </w:rPr>
      </w:pPr>
    </w:p>
    <w:p w14:paraId="2F7CC975"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Descripción:</w:t>
      </w:r>
      <w:r w:rsidRPr="00114DC4">
        <w:rPr>
          <w:rFonts w:ascii="Arial" w:hAnsi="Arial" w:cs="Arial"/>
          <w:sz w:val="22"/>
          <w:szCs w:val="22"/>
        </w:rPr>
        <w:t xml:space="preserve"> Se refiere a la denominación de la clase, grupo, cuenta, subcuenta y auxiliar directo contable.</w:t>
      </w:r>
    </w:p>
    <w:p w14:paraId="6149658B" w14:textId="77777777" w:rsidR="00114DC4" w:rsidRPr="00114DC4" w:rsidRDefault="00114DC4" w:rsidP="00A0134B">
      <w:pPr>
        <w:spacing w:line="288" w:lineRule="auto"/>
        <w:jc w:val="both"/>
        <w:rPr>
          <w:rFonts w:ascii="Arial" w:hAnsi="Arial" w:cs="Arial"/>
          <w:sz w:val="22"/>
          <w:szCs w:val="22"/>
        </w:rPr>
      </w:pPr>
    </w:p>
    <w:p w14:paraId="57C96FBE"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Imputable:</w:t>
      </w:r>
      <w:r w:rsidRPr="00114DC4">
        <w:rPr>
          <w:rFonts w:ascii="Arial" w:hAnsi="Arial" w:cs="Arial"/>
          <w:sz w:val="22"/>
          <w:szCs w:val="22"/>
        </w:rPr>
        <w:t xml:space="preserve"> Este campo constituye el nivel del catálogo en el que se hace el registro contable y contiene los siguientes valores:</w:t>
      </w:r>
    </w:p>
    <w:p w14:paraId="65D0BB97" w14:textId="77777777" w:rsidR="00114DC4" w:rsidRPr="00114DC4" w:rsidRDefault="00114DC4" w:rsidP="00A0134B">
      <w:pPr>
        <w:spacing w:line="288" w:lineRule="auto"/>
        <w:jc w:val="both"/>
        <w:rPr>
          <w:rFonts w:ascii="Arial" w:hAnsi="Arial" w:cs="Arial"/>
          <w:sz w:val="22"/>
          <w:szCs w:val="22"/>
        </w:rPr>
      </w:pPr>
    </w:p>
    <w:p w14:paraId="13B97B75" w14:textId="77777777" w:rsidR="00114DC4" w:rsidRPr="00114DC4" w:rsidRDefault="00114DC4" w:rsidP="006E2028">
      <w:pPr>
        <w:spacing w:line="288" w:lineRule="auto"/>
        <w:jc w:val="both"/>
        <w:rPr>
          <w:rFonts w:ascii="Arial" w:hAnsi="Arial" w:cs="Arial"/>
          <w:sz w:val="22"/>
          <w:szCs w:val="22"/>
        </w:rPr>
      </w:pPr>
      <w:r w:rsidRPr="00545EDE">
        <w:rPr>
          <w:rFonts w:ascii="Arial" w:hAnsi="Arial" w:cs="Arial"/>
          <w:b/>
          <w:sz w:val="22"/>
          <w:szCs w:val="22"/>
        </w:rPr>
        <w:t>• (SÍ):</w:t>
      </w:r>
      <w:r w:rsidRPr="00114DC4">
        <w:rPr>
          <w:rFonts w:ascii="Arial" w:hAnsi="Arial" w:cs="Arial"/>
          <w:sz w:val="22"/>
          <w:szCs w:val="22"/>
        </w:rPr>
        <w:t xml:space="preserve"> imputable. Se utiliza para registros contables y se define a nivel de auxiliar directo.</w:t>
      </w:r>
    </w:p>
    <w:p w14:paraId="4DC1E4AF" w14:textId="77777777" w:rsidR="00114DC4" w:rsidRPr="00114DC4" w:rsidRDefault="00114DC4" w:rsidP="006E2028">
      <w:pPr>
        <w:spacing w:line="288" w:lineRule="auto"/>
        <w:jc w:val="both"/>
        <w:rPr>
          <w:rFonts w:ascii="Arial" w:hAnsi="Arial" w:cs="Arial"/>
          <w:sz w:val="22"/>
          <w:szCs w:val="22"/>
        </w:rPr>
      </w:pPr>
    </w:p>
    <w:p w14:paraId="226EFBB9" w14:textId="77777777" w:rsidR="00114DC4" w:rsidRPr="00114DC4" w:rsidRDefault="00114DC4" w:rsidP="006E2028">
      <w:pPr>
        <w:spacing w:line="288" w:lineRule="auto"/>
        <w:jc w:val="both"/>
        <w:rPr>
          <w:rFonts w:ascii="Arial" w:hAnsi="Arial" w:cs="Arial"/>
          <w:sz w:val="22"/>
          <w:szCs w:val="22"/>
        </w:rPr>
      </w:pPr>
      <w:r w:rsidRPr="00545EDE">
        <w:rPr>
          <w:rFonts w:ascii="Arial" w:hAnsi="Arial" w:cs="Arial"/>
          <w:b/>
          <w:sz w:val="22"/>
          <w:szCs w:val="22"/>
        </w:rPr>
        <w:t>• (NO):</w:t>
      </w:r>
      <w:r w:rsidRPr="00114DC4">
        <w:rPr>
          <w:rFonts w:ascii="Arial" w:hAnsi="Arial" w:cs="Arial"/>
          <w:sz w:val="22"/>
          <w:szCs w:val="22"/>
        </w:rPr>
        <w:t xml:space="preserve"> imputable. Se utiliza para acumular el valor a niveles superiores subsiguientes (</w:t>
      </w:r>
      <w:r w:rsidR="00545EDE">
        <w:rPr>
          <w:rFonts w:ascii="Arial" w:hAnsi="Arial" w:cs="Arial"/>
          <w:sz w:val="22"/>
          <w:szCs w:val="22"/>
        </w:rPr>
        <w:t xml:space="preserve">subcuenta, </w:t>
      </w:r>
      <w:r w:rsidRPr="00114DC4">
        <w:rPr>
          <w:rFonts w:ascii="Arial" w:hAnsi="Arial" w:cs="Arial"/>
          <w:sz w:val="22"/>
          <w:szCs w:val="22"/>
        </w:rPr>
        <w:t>cuenta, grupo, clase).</w:t>
      </w:r>
    </w:p>
    <w:p w14:paraId="16BB9C23" w14:textId="77777777" w:rsidR="00114DC4" w:rsidRPr="00114DC4" w:rsidRDefault="00114DC4" w:rsidP="00A0134B">
      <w:pPr>
        <w:spacing w:line="288" w:lineRule="auto"/>
        <w:jc w:val="both"/>
        <w:rPr>
          <w:rFonts w:ascii="Arial" w:hAnsi="Arial" w:cs="Arial"/>
          <w:sz w:val="22"/>
          <w:szCs w:val="22"/>
        </w:rPr>
      </w:pPr>
    </w:p>
    <w:p w14:paraId="36619979"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Clasificación:</w:t>
      </w:r>
      <w:r w:rsidRPr="00114DC4">
        <w:rPr>
          <w:rFonts w:ascii="Arial" w:hAnsi="Arial" w:cs="Arial"/>
          <w:sz w:val="22"/>
          <w:szCs w:val="22"/>
        </w:rPr>
        <w:t xml:space="preserve"> Permite clasificar el saldo final de los códigos a nivel imputable en corriente y no corriente y sirve de base para generar los formatos de saldos y movimientos, y de operaciones recíprocas. Poseen los siguientes valores, teniendo en cuenta el criterio de liquidez en los activos y la exigibilidad en los pasivos:</w:t>
      </w:r>
    </w:p>
    <w:p w14:paraId="5949779E" w14:textId="77777777" w:rsidR="00114DC4" w:rsidRPr="00114DC4" w:rsidRDefault="00114DC4" w:rsidP="00A0134B">
      <w:pPr>
        <w:spacing w:line="288" w:lineRule="auto"/>
        <w:jc w:val="both"/>
        <w:rPr>
          <w:rFonts w:ascii="Arial" w:hAnsi="Arial" w:cs="Arial"/>
          <w:sz w:val="22"/>
          <w:szCs w:val="22"/>
        </w:rPr>
      </w:pPr>
    </w:p>
    <w:p w14:paraId="727EDF3B"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lastRenderedPageBreak/>
        <w:t>• Activo corriente:</w:t>
      </w:r>
      <w:r w:rsidRPr="00114DC4">
        <w:rPr>
          <w:rFonts w:ascii="Arial" w:hAnsi="Arial" w:cs="Arial"/>
          <w:sz w:val="22"/>
          <w:szCs w:val="22"/>
        </w:rPr>
        <w:t xml:space="preserve"> Comprende los bienes y derechos que razonablemente pueden ser convertidos en efectivo, o que por su naturaleza pueden realizarse o consumirse, en un periodo no superior a un año, contados a partir de la fecha del </w:t>
      </w:r>
      <w:r w:rsidR="00545EDE">
        <w:rPr>
          <w:rFonts w:ascii="Arial" w:hAnsi="Arial" w:cs="Arial"/>
          <w:sz w:val="22"/>
          <w:szCs w:val="22"/>
        </w:rPr>
        <w:t>estado de situación financiera</w:t>
      </w:r>
      <w:r w:rsidRPr="00114DC4">
        <w:rPr>
          <w:rFonts w:ascii="Arial" w:hAnsi="Arial" w:cs="Arial"/>
          <w:sz w:val="22"/>
          <w:szCs w:val="22"/>
        </w:rPr>
        <w:t>.</w:t>
      </w:r>
    </w:p>
    <w:p w14:paraId="0846DDC9" w14:textId="77777777" w:rsidR="00114DC4" w:rsidRPr="00114DC4" w:rsidRDefault="00114DC4" w:rsidP="00A0134B">
      <w:pPr>
        <w:spacing w:line="288" w:lineRule="auto"/>
        <w:jc w:val="both"/>
        <w:rPr>
          <w:rFonts w:ascii="Arial" w:hAnsi="Arial" w:cs="Arial"/>
          <w:sz w:val="22"/>
          <w:szCs w:val="22"/>
        </w:rPr>
      </w:pPr>
    </w:p>
    <w:p w14:paraId="21B72B88"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Activo no corriente:</w:t>
      </w:r>
      <w:r w:rsidRPr="00114DC4">
        <w:rPr>
          <w:rFonts w:ascii="Arial" w:hAnsi="Arial" w:cs="Arial"/>
          <w:sz w:val="22"/>
          <w:szCs w:val="22"/>
        </w:rPr>
        <w:t xml:space="preserve"> Está constituido por los bienes y derechos de relativa permanencia, que se adquieren con el fin de utilizarlos, consumirlos o explotarlos y no con la intención de comercializarlos.</w:t>
      </w:r>
    </w:p>
    <w:p w14:paraId="0B0DCD23" w14:textId="77777777" w:rsidR="00114DC4" w:rsidRPr="00545EDE" w:rsidRDefault="00114DC4" w:rsidP="00A0134B">
      <w:pPr>
        <w:spacing w:line="288" w:lineRule="auto"/>
        <w:jc w:val="both"/>
        <w:rPr>
          <w:rFonts w:ascii="Arial" w:hAnsi="Arial" w:cs="Arial"/>
          <w:b/>
          <w:sz w:val="22"/>
          <w:szCs w:val="22"/>
        </w:rPr>
      </w:pPr>
    </w:p>
    <w:p w14:paraId="2B836B31"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Pasivo corriente:</w:t>
      </w:r>
      <w:r w:rsidRPr="00114DC4">
        <w:rPr>
          <w:rFonts w:ascii="Arial" w:hAnsi="Arial" w:cs="Arial"/>
          <w:sz w:val="22"/>
          <w:szCs w:val="22"/>
        </w:rPr>
        <w:t xml:space="preserve"> Agrupa las obligaciones derivadas de las actividades de la entidad contable pública, exigibles en un periodo no mayor a un año, contado a partir de la fecha del </w:t>
      </w:r>
      <w:r w:rsidR="00DC68C4">
        <w:rPr>
          <w:rFonts w:ascii="Arial" w:hAnsi="Arial" w:cs="Arial"/>
          <w:sz w:val="22"/>
          <w:szCs w:val="22"/>
        </w:rPr>
        <w:t>estado de situación financiera</w:t>
      </w:r>
      <w:r w:rsidRPr="00114DC4">
        <w:rPr>
          <w:rFonts w:ascii="Arial" w:hAnsi="Arial" w:cs="Arial"/>
          <w:sz w:val="22"/>
          <w:szCs w:val="22"/>
        </w:rPr>
        <w:t>.</w:t>
      </w:r>
    </w:p>
    <w:p w14:paraId="6BB40878" w14:textId="77777777" w:rsidR="00114DC4" w:rsidRPr="00545EDE" w:rsidRDefault="00114DC4" w:rsidP="00A0134B">
      <w:pPr>
        <w:spacing w:line="288" w:lineRule="auto"/>
        <w:jc w:val="both"/>
        <w:rPr>
          <w:rFonts w:ascii="Arial" w:hAnsi="Arial" w:cs="Arial"/>
          <w:b/>
          <w:sz w:val="22"/>
          <w:szCs w:val="22"/>
        </w:rPr>
      </w:pPr>
    </w:p>
    <w:p w14:paraId="74B5E358"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Pasivo no corriente:</w:t>
      </w:r>
      <w:r w:rsidRPr="00114DC4">
        <w:rPr>
          <w:rFonts w:ascii="Arial" w:hAnsi="Arial" w:cs="Arial"/>
          <w:sz w:val="22"/>
          <w:szCs w:val="22"/>
        </w:rPr>
        <w:t xml:space="preserve"> Corresponde a las obligaciones derivadas de las actividades de la entidad contable pública exigibles en un periodo mayor a un año, contado a partir de la fecha del </w:t>
      </w:r>
      <w:r w:rsidR="00DC68C4">
        <w:rPr>
          <w:rFonts w:ascii="Arial" w:hAnsi="Arial" w:cs="Arial"/>
          <w:sz w:val="22"/>
          <w:szCs w:val="22"/>
        </w:rPr>
        <w:t>estado de situación financiera</w:t>
      </w:r>
      <w:r w:rsidRPr="00114DC4">
        <w:rPr>
          <w:rFonts w:ascii="Arial" w:hAnsi="Arial" w:cs="Arial"/>
          <w:sz w:val="22"/>
          <w:szCs w:val="22"/>
        </w:rPr>
        <w:t>.</w:t>
      </w:r>
    </w:p>
    <w:p w14:paraId="00DF9BA3" w14:textId="77777777" w:rsidR="00114DC4" w:rsidRPr="00545EDE" w:rsidRDefault="00114DC4" w:rsidP="00A0134B">
      <w:pPr>
        <w:spacing w:line="288" w:lineRule="auto"/>
        <w:jc w:val="both"/>
        <w:rPr>
          <w:rFonts w:ascii="Arial" w:hAnsi="Arial" w:cs="Arial"/>
          <w:b/>
          <w:sz w:val="22"/>
          <w:szCs w:val="22"/>
        </w:rPr>
      </w:pPr>
    </w:p>
    <w:p w14:paraId="1D6268A6"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Ambos:</w:t>
      </w:r>
      <w:r w:rsidRPr="00114DC4">
        <w:rPr>
          <w:rFonts w:ascii="Arial" w:hAnsi="Arial" w:cs="Arial"/>
          <w:sz w:val="22"/>
          <w:szCs w:val="22"/>
        </w:rPr>
        <w:t xml:space="preserve"> Puede contener clasificación de los saldos de los dos anteriores (corriente y no corriente).</w:t>
      </w:r>
    </w:p>
    <w:p w14:paraId="63557721" w14:textId="77777777" w:rsidR="00114DC4" w:rsidRPr="00114DC4" w:rsidRDefault="00114DC4" w:rsidP="00A0134B">
      <w:pPr>
        <w:spacing w:line="288" w:lineRule="auto"/>
        <w:jc w:val="both"/>
        <w:rPr>
          <w:rFonts w:ascii="Arial" w:hAnsi="Arial" w:cs="Arial"/>
          <w:sz w:val="22"/>
          <w:szCs w:val="22"/>
        </w:rPr>
      </w:pPr>
    </w:p>
    <w:p w14:paraId="60C815A0"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Manual:</w:t>
      </w:r>
      <w:r w:rsidRPr="00114DC4">
        <w:rPr>
          <w:rFonts w:ascii="Arial" w:hAnsi="Arial" w:cs="Arial"/>
          <w:sz w:val="22"/>
          <w:szCs w:val="22"/>
        </w:rPr>
        <w:t xml:space="preserve"> Característica que permite a determinados códigos contables imputables, efectuar registros manuales, contiene los siguientes valores:</w:t>
      </w:r>
    </w:p>
    <w:p w14:paraId="76F27B2E" w14:textId="77777777" w:rsidR="00114DC4" w:rsidRPr="00114DC4" w:rsidRDefault="00114DC4" w:rsidP="00A0134B">
      <w:pPr>
        <w:spacing w:line="288" w:lineRule="auto"/>
        <w:jc w:val="both"/>
        <w:rPr>
          <w:rFonts w:ascii="Arial" w:hAnsi="Arial" w:cs="Arial"/>
          <w:sz w:val="22"/>
          <w:szCs w:val="22"/>
        </w:rPr>
      </w:pPr>
    </w:p>
    <w:p w14:paraId="4F6C8EAB"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(SÍ):</w:t>
      </w:r>
      <w:r w:rsidRPr="00114DC4">
        <w:rPr>
          <w:rFonts w:ascii="Arial" w:hAnsi="Arial" w:cs="Arial"/>
          <w:sz w:val="22"/>
          <w:szCs w:val="22"/>
        </w:rPr>
        <w:t xml:space="preserve"> permite realizar registros manuales.</w:t>
      </w:r>
    </w:p>
    <w:p w14:paraId="12AA12CF" w14:textId="77777777" w:rsidR="00114DC4" w:rsidRPr="00114DC4" w:rsidRDefault="00114DC4" w:rsidP="00A0134B">
      <w:pPr>
        <w:spacing w:line="288" w:lineRule="auto"/>
        <w:jc w:val="both"/>
        <w:rPr>
          <w:rFonts w:ascii="Arial" w:hAnsi="Arial" w:cs="Arial"/>
          <w:sz w:val="22"/>
          <w:szCs w:val="22"/>
        </w:rPr>
      </w:pPr>
    </w:p>
    <w:p w14:paraId="21A05D20"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(NO):</w:t>
      </w:r>
      <w:r w:rsidRPr="00114DC4">
        <w:rPr>
          <w:rFonts w:ascii="Arial" w:hAnsi="Arial" w:cs="Arial"/>
          <w:sz w:val="22"/>
          <w:szCs w:val="22"/>
        </w:rPr>
        <w:t xml:space="preserve"> no permite realizar registros manuales. En este caso los registros se imputan con las tablas de eventos contables.</w:t>
      </w:r>
    </w:p>
    <w:p w14:paraId="20216ADF" w14:textId="77777777" w:rsidR="00114DC4" w:rsidRPr="00114DC4" w:rsidRDefault="00114DC4" w:rsidP="00A0134B">
      <w:pPr>
        <w:spacing w:line="288" w:lineRule="auto"/>
        <w:jc w:val="both"/>
        <w:rPr>
          <w:rFonts w:ascii="Arial" w:hAnsi="Arial" w:cs="Arial"/>
          <w:sz w:val="22"/>
          <w:szCs w:val="22"/>
        </w:rPr>
      </w:pPr>
    </w:p>
    <w:p w14:paraId="3D0DA31C"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Recíproca:</w:t>
      </w:r>
      <w:r w:rsidRPr="00114DC4">
        <w:rPr>
          <w:rFonts w:ascii="Arial" w:hAnsi="Arial" w:cs="Arial"/>
          <w:sz w:val="22"/>
          <w:szCs w:val="22"/>
        </w:rPr>
        <w:t xml:space="preserve"> Identifica los códigos contables que registran transacciones</w:t>
      </w:r>
      <w:r w:rsidR="00DC68C4">
        <w:rPr>
          <w:rFonts w:ascii="Arial" w:hAnsi="Arial" w:cs="Arial"/>
          <w:sz w:val="22"/>
          <w:szCs w:val="22"/>
        </w:rPr>
        <w:t>, hechos y operaciones</w:t>
      </w:r>
      <w:r w:rsidRPr="00114DC4">
        <w:rPr>
          <w:rFonts w:ascii="Arial" w:hAnsi="Arial" w:cs="Arial"/>
          <w:sz w:val="22"/>
          <w:szCs w:val="22"/>
        </w:rPr>
        <w:t>, realizadas entre entidades contables públicas, las cuales están asociadas con activos, pasivos, patrimonio, ingresos, gastos o costos, de acuerdo con la</w:t>
      </w:r>
      <w:r w:rsidR="00DC68C4">
        <w:rPr>
          <w:rFonts w:ascii="Arial" w:hAnsi="Arial" w:cs="Arial"/>
          <w:sz w:val="22"/>
          <w:szCs w:val="22"/>
        </w:rPr>
        <w:t xml:space="preserve">s </w:t>
      </w:r>
      <w:r w:rsidR="00DC68C4" w:rsidRPr="00DC68C4">
        <w:rPr>
          <w:rFonts w:ascii="Arial" w:hAnsi="Arial" w:cs="Arial"/>
          <w:i/>
          <w:sz w:val="22"/>
          <w:szCs w:val="22"/>
        </w:rPr>
        <w:t>Reglas de Eliminación</w:t>
      </w:r>
      <w:r w:rsidR="00DC68C4">
        <w:rPr>
          <w:rFonts w:ascii="Arial" w:hAnsi="Arial" w:cs="Arial"/>
          <w:i/>
          <w:sz w:val="22"/>
          <w:szCs w:val="22"/>
        </w:rPr>
        <w:t>.</w:t>
      </w:r>
      <w:r w:rsidRPr="00114DC4">
        <w:rPr>
          <w:rFonts w:ascii="Arial" w:hAnsi="Arial" w:cs="Arial"/>
          <w:sz w:val="22"/>
          <w:szCs w:val="22"/>
        </w:rPr>
        <w:t xml:space="preserve"> Contiene los siguientes valores:</w:t>
      </w:r>
    </w:p>
    <w:p w14:paraId="4F37488E" w14:textId="77777777" w:rsidR="00114DC4" w:rsidRPr="00114DC4" w:rsidRDefault="00114DC4" w:rsidP="00A0134B">
      <w:pPr>
        <w:spacing w:line="288" w:lineRule="auto"/>
        <w:jc w:val="both"/>
        <w:rPr>
          <w:rFonts w:ascii="Arial" w:hAnsi="Arial" w:cs="Arial"/>
          <w:sz w:val="22"/>
          <w:szCs w:val="22"/>
        </w:rPr>
      </w:pPr>
    </w:p>
    <w:p w14:paraId="16E75232" w14:textId="77777777" w:rsidR="00114DC4" w:rsidRPr="00114DC4" w:rsidRDefault="00114DC4" w:rsidP="00A0134B">
      <w:pPr>
        <w:spacing w:line="288" w:lineRule="auto"/>
        <w:jc w:val="both"/>
        <w:rPr>
          <w:rFonts w:ascii="Arial" w:hAnsi="Arial" w:cs="Arial"/>
          <w:sz w:val="22"/>
          <w:szCs w:val="22"/>
        </w:rPr>
      </w:pPr>
      <w:r w:rsidRPr="00545EDE">
        <w:rPr>
          <w:rFonts w:ascii="Arial" w:hAnsi="Arial" w:cs="Arial"/>
          <w:b/>
          <w:sz w:val="22"/>
          <w:szCs w:val="22"/>
        </w:rPr>
        <w:t>• (SÍ):</w:t>
      </w:r>
      <w:r w:rsidRPr="00114DC4">
        <w:rPr>
          <w:rFonts w:ascii="Arial" w:hAnsi="Arial" w:cs="Arial"/>
          <w:sz w:val="22"/>
          <w:szCs w:val="22"/>
        </w:rPr>
        <w:t xml:space="preserve"> la subcuenta tiene definida la característica de operación recíproca.</w:t>
      </w:r>
    </w:p>
    <w:p w14:paraId="4348FD23" w14:textId="77777777" w:rsidR="00114DC4" w:rsidRPr="00114DC4" w:rsidRDefault="00114DC4" w:rsidP="00A0134B">
      <w:pPr>
        <w:spacing w:line="288" w:lineRule="auto"/>
        <w:jc w:val="both"/>
        <w:rPr>
          <w:rFonts w:ascii="Arial" w:hAnsi="Arial" w:cs="Arial"/>
          <w:sz w:val="22"/>
          <w:szCs w:val="22"/>
        </w:rPr>
      </w:pPr>
    </w:p>
    <w:p w14:paraId="622411A9" w14:textId="77777777" w:rsidR="00114DC4" w:rsidRPr="00114DC4" w:rsidRDefault="00114DC4" w:rsidP="00A0134B">
      <w:pPr>
        <w:spacing w:line="288" w:lineRule="auto"/>
        <w:jc w:val="both"/>
        <w:rPr>
          <w:rFonts w:ascii="Arial" w:hAnsi="Arial" w:cs="Arial"/>
          <w:sz w:val="22"/>
          <w:szCs w:val="22"/>
        </w:rPr>
      </w:pPr>
      <w:r w:rsidRPr="00114DC4">
        <w:rPr>
          <w:rFonts w:ascii="Arial" w:hAnsi="Arial" w:cs="Arial"/>
          <w:sz w:val="22"/>
          <w:szCs w:val="22"/>
        </w:rPr>
        <w:t>•</w:t>
      </w:r>
      <w:r w:rsidRPr="00545EDE">
        <w:rPr>
          <w:rFonts w:ascii="Arial" w:hAnsi="Arial" w:cs="Arial"/>
          <w:b/>
          <w:sz w:val="22"/>
          <w:szCs w:val="22"/>
        </w:rPr>
        <w:t xml:space="preserve"> (NO):</w:t>
      </w:r>
      <w:r w:rsidRPr="00114DC4">
        <w:rPr>
          <w:rFonts w:ascii="Arial" w:hAnsi="Arial" w:cs="Arial"/>
          <w:sz w:val="22"/>
          <w:szCs w:val="22"/>
        </w:rPr>
        <w:t xml:space="preserve"> la subcuenta no tiene definida la característica de operación recíproca.</w:t>
      </w:r>
    </w:p>
    <w:p w14:paraId="1CC67A75" w14:textId="77777777" w:rsidR="00114DC4" w:rsidRPr="00114DC4" w:rsidRDefault="00114DC4" w:rsidP="00A0134B">
      <w:pPr>
        <w:spacing w:line="288" w:lineRule="auto"/>
        <w:jc w:val="both"/>
        <w:rPr>
          <w:rFonts w:ascii="Arial" w:hAnsi="Arial" w:cs="Arial"/>
          <w:sz w:val="22"/>
          <w:szCs w:val="22"/>
        </w:rPr>
      </w:pPr>
    </w:p>
    <w:p w14:paraId="055489DD" w14:textId="77777777" w:rsidR="001D6B84" w:rsidRDefault="00114DC4" w:rsidP="00A0134B">
      <w:pPr>
        <w:spacing w:line="288" w:lineRule="auto"/>
        <w:jc w:val="both"/>
        <w:rPr>
          <w:rFonts w:ascii="Arial" w:hAnsi="Arial" w:cs="Arial"/>
          <w:sz w:val="22"/>
          <w:szCs w:val="22"/>
        </w:rPr>
      </w:pPr>
      <w:r w:rsidRPr="00545EDE">
        <w:rPr>
          <w:rFonts w:ascii="Arial" w:hAnsi="Arial" w:cs="Arial"/>
          <w:b/>
          <w:sz w:val="22"/>
          <w:szCs w:val="22"/>
        </w:rPr>
        <w:t xml:space="preserve">Aplica banco: </w:t>
      </w:r>
      <w:r w:rsidRPr="00114DC4">
        <w:rPr>
          <w:rFonts w:ascii="Arial" w:hAnsi="Arial" w:cs="Arial"/>
          <w:sz w:val="22"/>
          <w:szCs w:val="22"/>
        </w:rPr>
        <w:t xml:space="preserve">Se refiere a los códigos contables que tiene asociada una cuenta bancaria y al que corresponde la contrapartida para el registro contable del recaudo por clasificar. Este campo se requiere para que el sistema identifique los códigos contables de acuerdo </w:t>
      </w:r>
      <w:r w:rsidRPr="00114DC4">
        <w:rPr>
          <w:rFonts w:ascii="Arial" w:hAnsi="Arial" w:cs="Arial"/>
          <w:sz w:val="22"/>
          <w:szCs w:val="22"/>
        </w:rPr>
        <w:lastRenderedPageBreak/>
        <w:t xml:space="preserve">con la información registrada en la tabla </w:t>
      </w:r>
      <w:r w:rsidRPr="003D7673">
        <w:rPr>
          <w:rFonts w:ascii="Arial" w:hAnsi="Arial" w:cs="Arial"/>
          <w:i/>
          <w:iCs/>
          <w:sz w:val="22"/>
          <w:szCs w:val="22"/>
        </w:rPr>
        <w:t>“cuentas bancarias”.</w:t>
      </w:r>
      <w:r w:rsidRPr="00114DC4">
        <w:rPr>
          <w:rFonts w:ascii="Arial" w:hAnsi="Arial" w:cs="Arial"/>
          <w:sz w:val="22"/>
          <w:szCs w:val="22"/>
        </w:rPr>
        <w:t xml:space="preserve"> Contiene los siguientes</w:t>
      </w:r>
      <w:r w:rsidR="00354FD4">
        <w:rPr>
          <w:rFonts w:ascii="Arial" w:hAnsi="Arial" w:cs="Arial"/>
          <w:sz w:val="22"/>
          <w:szCs w:val="22"/>
        </w:rPr>
        <w:t xml:space="preserve"> </w:t>
      </w:r>
      <w:r w:rsidRPr="00114DC4">
        <w:rPr>
          <w:rFonts w:ascii="Arial" w:hAnsi="Arial" w:cs="Arial"/>
          <w:sz w:val="22"/>
          <w:szCs w:val="22"/>
        </w:rPr>
        <w:t>valores:</w:t>
      </w:r>
    </w:p>
    <w:p w14:paraId="17398EF9" w14:textId="77777777" w:rsidR="001D6B84" w:rsidRDefault="001D6B84" w:rsidP="00354FD4">
      <w:pPr>
        <w:spacing w:line="288" w:lineRule="auto"/>
        <w:jc w:val="both"/>
        <w:rPr>
          <w:rFonts w:ascii="Arial" w:hAnsi="Arial" w:cs="Arial"/>
          <w:sz w:val="22"/>
          <w:szCs w:val="22"/>
        </w:rPr>
      </w:pPr>
    </w:p>
    <w:p w14:paraId="162E95F7" w14:textId="77777777" w:rsidR="001D6B84" w:rsidRDefault="00E56F22" w:rsidP="00354FD4">
      <w:pPr>
        <w:spacing w:line="288" w:lineRule="auto"/>
        <w:jc w:val="both"/>
      </w:pPr>
      <w:r w:rsidRPr="001D6B84">
        <w:rPr>
          <w:noProof/>
          <w:lang w:val="es-CO" w:eastAsia="es-CO"/>
        </w:rPr>
        <w:drawing>
          <wp:inline distT="0" distB="0" distL="0" distR="0" wp14:anchorId="456EB280" wp14:editId="42C2B6FC">
            <wp:extent cx="5610225" cy="6991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14:paraId="143BDE5A" w14:textId="77777777" w:rsidR="00354FD4" w:rsidRPr="00A0134B" w:rsidRDefault="001D6B84" w:rsidP="00EF3D59">
      <w:pPr>
        <w:spacing w:line="288" w:lineRule="auto"/>
        <w:jc w:val="both"/>
        <w:rPr>
          <w:rFonts w:ascii="Arial" w:hAnsi="Arial" w:cs="Arial"/>
          <w:color w:val="000000"/>
          <w:sz w:val="22"/>
          <w:szCs w:val="22"/>
        </w:rPr>
      </w:pPr>
      <w:r>
        <w:br w:type="page"/>
      </w:r>
      <w:bookmarkStart w:id="130" w:name="_Toc397936264"/>
      <w:bookmarkStart w:id="131" w:name="_Toc459991363"/>
      <w:bookmarkStart w:id="132" w:name="_Toc490726963"/>
      <w:bookmarkStart w:id="133" w:name="_Toc490727911"/>
      <w:r w:rsidR="00354FD4" w:rsidRPr="00A0134B">
        <w:rPr>
          <w:rFonts w:ascii="Arial" w:hAnsi="Arial" w:cs="Arial"/>
          <w:b/>
          <w:color w:val="000000"/>
          <w:sz w:val="22"/>
          <w:szCs w:val="22"/>
        </w:rPr>
        <w:lastRenderedPageBreak/>
        <w:t>• Corriente:</w:t>
      </w:r>
      <w:r w:rsidR="00354FD4" w:rsidRPr="00A0134B">
        <w:rPr>
          <w:rFonts w:ascii="Arial" w:hAnsi="Arial" w:cs="Arial"/>
          <w:color w:val="000000"/>
          <w:sz w:val="22"/>
          <w:szCs w:val="22"/>
        </w:rPr>
        <w:t xml:space="preserve"> El código contable está asociado en el campo débito de la cuenta corriente.</w:t>
      </w:r>
    </w:p>
    <w:p w14:paraId="57CDF052"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p>
    <w:p w14:paraId="12895A86"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 Ahorros:</w:t>
      </w:r>
      <w:r w:rsidRPr="00A0134B">
        <w:rPr>
          <w:rFonts w:ascii="Arial" w:hAnsi="Arial" w:cs="Arial"/>
          <w:color w:val="000000"/>
          <w:sz w:val="22"/>
          <w:szCs w:val="22"/>
        </w:rPr>
        <w:t xml:space="preserve"> El código contable está asociado en el campo débito de la cuenta de ahorros.</w:t>
      </w:r>
    </w:p>
    <w:p w14:paraId="3A628D43"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71D22139"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 Ninguna:</w:t>
      </w:r>
      <w:r w:rsidRPr="00A0134B">
        <w:rPr>
          <w:rFonts w:ascii="Arial" w:hAnsi="Arial" w:cs="Arial"/>
          <w:color w:val="000000"/>
          <w:sz w:val="22"/>
          <w:szCs w:val="22"/>
        </w:rPr>
        <w:t xml:space="preserve"> El código contable no está asociado a cuentas bancarias.</w:t>
      </w:r>
    </w:p>
    <w:p w14:paraId="25517867"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4184C216"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 Crédito</w:t>
      </w:r>
      <w:r w:rsidRPr="00A0134B">
        <w:rPr>
          <w:rFonts w:ascii="Arial" w:hAnsi="Arial" w:cs="Arial"/>
          <w:color w:val="000000"/>
          <w:sz w:val="22"/>
          <w:szCs w:val="22"/>
        </w:rPr>
        <w:t>: El código contable está asociado en el campo crédito de la cuenta bancaria.</w:t>
      </w:r>
    </w:p>
    <w:p w14:paraId="1D16A873"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0949112F"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Naturaleza:</w:t>
      </w:r>
      <w:r w:rsidRPr="00A0134B">
        <w:rPr>
          <w:rFonts w:ascii="Arial" w:hAnsi="Arial" w:cs="Arial"/>
          <w:color w:val="000000"/>
          <w:sz w:val="22"/>
          <w:szCs w:val="22"/>
        </w:rPr>
        <w:t xml:space="preserve"> Se define en la clase y es heredada por las clasificaciones inferiores. Sus valores son débito y crédito.</w:t>
      </w:r>
    </w:p>
    <w:p w14:paraId="5324DD8A"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4853CA14"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Saldo:</w:t>
      </w:r>
      <w:r w:rsidRPr="00A0134B">
        <w:rPr>
          <w:rFonts w:ascii="Arial" w:hAnsi="Arial" w:cs="Arial"/>
          <w:color w:val="000000"/>
          <w:sz w:val="22"/>
          <w:szCs w:val="22"/>
        </w:rPr>
        <w:t xml:space="preserve"> Se refiere al saldo del código contable si es </w:t>
      </w:r>
      <w:r w:rsidRPr="003D7673">
        <w:rPr>
          <w:rFonts w:ascii="Arial" w:hAnsi="Arial" w:cs="Arial"/>
          <w:i/>
          <w:iCs/>
          <w:color w:val="000000"/>
          <w:sz w:val="22"/>
          <w:szCs w:val="22"/>
        </w:rPr>
        <w:t xml:space="preserve">“igual o contrario” </w:t>
      </w:r>
      <w:r w:rsidRPr="00A0134B">
        <w:rPr>
          <w:rFonts w:ascii="Arial" w:hAnsi="Arial" w:cs="Arial"/>
          <w:color w:val="000000"/>
          <w:sz w:val="22"/>
          <w:szCs w:val="22"/>
        </w:rPr>
        <w:t>a su naturaleza. Sus valores son débito y crédito.</w:t>
      </w:r>
    </w:p>
    <w:p w14:paraId="517C3E07"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26646770"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Vigente:</w:t>
      </w:r>
      <w:r w:rsidRPr="00A0134B">
        <w:rPr>
          <w:rFonts w:ascii="Arial" w:hAnsi="Arial" w:cs="Arial"/>
          <w:color w:val="000000"/>
          <w:sz w:val="22"/>
          <w:szCs w:val="22"/>
        </w:rPr>
        <w:t xml:space="preserve"> Identifica si la posición de catálogo contable está disponible para ser utilizada en las tablas de eventos o en registros manuales. Contiene los siguientes valores:</w:t>
      </w:r>
    </w:p>
    <w:p w14:paraId="74E105CE"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77A8B308"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 (SÍ):</w:t>
      </w:r>
      <w:r w:rsidRPr="00A0134B">
        <w:rPr>
          <w:rFonts w:ascii="Arial" w:hAnsi="Arial" w:cs="Arial"/>
          <w:color w:val="000000"/>
          <w:sz w:val="22"/>
          <w:szCs w:val="22"/>
        </w:rPr>
        <w:t xml:space="preserve"> la clase, grupo, cuenta, subcuenta o auxiliar directo está vigente.</w:t>
      </w:r>
    </w:p>
    <w:p w14:paraId="1DE93C35"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 (NO):</w:t>
      </w:r>
      <w:r w:rsidRPr="00A0134B">
        <w:rPr>
          <w:rFonts w:ascii="Arial" w:hAnsi="Arial" w:cs="Arial"/>
          <w:color w:val="000000"/>
          <w:sz w:val="22"/>
          <w:szCs w:val="22"/>
        </w:rPr>
        <w:t xml:space="preserve"> la clase, grupo, cuenta, subcuenta o auxiliar directo no está vigente.</w:t>
      </w:r>
    </w:p>
    <w:p w14:paraId="17B7924D" w14:textId="77777777" w:rsidR="006C4E06" w:rsidRPr="00A0134B" w:rsidRDefault="006C4E06" w:rsidP="00EF3D59">
      <w:pPr>
        <w:pStyle w:val="unico"/>
        <w:spacing w:before="0" w:beforeAutospacing="0" w:after="0" w:afterAutospacing="0" w:line="288" w:lineRule="auto"/>
        <w:jc w:val="both"/>
        <w:rPr>
          <w:rFonts w:ascii="Arial" w:hAnsi="Arial" w:cs="Arial"/>
          <w:color w:val="000000"/>
          <w:sz w:val="22"/>
          <w:szCs w:val="22"/>
        </w:rPr>
      </w:pPr>
    </w:p>
    <w:p w14:paraId="78744DAA" w14:textId="77777777" w:rsidR="00354FD4" w:rsidRPr="00A0134B" w:rsidRDefault="00354FD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Código y nombre de la ECP:</w:t>
      </w:r>
      <w:r w:rsidRPr="00A0134B">
        <w:rPr>
          <w:rFonts w:ascii="Arial" w:hAnsi="Arial" w:cs="Arial"/>
          <w:color w:val="000000"/>
          <w:sz w:val="22"/>
          <w:szCs w:val="22"/>
        </w:rPr>
        <w:t xml:space="preserve"> Corresponden al ámbito. Identifica si el código contable se aplica a una o a todas las ECP y no permite intervalos de entidades.</w:t>
      </w:r>
    </w:p>
    <w:p w14:paraId="20D46DB8" w14:textId="77777777" w:rsidR="00354FD4" w:rsidRPr="00A0134B" w:rsidRDefault="00354FD4" w:rsidP="00EF3D59">
      <w:pPr>
        <w:spacing w:line="288" w:lineRule="auto"/>
        <w:jc w:val="both"/>
        <w:rPr>
          <w:sz w:val="22"/>
          <w:szCs w:val="22"/>
        </w:rPr>
      </w:pPr>
    </w:p>
    <w:p w14:paraId="1081E22C" w14:textId="77777777" w:rsidR="0046335B" w:rsidRPr="00852A89" w:rsidRDefault="0046335B" w:rsidP="00343ECE">
      <w:pPr>
        <w:pStyle w:val="Ttulo3"/>
        <w:numPr>
          <w:ilvl w:val="2"/>
          <w:numId w:val="15"/>
        </w:numPr>
        <w:spacing w:line="288" w:lineRule="auto"/>
        <w:rPr>
          <w:rFonts w:ascii="Arial" w:hAnsi="Arial" w:cs="Arial"/>
          <w:b/>
          <w:sz w:val="22"/>
          <w:szCs w:val="22"/>
        </w:rPr>
      </w:pPr>
      <w:bookmarkStart w:id="134" w:name="_Toc59377833"/>
      <w:r w:rsidRPr="00852A89">
        <w:rPr>
          <w:rFonts w:ascii="Arial" w:hAnsi="Arial" w:cs="Arial"/>
          <w:b/>
          <w:sz w:val="22"/>
          <w:szCs w:val="22"/>
        </w:rPr>
        <w:t>Auxiliares contables</w:t>
      </w:r>
      <w:bookmarkEnd w:id="130"/>
      <w:bookmarkEnd w:id="131"/>
      <w:bookmarkEnd w:id="132"/>
      <w:bookmarkEnd w:id="133"/>
      <w:bookmarkEnd w:id="134"/>
    </w:p>
    <w:p w14:paraId="61CE598B" w14:textId="77777777" w:rsidR="0046335B" w:rsidRPr="00A0134B" w:rsidRDefault="0046335B" w:rsidP="00EF3D59">
      <w:pPr>
        <w:spacing w:line="288" w:lineRule="auto"/>
        <w:ind w:left="284"/>
        <w:jc w:val="both"/>
        <w:rPr>
          <w:rFonts w:ascii="Arial" w:hAnsi="Arial" w:cs="Arial"/>
          <w:b/>
          <w:sz w:val="22"/>
          <w:szCs w:val="22"/>
        </w:rPr>
      </w:pPr>
    </w:p>
    <w:p w14:paraId="444E261A" w14:textId="77777777" w:rsidR="0046335B" w:rsidRPr="00A0134B" w:rsidRDefault="0046335B" w:rsidP="00EF3D59">
      <w:pPr>
        <w:spacing w:line="288" w:lineRule="auto"/>
        <w:jc w:val="both"/>
        <w:rPr>
          <w:rFonts w:ascii="Arial" w:hAnsi="Arial" w:cs="Arial"/>
          <w:sz w:val="22"/>
          <w:szCs w:val="22"/>
        </w:rPr>
      </w:pPr>
      <w:r w:rsidRPr="00A0134B">
        <w:rPr>
          <w:rFonts w:ascii="Arial" w:hAnsi="Arial" w:cs="Arial"/>
          <w:sz w:val="22"/>
          <w:szCs w:val="22"/>
        </w:rPr>
        <w:t>Los auxiliares contables en el sistema son</w:t>
      </w:r>
      <w:r w:rsidR="00A07950" w:rsidRPr="00A0134B">
        <w:rPr>
          <w:rFonts w:ascii="Arial" w:hAnsi="Arial" w:cs="Arial"/>
          <w:sz w:val="22"/>
          <w:szCs w:val="22"/>
        </w:rPr>
        <w:t xml:space="preserve"> directos e internos</w:t>
      </w:r>
    </w:p>
    <w:p w14:paraId="05188FE9" w14:textId="77777777" w:rsidR="0053694A" w:rsidRPr="00A0134B" w:rsidRDefault="0053694A" w:rsidP="00EF3D59">
      <w:pPr>
        <w:spacing w:line="288" w:lineRule="auto"/>
        <w:jc w:val="both"/>
        <w:rPr>
          <w:rFonts w:ascii="Arial" w:hAnsi="Arial" w:cs="Arial"/>
          <w:sz w:val="22"/>
          <w:szCs w:val="22"/>
        </w:rPr>
      </w:pPr>
    </w:p>
    <w:p w14:paraId="1A5596AB" w14:textId="77777777" w:rsidR="0053694A" w:rsidRPr="00A0134B" w:rsidRDefault="0053694A" w:rsidP="00EF3D59">
      <w:pPr>
        <w:spacing w:line="288" w:lineRule="auto"/>
        <w:jc w:val="both"/>
        <w:rPr>
          <w:rFonts w:ascii="Arial" w:hAnsi="Arial" w:cs="Arial"/>
          <w:sz w:val="22"/>
          <w:szCs w:val="22"/>
        </w:rPr>
      </w:pPr>
      <w:r w:rsidRPr="00A0134B">
        <w:rPr>
          <w:rFonts w:ascii="Arial" w:hAnsi="Arial" w:cs="Arial"/>
          <w:b/>
          <w:sz w:val="22"/>
          <w:szCs w:val="22"/>
        </w:rPr>
        <w:t>Auxiliar directo:</w:t>
      </w:r>
      <w:r w:rsidRPr="00A0134B">
        <w:rPr>
          <w:rFonts w:ascii="Arial" w:hAnsi="Arial" w:cs="Arial"/>
          <w:sz w:val="22"/>
          <w:szCs w:val="22"/>
        </w:rPr>
        <w:t xml:space="preserve"> Corresponde a una extensión del código contable, conformado por tres dígitos adicionales a la subcuenta</w:t>
      </w:r>
      <w:r w:rsidR="000D6DB1" w:rsidRPr="00A0134B">
        <w:rPr>
          <w:rFonts w:ascii="Arial" w:hAnsi="Arial" w:cs="Arial"/>
          <w:sz w:val="22"/>
          <w:szCs w:val="22"/>
        </w:rPr>
        <w:t>.</w:t>
      </w:r>
    </w:p>
    <w:p w14:paraId="6081DA5D" w14:textId="77777777" w:rsidR="0053694A" w:rsidRPr="00A0134B" w:rsidRDefault="0053694A" w:rsidP="00EF3D59">
      <w:pPr>
        <w:spacing w:line="288" w:lineRule="auto"/>
        <w:jc w:val="both"/>
        <w:rPr>
          <w:rFonts w:ascii="Arial" w:hAnsi="Arial" w:cs="Arial"/>
          <w:sz w:val="22"/>
          <w:szCs w:val="22"/>
        </w:rPr>
      </w:pPr>
    </w:p>
    <w:p w14:paraId="70A2FD1F" w14:textId="77777777" w:rsidR="000D6DB1" w:rsidRPr="00A0134B" w:rsidRDefault="00A07950"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A</w:t>
      </w:r>
      <w:r w:rsidR="000D6DB1" w:rsidRPr="00A0134B">
        <w:rPr>
          <w:rFonts w:ascii="Arial" w:hAnsi="Arial" w:cs="Arial"/>
          <w:b/>
          <w:color w:val="000000"/>
          <w:sz w:val="22"/>
          <w:szCs w:val="22"/>
        </w:rPr>
        <w:t>uxiliares internos</w:t>
      </w:r>
      <w:r w:rsidR="00FD663B" w:rsidRPr="00A0134B">
        <w:rPr>
          <w:rFonts w:ascii="Arial" w:hAnsi="Arial" w:cs="Arial"/>
          <w:b/>
          <w:color w:val="000000"/>
          <w:sz w:val="22"/>
          <w:szCs w:val="22"/>
        </w:rPr>
        <w:t xml:space="preserve"> (Tabla de eventos TCON5-auxiliares contables)</w:t>
      </w:r>
      <w:r w:rsidR="000D6DB1" w:rsidRPr="00A0134B">
        <w:rPr>
          <w:rFonts w:ascii="Arial" w:hAnsi="Arial" w:cs="Arial"/>
          <w:b/>
          <w:color w:val="000000"/>
          <w:sz w:val="22"/>
          <w:szCs w:val="22"/>
        </w:rPr>
        <w:t>:</w:t>
      </w:r>
      <w:r w:rsidR="000D6DB1" w:rsidRPr="00A0134B">
        <w:rPr>
          <w:rFonts w:ascii="Arial" w:hAnsi="Arial" w:cs="Arial"/>
          <w:color w:val="000000"/>
          <w:sz w:val="22"/>
          <w:szCs w:val="22"/>
        </w:rPr>
        <w:t xml:space="preserve"> Corresponden a datos que se encuentran registrados en las transacciones de los macroprocesos. Se clasifican en fijos y variables, utilizando más de un auxiliar por cada código contable al nivel de imputación, siempre que los catálogos presupuestales y no presupuestales no concurran en una misma clasificación, además que el código se encuentre relacionado en la tabla en la cual esté incluido o relacionado el catálogo del macroproceso correspondiente.</w:t>
      </w:r>
    </w:p>
    <w:p w14:paraId="37D57836" w14:textId="77777777" w:rsidR="00A72B4C" w:rsidRPr="00A0134B" w:rsidRDefault="00A72B4C" w:rsidP="00EF3D59">
      <w:pPr>
        <w:pStyle w:val="unico"/>
        <w:spacing w:before="0" w:beforeAutospacing="0" w:after="0" w:afterAutospacing="0" w:line="288" w:lineRule="auto"/>
        <w:jc w:val="both"/>
        <w:rPr>
          <w:rFonts w:ascii="Arial" w:hAnsi="Arial" w:cs="Arial"/>
          <w:color w:val="000000"/>
          <w:sz w:val="22"/>
          <w:szCs w:val="22"/>
        </w:rPr>
      </w:pPr>
    </w:p>
    <w:p w14:paraId="13718377" w14:textId="77777777" w:rsidR="000D6DB1" w:rsidRPr="00A0134B" w:rsidRDefault="000D6DB1" w:rsidP="00343ECE">
      <w:pPr>
        <w:pStyle w:val="unico"/>
        <w:numPr>
          <w:ilvl w:val="0"/>
          <w:numId w:val="17"/>
        </w:numPr>
        <w:tabs>
          <w:tab w:val="left" w:pos="142"/>
          <w:tab w:val="left" w:pos="851"/>
        </w:tabs>
        <w:spacing w:before="0" w:beforeAutospacing="0" w:after="0" w:afterAutospacing="0" w:line="288" w:lineRule="auto"/>
        <w:ind w:left="0" w:firstLine="0"/>
        <w:jc w:val="both"/>
        <w:rPr>
          <w:rFonts w:ascii="Arial" w:hAnsi="Arial" w:cs="Arial"/>
          <w:color w:val="000000"/>
          <w:sz w:val="22"/>
          <w:szCs w:val="22"/>
        </w:rPr>
      </w:pPr>
      <w:r w:rsidRPr="00A0134B">
        <w:rPr>
          <w:rFonts w:ascii="Arial" w:hAnsi="Arial" w:cs="Arial"/>
          <w:b/>
          <w:color w:val="000000"/>
          <w:sz w:val="22"/>
          <w:szCs w:val="22"/>
        </w:rPr>
        <w:t>Auxiliares fijos:</w:t>
      </w:r>
      <w:r w:rsidRPr="00A0134B">
        <w:rPr>
          <w:rFonts w:ascii="Arial" w:hAnsi="Arial" w:cs="Arial"/>
          <w:color w:val="000000"/>
          <w:sz w:val="22"/>
          <w:szCs w:val="22"/>
        </w:rPr>
        <w:t xml:space="preserve"> Son aquellos que se trasladan de una vigencia a otra, junto con los saldos de las cuentas contables; se definen en los códigos correspondientes a la clasificación de activo, pasivo, patrimonio y cuentas orden.</w:t>
      </w:r>
    </w:p>
    <w:p w14:paraId="04CD2987" w14:textId="77777777" w:rsidR="00A72B4C" w:rsidRPr="00A0134B" w:rsidRDefault="00A72B4C" w:rsidP="00EF3D59">
      <w:pPr>
        <w:pStyle w:val="unico"/>
        <w:tabs>
          <w:tab w:val="left" w:pos="851"/>
        </w:tabs>
        <w:spacing w:before="0" w:beforeAutospacing="0" w:after="0" w:afterAutospacing="0" w:line="288" w:lineRule="auto"/>
        <w:jc w:val="both"/>
        <w:rPr>
          <w:rFonts w:ascii="Arial" w:hAnsi="Arial" w:cs="Arial"/>
          <w:color w:val="000000"/>
          <w:sz w:val="22"/>
          <w:szCs w:val="22"/>
        </w:rPr>
      </w:pPr>
    </w:p>
    <w:p w14:paraId="4DBEC37C" w14:textId="77777777" w:rsidR="000D6DB1" w:rsidRPr="00A0134B" w:rsidRDefault="000D6DB1" w:rsidP="00EF3D59">
      <w:pPr>
        <w:pStyle w:val="unico"/>
        <w:tabs>
          <w:tab w:val="left" w:pos="851"/>
        </w:tabs>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auxiliar fijo </w:t>
      </w:r>
      <w:r w:rsidRPr="003D7673">
        <w:rPr>
          <w:rFonts w:ascii="Arial" w:hAnsi="Arial" w:cs="Arial"/>
          <w:i/>
          <w:iCs/>
          <w:color w:val="000000"/>
          <w:sz w:val="22"/>
          <w:szCs w:val="22"/>
        </w:rPr>
        <w:t>“Posición de catálogo institucional de conexión, PCIC”,</w:t>
      </w:r>
      <w:r w:rsidRPr="00A0134B">
        <w:rPr>
          <w:rFonts w:ascii="Arial" w:hAnsi="Arial" w:cs="Arial"/>
          <w:color w:val="000000"/>
          <w:sz w:val="22"/>
          <w:szCs w:val="22"/>
        </w:rPr>
        <w:t xml:space="preserve"> debe ser definido en todos los códigos contables a nivel de imputación, con el propósito de obtener la información a nivel de reportes por PCI.</w:t>
      </w:r>
    </w:p>
    <w:p w14:paraId="2A5E42AA" w14:textId="77777777" w:rsidR="00A72B4C" w:rsidRPr="00A0134B" w:rsidRDefault="00A72B4C" w:rsidP="00EF3D59">
      <w:pPr>
        <w:pStyle w:val="unico"/>
        <w:tabs>
          <w:tab w:val="left" w:pos="851"/>
        </w:tabs>
        <w:spacing w:before="0" w:beforeAutospacing="0" w:after="0" w:afterAutospacing="0" w:line="288" w:lineRule="auto"/>
        <w:jc w:val="both"/>
        <w:rPr>
          <w:rFonts w:ascii="Arial" w:hAnsi="Arial" w:cs="Arial"/>
          <w:color w:val="000000"/>
          <w:sz w:val="22"/>
          <w:szCs w:val="22"/>
        </w:rPr>
      </w:pPr>
    </w:p>
    <w:p w14:paraId="7D304CB2" w14:textId="77777777" w:rsidR="000D6DB1" w:rsidRPr="00A0134B" w:rsidRDefault="000D6DB1" w:rsidP="00343ECE">
      <w:pPr>
        <w:pStyle w:val="unico"/>
        <w:numPr>
          <w:ilvl w:val="0"/>
          <w:numId w:val="17"/>
        </w:numPr>
        <w:tabs>
          <w:tab w:val="left" w:pos="142"/>
          <w:tab w:val="left" w:pos="851"/>
        </w:tabs>
        <w:spacing w:before="0" w:beforeAutospacing="0" w:after="0" w:afterAutospacing="0" w:line="288" w:lineRule="auto"/>
        <w:ind w:left="0" w:firstLine="0"/>
        <w:jc w:val="both"/>
        <w:rPr>
          <w:rFonts w:ascii="Arial" w:hAnsi="Arial" w:cs="Arial"/>
          <w:color w:val="000000"/>
          <w:sz w:val="22"/>
          <w:szCs w:val="22"/>
        </w:rPr>
      </w:pPr>
      <w:r w:rsidRPr="00A0134B">
        <w:rPr>
          <w:rFonts w:ascii="Arial" w:hAnsi="Arial" w:cs="Arial"/>
          <w:b/>
          <w:color w:val="000000"/>
          <w:sz w:val="22"/>
          <w:szCs w:val="22"/>
        </w:rPr>
        <w:t>Auxiliares variables:</w:t>
      </w:r>
      <w:r w:rsidRPr="00A0134B">
        <w:rPr>
          <w:rFonts w:ascii="Arial" w:hAnsi="Arial" w:cs="Arial"/>
          <w:color w:val="000000"/>
          <w:sz w:val="22"/>
          <w:szCs w:val="22"/>
        </w:rPr>
        <w:t xml:space="preserve"> Corresponden a la clasificación de los catálogos de ingresos y gastos presupuestales</w:t>
      </w:r>
      <w:r w:rsidR="00A72B4C" w:rsidRPr="00A0134B">
        <w:rPr>
          <w:rFonts w:ascii="Arial" w:hAnsi="Arial" w:cs="Arial"/>
          <w:color w:val="000000"/>
          <w:sz w:val="22"/>
          <w:szCs w:val="22"/>
        </w:rPr>
        <w:t>,</w:t>
      </w:r>
      <w:r w:rsidRPr="00A0134B">
        <w:rPr>
          <w:rFonts w:ascii="Arial" w:hAnsi="Arial" w:cs="Arial"/>
          <w:color w:val="000000"/>
          <w:sz w:val="22"/>
          <w:szCs w:val="22"/>
        </w:rPr>
        <w:t xml:space="preserve"> que por su condición de anual no se trasladan de una vigencia a otra.</w:t>
      </w:r>
    </w:p>
    <w:p w14:paraId="00E57878" w14:textId="77777777" w:rsidR="00D349E6" w:rsidRPr="00B80246" w:rsidRDefault="00E56F22" w:rsidP="00D349E6">
      <w:pPr>
        <w:ind w:left="284"/>
        <w:jc w:val="both"/>
        <w:rPr>
          <w:rFonts w:ascii="Arial" w:hAnsi="Arial" w:cs="Arial"/>
          <w:sz w:val="22"/>
          <w:szCs w:val="22"/>
        </w:rPr>
      </w:pPr>
      <w:r w:rsidRPr="00B80246">
        <w:rPr>
          <w:rFonts w:ascii="Arial" w:hAnsi="Arial" w:cs="Arial"/>
          <w:noProof/>
          <w:sz w:val="22"/>
          <w:szCs w:val="22"/>
          <w:lang w:val="es-CO" w:eastAsia="es-CO"/>
        </w:rPr>
        <mc:AlternateContent>
          <mc:Choice Requires="wps">
            <w:drawing>
              <wp:anchor distT="0" distB="0" distL="114300" distR="114300" simplePos="0" relativeHeight="251659264" behindDoc="0" locked="0" layoutInCell="1" allowOverlap="1" wp14:anchorId="42F2BD42" wp14:editId="75537367">
                <wp:simplePos x="0" y="0"/>
                <wp:positionH relativeFrom="column">
                  <wp:posOffset>1556385</wp:posOffset>
                </wp:positionH>
                <wp:positionV relativeFrom="paragraph">
                  <wp:posOffset>117475</wp:posOffset>
                </wp:positionV>
                <wp:extent cx="238125" cy="1352550"/>
                <wp:effectExtent l="0" t="0" r="0" b="0"/>
                <wp:wrapNone/>
                <wp:docPr id="1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352550"/>
                        </a:xfrm>
                        <a:prstGeom prst="leftBrace">
                          <a:avLst>
                            <a:gd name="adj1" fmla="val 47333"/>
                            <a:gd name="adj2" fmla="val 50000"/>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BA6F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8" o:spid="_x0000_s1026" type="#_x0000_t87" style="position:absolute;margin-left:122.55pt;margin-top:9.25pt;width:18.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PC0QIAANcFAAAOAAAAZHJzL2Uyb0RvYy54bWysVF1v0zAUfUfiP1h+79J8NV20dFq7FiEN&#10;mDQQz27sNAbHDrbbdEP8d66dtASGEEKkUnRd35x7z7kfV9fHRqAD04YrWeDwYooRk6WiXO4K/OH9&#10;ZjLHyFgiKRFKsgI/MoOvFy9fXHVtziJVK0GZRgAiTd61Ba6tbfMgMGXNGmIuVMskXFZKN8TCUe8C&#10;qkkH6I0Ioul0FnRK01arkhkD/972l3jh8auKlfZdVRlmkSgw5Gb9W/v31r2DxRXJd5q0NS+HNMg/&#10;ZNEQLiHoGeqWWIL2mj+DaniplVGVvShVE6iq4iXzHIBNOP2FzUNNWua5gDimPctk/h9s+fZwrxGn&#10;ULsYI0kaqNHN3iofGs3nTqCuNTn4PbT32lE07Z0qPxu4CH66cQcDPmjbvVEUcAjgeFGOlW7cl0AX&#10;Hb32j2ft2dGiEv6M4nkYpRiVcBXGaZSmvjgByU9ft9rYV0w1yBkFFqyyS01KJxDJyeHOWF8AOrAg&#10;9FOIUdUIqOeBCJRkcRwP9R75RGOfdAqP84GwAyJYp8CevBKcbrgQ/qB325XQCOALvPHP8LEZuwmJ&#10;OiAVZYD9Z4wkyaJV8jsMl8MtMXUfi4LVU9FqL6lv4poRuh5sS7jobUhfSBeU+WEAkbwzqD7o5fT3&#10;jfr1ZpNOsySeT7IsjSdJvJ5OlvPNanKzCmezbL1cLdfhN0cgTPKaU8rk2mOa09yEyd/15TDBfcef&#10;J+ecoMtW7S3TDzXtEOWu2HF6GUE1KYfRdTq6MiEidrBzSqsx0sp+5Lb2Xetay8s8rs585n6Dsmd0&#10;X+hR4OAZt97jCK0FSp5U833vWr2fja2ij9D2kIPvbdiGYNRKP2HUwWYpsPmyJ5phJF5LGN3LMEnc&#10;KvKHJM0iOOjxzXZ8Q2QJUAW2wNebK9uvr32r+a6GSKFnK5Ub24q7+vr8+qyGA2wPz2DYdG49jc/e&#10;68c+XnwHAAD//wMAUEsDBBQABgAIAAAAIQAlNJ4k3wAAAAoBAAAPAAAAZHJzL2Rvd25yZXYueG1s&#10;TI/BTsMwDIbvSLxDZCRuLG22lqprOpVJIHGDgaYdvSY0FU1SNdlW3h5zYjdb/6ffn6vNbAd21lPo&#10;vZOQLhJg2rVe9a6T8Pnx/FAACxGdwsE7LeFHB9jUtzcVlspf3Ls+72LHqMSFEiWYGMeS89AabTEs&#10;/KgdZV9+shhpnTquJrxQuR24SJKcW+wdXTA46q3R7ffuZCWs8r0yL2+vGLzYD83TY7M9LDsp7+/m&#10;Zg0s6jn+w/CnT+pQk9PRn5wKbJAgVllKKAVFBowAUYgc2JGGZZoBryt+/UL9CwAA//8DAFBLAQIt&#10;ABQABgAIAAAAIQC2gziS/gAAAOEBAAATAAAAAAAAAAAAAAAAAAAAAABbQ29udGVudF9UeXBlc10u&#10;eG1sUEsBAi0AFAAGAAgAAAAhADj9If/WAAAAlAEAAAsAAAAAAAAAAAAAAAAALwEAAF9yZWxzLy5y&#10;ZWxzUEsBAi0AFAAGAAgAAAAhAOhoQ8LRAgAA1wUAAA4AAAAAAAAAAAAAAAAALgIAAGRycy9lMm9E&#10;b2MueG1sUEsBAi0AFAAGAAgAAAAhACU0niTfAAAACgEAAA8AAAAAAAAAAAAAAAAAKwUAAGRycy9k&#10;b3ducmV2LnhtbFBLBQYAAAAABAAEAPMAAAA3BgAAAAA=&#10;" filled="t" strokecolor="#4472c4" strokeweight="1pt">
                <v:stroke dashstyle="dash"/>
                <v:shadow color="#868686"/>
              </v:shape>
            </w:pict>
          </mc:Fallback>
        </mc:AlternateContent>
      </w:r>
    </w:p>
    <w:p w14:paraId="7E4B44E5" w14:textId="77777777" w:rsidR="00D349E6" w:rsidRPr="00B80246" w:rsidRDefault="00E56F22" w:rsidP="00F307B6">
      <w:pPr>
        <w:ind w:left="720"/>
        <w:jc w:val="both"/>
        <w:rPr>
          <w:rFonts w:ascii="Arial" w:hAnsi="Arial" w:cs="Arial"/>
          <w:sz w:val="22"/>
          <w:szCs w:val="22"/>
        </w:rPr>
      </w:pPr>
      <w:r w:rsidRPr="00B80246">
        <w:rPr>
          <w:rFonts w:ascii="Arial" w:hAnsi="Arial" w:cs="Arial"/>
          <w:noProof/>
          <w:sz w:val="22"/>
          <w:szCs w:val="22"/>
          <w:lang w:val="es-CO" w:eastAsia="es-CO"/>
        </w:rPr>
        <mc:AlternateContent>
          <mc:Choice Requires="wps">
            <w:drawing>
              <wp:anchor distT="0" distB="0" distL="114300" distR="114300" simplePos="0" relativeHeight="251658240" behindDoc="0" locked="0" layoutInCell="1" allowOverlap="1" wp14:anchorId="1D7F1BE0" wp14:editId="305D11C1">
                <wp:simplePos x="0" y="0"/>
                <wp:positionH relativeFrom="column">
                  <wp:posOffset>944245</wp:posOffset>
                </wp:positionH>
                <wp:positionV relativeFrom="paragraph">
                  <wp:posOffset>13970</wp:posOffset>
                </wp:positionV>
                <wp:extent cx="304800" cy="2028825"/>
                <wp:effectExtent l="0" t="0" r="0" b="0"/>
                <wp:wrapNone/>
                <wp:docPr id="1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028825"/>
                        </a:xfrm>
                        <a:prstGeom prst="leftBrace">
                          <a:avLst>
                            <a:gd name="adj1" fmla="val 55469"/>
                            <a:gd name="adj2" fmla="val 50000"/>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19E6" id="AutoShape 87" o:spid="_x0000_s1026" type="#_x0000_t87" style="position:absolute;margin-left:74.35pt;margin-top:1.1pt;width:24pt;height:1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IJ0QIAANcFAAAOAAAAZHJzL2Uyb0RvYy54bWysVF1v0zAUfUfiP1h+7/LRtMmipdPatQhp&#10;wKSBeHZjpzE4drDdphviv3PtpCUwhBAilSLf+ubce879uLo+NgIdmDZcyQJHFyFGTJaKcrkr8If3&#10;m0mGkbFEUiKUZAV+ZAZfL16+uOranMWqVoIyjQBEmrxrC1xb2+ZBYMqaNcRcqJZJuKyUbogFU+8C&#10;qkkH6I0I4jCcB53StNWqZMbAv7f9JV54/KpipX1XVYZZJAoMuVn/1v69de9gcUXynSZtzcshDfIP&#10;WTSESwh6hrollqC95s+gGl5qZVRlL0rVBKqqeMk8B2AThb+weahJyzwXEMe0Z5nM/4Mt3x7uNeIU&#10;ahdjJEkDNbrZW+VDoyx1AnWtycHvob3XjqJp71T52cBF8NONMwz4oG33RlHAIYDjRTlWunFfAl10&#10;9No/nrVnR4tK+HMaJlkIFSrhKg7jLItnLnZA8tPXrTb2FVMNcocCC1bZpSalE4jk5HBnrC8AHVgQ&#10;+inCqGoE1PNABJrNkvnlUO+RD7Ae+YTwDGEHREjgFNiTV4LTDRfCG3q3XQmNAL7AG/8MH5uxm5Co&#10;c/qmgP1njCRJ41XyOwyXwy0xdR+LwqmnotVeUt/ENSN0PZwt4aI/Q/pCuqDMDwOI5J1B9UEvp79v&#10;1K83m1mYJtNskqaz6SSZrsPJMtusJjeraD5P18vVch19cwSiJK85pUyuPaY5zU2U/F1fDhPcd/x5&#10;cs4JumzV3jL9UNMOUe6KPZ1dxlBNymF0nY6uTIiIHeyc0mqMtLIfua1917rW8jKPq5PN3W9Q9ozu&#10;+2sUOHjGrfc4QmuBkifVfN+7Vu9nY6voI7Q95OB7G7YhHGqlnzDqYLMU2HzZE80wEq8ljO5llCRu&#10;FXkjmaUxGHp8sx3fEFkCVIEt8PXHle3X177VfFdDpMizlcqNbcVdfX1+fVaDAdvDMxg2nVtPY9t7&#10;/djHi+8AAAD//wMAUEsDBBQABgAIAAAAIQDzZUiS3QAAAAkBAAAPAAAAZHJzL2Rvd25yZXYueG1s&#10;TI/BTsMwEETvSPyDtUjcqFO3StoQpwqVQOIGBVU9urGJI+x1FLtt+Hu2Jzg+zWj2bbWZvGNnM8Y+&#10;oIT5LANmsA26x07C58fzwwpYTAq1cgGNhB8TYVPf3lSq1OGC7+a8Sx2jEYylkmBTGkrOY2uNV3EW&#10;BoOUfYXRq0Q4dlyP6kLj3nGRZTn3qke6YNVgtta037uTl7DM99q+vL2qGMTeNU9Fsz0sOinv76bm&#10;EVgyU/orw1Wf1KEmp2M4oY7MES9XBVUlCAHsmq9z4qOEhZgXwOuK//+g/gUAAP//AwBQSwECLQAU&#10;AAYACAAAACEAtoM4kv4AAADhAQAAEwAAAAAAAAAAAAAAAAAAAAAAW0NvbnRlbnRfVHlwZXNdLnht&#10;bFBLAQItABQABgAIAAAAIQA4/SH/1gAAAJQBAAALAAAAAAAAAAAAAAAAAC8BAABfcmVscy8ucmVs&#10;c1BLAQItABQABgAIAAAAIQAer6IJ0QIAANcFAAAOAAAAAAAAAAAAAAAAAC4CAABkcnMvZTJvRG9j&#10;LnhtbFBLAQItABQABgAIAAAAIQDzZUiS3QAAAAkBAAAPAAAAAAAAAAAAAAAAACsFAABkcnMvZG93&#10;bnJldi54bWxQSwUGAAAAAAQABADzAAAANQYAAAAA&#10;" filled="t" strokecolor="#4472c4" strokeweight="1pt">
                <v:stroke dashstyle="dash"/>
                <v:shadow color="#868686"/>
              </v:shape>
            </w:pict>
          </mc:Fallback>
        </mc:AlternateContent>
      </w:r>
      <w:r w:rsidR="00F307B6">
        <w:rPr>
          <w:rFonts w:ascii="Arial" w:hAnsi="Arial" w:cs="Arial"/>
          <w:sz w:val="22"/>
          <w:szCs w:val="22"/>
        </w:rPr>
        <w:tab/>
      </w:r>
      <w:r w:rsidR="00D349E6" w:rsidRPr="00B80246">
        <w:rPr>
          <w:rFonts w:ascii="Arial" w:hAnsi="Arial" w:cs="Arial"/>
          <w:sz w:val="22"/>
          <w:szCs w:val="22"/>
        </w:rPr>
        <w:tab/>
      </w:r>
      <w:r w:rsidR="00D349E6" w:rsidRPr="00B80246">
        <w:rPr>
          <w:rFonts w:ascii="Arial" w:hAnsi="Arial" w:cs="Arial"/>
          <w:sz w:val="22"/>
          <w:szCs w:val="22"/>
        </w:rPr>
        <w:tab/>
        <w:t>1- Posición de catálogo institucional de conexión- PCIC</w:t>
      </w:r>
    </w:p>
    <w:p w14:paraId="289EF2F7" w14:textId="77777777" w:rsidR="00D349E6" w:rsidRPr="00B80246" w:rsidRDefault="00D349E6" w:rsidP="00D349E6">
      <w:pPr>
        <w:ind w:left="284"/>
        <w:jc w:val="both"/>
        <w:rPr>
          <w:rFonts w:ascii="Arial" w:hAnsi="Arial" w:cs="Arial"/>
          <w:sz w:val="22"/>
          <w:szCs w:val="22"/>
        </w:rPr>
      </w:pPr>
      <w:r w:rsidRPr="00B80246">
        <w:rPr>
          <w:rFonts w:ascii="Arial" w:hAnsi="Arial" w:cs="Arial"/>
          <w:sz w:val="22"/>
          <w:szCs w:val="22"/>
        </w:rPr>
        <w:tab/>
      </w:r>
      <w:r w:rsidRPr="00B80246">
        <w:rPr>
          <w:rFonts w:ascii="Arial" w:hAnsi="Arial" w:cs="Arial"/>
          <w:sz w:val="22"/>
          <w:szCs w:val="22"/>
        </w:rPr>
        <w:tab/>
      </w:r>
      <w:r w:rsidRPr="00B80246">
        <w:rPr>
          <w:rFonts w:ascii="Arial" w:hAnsi="Arial" w:cs="Arial"/>
          <w:sz w:val="22"/>
          <w:szCs w:val="22"/>
        </w:rPr>
        <w:tab/>
      </w:r>
      <w:r w:rsidRPr="00B80246">
        <w:rPr>
          <w:rFonts w:ascii="Arial" w:hAnsi="Arial" w:cs="Arial"/>
          <w:sz w:val="22"/>
          <w:szCs w:val="22"/>
        </w:rPr>
        <w:tab/>
        <w:t>2- Posición de catálogo no presupuestal-PAG NP</w:t>
      </w:r>
    </w:p>
    <w:p w14:paraId="74DBB0CA" w14:textId="77777777" w:rsidR="00D349E6" w:rsidRPr="00B80246" w:rsidRDefault="00D349E6" w:rsidP="00D349E6">
      <w:pPr>
        <w:ind w:left="284"/>
        <w:jc w:val="both"/>
        <w:rPr>
          <w:rFonts w:ascii="Arial" w:hAnsi="Arial" w:cs="Arial"/>
          <w:sz w:val="22"/>
          <w:szCs w:val="22"/>
        </w:rPr>
      </w:pPr>
      <w:r w:rsidRPr="00B80246">
        <w:rPr>
          <w:rFonts w:ascii="Arial" w:hAnsi="Arial" w:cs="Arial"/>
          <w:sz w:val="22"/>
          <w:szCs w:val="22"/>
        </w:rPr>
        <w:tab/>
      </w:r>
      <w:r w:rsidRPr="00B80246">
        <w:rPr>
          <w:rFonts w:ascii="Arial" w:hAnsi="Arial" w:cs="Arial"/>
          <w:sz w:val="22"/>
          <w:szCs w:val="22"/>
        </w:rPr>
        <w:tab/>
      </w:r>
      <w:r w:rsidRPr="00B80246">
        <w:rPr>
          <w:rFonts w:ascii="Arial" w:hAnsi="Arial" w:cs="Arial"/>
          <w:sz w:val="22"/>
          <w:szCs w:val="22"/>
        </w:rPr>
        <w:tab/>
      </w:r>
      <w:r w:rsidRPr="00B80246">
        <w:rPr>
          <w:rFonts w:ascii="Arial" w:hAnsi="Arial" w:cs="Arial"/>
          <w:sz w:val="22"/>
          <w:szCs w:val="22"/>
        </w:rPr>
        <w:tab/>
        <w:t>3- Tercero-TER</w:t>
      </w:r>
    </w:p>
    <w:p w14:paraId="2B1A2507" w14:textId="77777777" w:rsidR="00D349E6" w:rsidRPr="00B80246" w:rsidRDefault="00D349E6" w:rsidP="00D349E6">
      <w:pPr>
        <w:ind w:left="284"/>
        <w:jc w:val="both"/>
        <w:rPr>
          <w:rFonts w:ascii="Arial" w:hAnsi="Arial" w:cs="Arial"/>
          <w:sz w:val="22"/>
          <w:szCs w:val="22"/>
        </w:rPr>
      </w:pPr>
      <w:r w:rsidRPr="00B80246">
        <w:rPr>
          <w:rFonts w:ascii="Arial" w:hAnsi="Arial" w:cs="Arial"/>
          <w:sz w:val="22"/>
          <w:szCs w:val="22"/>
        </w:rPr>
        <w:tab/>
        <w:t xml:space="preserve">           </w:t>
      </w:r>
      <w:r w:rsidRPr="00B80246">
        <w:rPr>
          <w:rFonts w:ascii="Arial" w:hAnsi="Arial" w:cs="Arial"/>
          <w:sz w:val="22"/>
          <w:szCs w:val="22"/>
        </w:rPr>
        <w:tab/>
        <w:t xml:space="preserve">     1- Fijos</w:t>
      </w:r>
      <w:r w:rsidRPr="00B80246">
        <w:rPr>
          <w:rFonts w:ascii="Arial" w:hAnsi="Arial" w:cs="Arial"/>
          <w:sz w:val="22"/>
          <w:szCs w:val="22"/>
        </w:rPr>
        <w:tab/>
        <w:t>4- Cuenta bancaria- CTA BAN</w:t>
      </w:r>
    </w:p>
    <w:p w14:paraId="250B49E6" w14:textId="77777777" w:rsidR="00D349E6" w:rsidRDefault="00F307B6" w:rsidP="00343ECE">
      <w:pPr>
        <w:numPr>
          <w:ilvl w:val="0"/>
          <w:numId w:val="16"/>
        </w:numPr>
        <w:ind w:left="709" w:hanging="142"/>
        <w:jc w:val="both"/>
        <w:rPr>
          <w:rFonts w:ascii="Arial" w:hAnsi="Arial" w:cs="Arial"/>
          <w:sz w:val="22"/>
          <w:szCs w:val="22"/>
        </w:rPr>
      </w:pPr>
      <w:r w:rsidRPr="00B80246">
        <w:rPr>
          <w:rFonts w:ascii="Arial" w:hAnsi="Arial" w:cs="Arial"/>
          <w:sz w:val="22"/>
          <w:szCs w:val="22"/>
        </w:rPr>
        <w:t>Internos</w:t>
      </w:r>
      <w:r>
        <w:rPr>
          <w:rFonts w:ascii="Arial" w:hAnsi="Arial" w:cs="Arial"/>
          <w:sz w:val="22"/>
          <w:szCs w:val="22"/>
        </w:rPr>
        <w:tab/>
      </w:r>
      <w:r>
        <w:rPr>
          <w:rFonts w:ascii="Arial" w:hAnsi="Arial" w:cs="Arial"/>
          <w:sz w:val="22"/>
          <w:szCs w:val="22"/>
        </w:rPr>
        <w:tab/>
      </w:r>
      <w:r w:rsidR="00D349E6" w:rsidRPr="00B80246">
        <w:rPr>
          <w:rFonts w:ascii="Arial" w:hAnsi="Arial" w:cs="Arial"/>
          <w:sz w:val="22"/>
          <w:szCs w:val="22"/>
        </w:rPr>
        <w:t>25- PCI Relacionada – PCI REL</w:t>
      </w:r>
    </w:p>
    <w:p w14:paraId="3D1EB38D" w14:textId="77777777" w:rsidR="00D349E6" w:rsidRDefault="00F307B6" w:rsidP="00F307B6">
      <w:pPr>
        <w:jc w:val="both"/>
        <w:rPr>
          <w:rFonts w:ascii="Arial" w:hAnsi="Arial" w:cs="Arial"/>
          <w:sz w:val="22"/>
          <w:szCs w:val="22"/>
        </w:rPr>
      </w:pPr>
      <w:r>
        <w:rPr>
          <w:rFonts w:ascii="Arial" w:hAnsi="Arial" w:cs="Arial"/>
          <w:sz w:val="22"/>
          <w:szCs w:val="22"/>
        </w:rPr>
        <w:tab/>
      </w:r>
      <w:r w:rsidR="00D349E6">
        <w:rPr>
          <w:rFonts w:ascii="Arial" w:hAnsi="Arial" w:cs="Arial"/>
          <w:sz w:val="22"/>
          <w:szCs w:val="22"/>
        </w:rPr>
        <w:tab/>
      </w:r>
      <w:r w:rsidR="00D349E6">
        <w:rPr>
          <w:rFonts w:ascii="Arial" w:hAnsi="Arial" w:cs="Arial"/>
          <w:sz w:val="22"/>
          <w:szCs w:val="22"/>
        </w:rPr>
        <w:tab/>
      </w:r>
      <w:r w:rsidR="00D349E6">
        <w:rPr>
          <w:rFonts w:ascii="Arial" w:hAnsi="Arial" w:cs="Arial"/>
          <w:sz w:val="22"/>
          <w:szCs w:val="22"/>
        </w:rPr>
        <w:tab/>
        <w:t>30- Beneficiario de la deducción</w:t>
      </w:r>
    </w:p>
    <w:p w14:paraId="5DDB0E80" w14:textId="77777777" w:rsidR="00D349E6" w:rsidRDefault="00D349E6" w:rsidP="00D349E6">
      <w:pPr>
        <w:ind w:left="284"/>
        <w:jc w:val="both"/>
        <w:rPr>
          <w:rFonts w:ascii="Arial" w:hAnsi="Arial" w:cs="Arial"/>
          <w:sz w:val="22"/>
          <w:szCs w:val="22"/>
        </w:rPr>
      </w:pPr>
    </w:p>
    <w:p w14:paraId="37C81C04" w14:textId="77777777" w:rsidR="00D349E6" w:rsidRPr="00B80246" w:rsidRDefault="00E56F22" w:rsidP="00D349E6">
      <w:pPr>
        <w:ind w:left="284"/>
        <w:jc w:val="both"/>
        <w:rPr>
          <w:rFonts w:ascii="Arial" w:hAnsi="Arial" w:cs="Arial"/>
          <w:sz w:val="22"/>
          <w:szCs w:val="22"/>
        </w:rPr>
      </w:pPr>
      <w:r w:rsidRPr="00B80246">
        <w:rPr>
          <w:rFonts w:ascii="Arial" w:hAnsi="Arial" w:cs="Arial"/>
          <w:noProof/>
          <w:sz w:val="22"/>
          <w:szCs w:val="22"/>
          <w:lang w:val="es-CO" w:eastAsia="es-CO"/>
        </w:rPr>
        <mc:AlternateContent>
          <mc:Choice Requires="wps">
            <w:drawing>
              <wp:anchor distT="0" distB="0" distL="114300" distR="114300" simplePos="0" relativeHeight="251660288" behindDoc="0" locked="0" layoutInCell="1" allowOverlap="1" wp14:anchorId="7D7EE77C" wp14:editId="0883801A">
                <wp:simplePos x="0" y="0"/>
                <wp:positionH relativeFrom="column">
                  <wp:posOffset>1811655</wp:posOffset>
                </wp:positionH>
                <wp:positionV relativeFrom="paragraph">
                  <wp:posOffset>112395</wp:posOffset>
                </wp:positionV>
                <wp:extent cx="180975" cy="400685"/>
                <wp:effectExtent l="0" t="0" r="0" b="0"/>
                <wp:wrapNone/>
                <wp:docPr id="1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400685"/>
                        </a:xfrm>
                        <a:prstGeom prst="leftBrace">
                          <a:avLst>
                            <a:gd name="adj1" fmla="val 18450"/>
                            <a:gd name="adj2" fmla="val 50000"/>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8EFB" id="AutoShape 89" o:spid="_x0000_s1026" type="#_x0000_t87" style="position:absolute;margin-left:142.65pt;margin-top:8.85pt;width:14.25pt;height:3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v0AIAANYFAAAOAAAAZHJzL2Uyb0RvYy54bWysVNuO0zAQfUfiHyy/d5O0SZNGm6623RYh&#10;cVlpQTy7sdMYHDvYbtMF8e+MnbQEFiGESKVoXE/OzDlzub45NQIdmTZcyQJHVyFGTJaKcrkv8Pt3&#10;20mGkbFEUiKUZAV+ZAbfLJ8/u+7anE1VrQRlGgGINHnXFri2ts2DwJQ1a4i5Ui2TcFkp3RALR70P&#10;qCYdoDcimIbhPOiUpq1WJTMG/r3rL/HS41cVK+3bqjLMIlFgyM36t/bvnXsHy2uS7zVpa14OaZB/&#10;yKIhXELQC9QdsQQdNH8C1fBSK6Mqe1WqJlBVxUvmOQCbKPyFzUNNWua5gDimvchk/h9s+eZ4rxGn&#10;ULsII0kaqNHtwSofGmULJ1DXmhz8Htp77Sia9pUqPxm4CH66cQcDPmjXvVYUcAjgeFFOlW7cl0AX&#10;nbz2jxft2cmiEv6MsnCRJhiVcBVDYbPEhQ5Ifv641ca+YKpBziiwYJVdaVI6fUhOjq+M9frTgQSh&#10;H4FQ1Qgo55EIFGVxci73yGc69klCeIawAyIkcA7suSvB6ZYL4Q96v1sLjQC+wFv/DB+bsZuQqAN+&#10;0xSw/4wRx+l0Hf8Ow+VwR0zdx6JgOS+Sa3WQ1Fs1I3Qz2JZw0duQvpDOkflZAJG8M4g+6OXk9336&#10;9XabhGk8yyZpmswm8WwTTlbZdj25XUfzebpZrVeb6JsjEMV5zSllcuMxzXlsovjv2nIY4L7hL4Nz&#10;SdBlqw6W6YeadohyV+xZsphCNSmHyXU6ujIhIvawckqrMdLKfuC29k3rOsthmHF1srn7Dcpe0H1/&#10;jQIHT7j1HidoLVDyrJpve9fp/WjsFH2EroccfGvDMgSjVvoLRh0slgKbzweiGUbipYTJXURx7DaR&#10;P8RJOoWDHt/sxjdElgBVYAt8vbm2/fY6tJrva4gUebZSuamtuKuvz6/PajjA8vAMhkXnttP47L1+&#10;rOPldwAAAP//AwBQSwMEFAAGAAgAAAAhABjlfDneAAAACQEAAA8AAABkcnMvZG93bnJldi54bWxM&#10;j8FOwzAQRO9I/IO1SNyo0wSaKI1ThUogcYOCqh7deIkj4nUUu234e5YTHFfzNPum2sxuEGecQu9J&#10;wXKRgEBqvempU/Dx/nRXgAhRk9GDJ1TwjQE29fVVpUvjL/SG513sBJdQKLUCG+NYShlai06HhR+R&#10;OPv0k9ORz6mTZtIXLneDTJNkJZ3uiT9YPeLWYvu1OzkF96u9sc+vLzr4dD80j3mzPWSdUrc3c7MG&#10;EXGOfzD86rM61Ox09CcyQQwK0uIhY5SDPAfBQLbMeMtRQZEUIOtK/l9Q/wAAAP//AwBQSwECLQAU&#10;AAYACAAAACEAtoM4kv4AAADhAQAAEwAAAAAAAAAAAAAAAAAAAAAAW0NvbnRlbnRfVHlwZXNdLnht&#10;bFBLAQItABQABgAIAAAAIQA4/SH/1gAAAJQBAAALAAAAAAAAAAAAAAAAAC8BAABfcmVscy8ucmVs&#10;c1BLAQItABQABgAIAAAAIQB+msAv0AIAANYFAAAOAAAAAAAAAAAAAAAAAC4CAABkcnMvZTJvRG9j&#10;LnhtbFBLAQItABQABgAIAAAAIQAY5Xw53gAAAAkBAAAPAAAAAAAAAAAAAAAAACoFAABkcnMvZG93&#10;bnJldi54bWxQSwUGAAAAAAQABADzAAAANQYAAAAA&#10;" filled="t" strokecolor="#4472c4" strokeweight="1pt">
                <v:stroke dashstyle="dash"/>
                <v:shadow color="#868686"/>
              </v:shape>
            </w:pict>
          </mc:Fallback>
        </mc:AlternateContent>
      </w:r>
    </w:p>
    <w:p w14:paraId="12E7A54A" w14:textId="77777777" w:rsidR="00D349E6" w:rsidRPr="00B80246" w:rsidRDefault="00F307B6" w:rsidP="00D349E6">
      <w:pPr>
        <w:ind w:left="28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D349E6" w:rsidRPr="00B80246">
        <w:rPr>
          <w:rFonts w:ascii="Arial" w:hAnsi="Arial" w:cs="Arial"/>
          <w:sz w:val="22"/>
          <w:szCs w:val="22"/>
        </w:rPr>
        <w:t>7- Rubro de gastos- CAT GAS</w:t>
      </w:r>
    </w:p>
    <w:p w14:paraId="5BBCC792" w14:textId="77777777" w:rsidR="00D349E6" w:rsidRPr="00B80246" w:rsidRDefault="00F307B6" w:rsidP="00F307B6">
      <w:pPr>
        <w:ind w:left="1418"/>
        <w:jc w:val="both"/>
        <w:rPr>
          <w:rFonts w:ascii="Arial" w:hAnsi="Arial" w:cs="Arial"/>
          <w:sz w:val="22"/>
          <w:szCs w:val="22"/>
        </w:rPr>
      </w:pPr>
      <w:r>
        <w:rPr>
          <w:rFonts w:ascii="Arial" w:hAnsi="Arial" w:cs="Arial"/>
          <w:sz w:val="22"/>
          <w:szCs w:val="22"/>
        </w:rPr>
        <w:t xml:space="preserve">     2</w:t>
      </w:r>
      <w:r w:rsidRPr="00B80246">
        <w:rPr>
          <w:rFonts w:ascii="Arial" w:hAnsi="Arial" w:cs="Arial"/>
          <w:sz w:val="22"/>
          <w:szCs w:val="22"/>
        </w:rPr>
        <w:t xml:space="preserve">- </w:t>
      </w:r>
      <w:r>
        <w:rPr>
          <w:rFonts w:ascii="Arial" w:hAnsi="Arial" w:cs="Arial"/>
          <w:sz w:val="22"/>
          <w:szCs w:val="22"/>
        </w:rPr>
        <w:t xml:space="preserve">Variables    </w:t>
      </w:r>
      <w:r w:rsidR="00D349E6" w:rsidRPr="00B80246">
        <w:rPr>
          <w:rFonts w:ascii="Arial" w:hAnsi="Arial" w:cs="Arial"/>
          <w:sz w:val="22"/>
          <w:szCs w:val="22"/>
        </w:rPr>
        <w:t>8- Rubro de ingresos-  CAT ING</w:t>
      </w:r>
    </w:p>
    <w:p w14:paraId="74411503" w14:textId="77777777" w:rsidR="00D349E6" w:rsidRDefault="00D349E6" w:rsidP="00D349E6">
      <w:pPr>
        <w:ind w:left="284"/>
        <w:jc w:val="both"/>
        <w:rPr>
          <w:rFonts w:ascii="Arial" w:hAnsi="Arial" w:cs="Arial"/>
          <w:sz w:val="22"/>
          <w:szCs w:val="22"/>
        </w:rPr>
      </w:pPr>
    </w:p>
    <w:p w14:paraId="7FD00048" w14:textId="77777777" w:rsidR="00F307B6" w:rsidRDefault="00F307B6" w:rsidP="00D349E6">
      <w:pPr>
        <w:ind w:left="284"/>
        <w:jc w:val="both"/>
        <w:rPr>
          <w:rFonts w:ascii="Arial" w:hAnsi="Arial" w:cs="Arial"/>
          <w:sz w:val="22"/>
          <w:szCs w:val="22"/>
        </w:rPr>
      </w:pPr>
    </w:p>
    <w:p w14:paraId="69A7D572" w14:textId="77777777" w:rsidR="00F307B6" w:rsidRDefault="00F307B6" w:rsidP="00F307B6">
      <w:pPr>
        <w:pStyle w:val="unico"/>
        <w:spacing w:before="0" w:beforeAutospacing="0" w:after="0" w:afterAutospacing="0"/>
        <w:jc w:val="both"/>
        <w:rPr>
          <w:rFonts w:ascii="Arial" w:hAnsi="Arial" w:cs="Arial"/>
          <w:color w:val="000000"/>
          <w:sz w:val="27"/>
          <w:szCs w:val="27"/>
        </w:rPr>
      </w:pPr>
      <w:r>
        <w:rPr>
          <w:rFonts w:ascii="Arial" w:hAnsi="Arial" w:cs="Arial"/>
          <w:color w:val="000000"/>
          <w:sz w:val="27"/>
          <w:szCs w:val="27"/>
        </w:rPr>
        <w:t> </w:t>
      </w:r>
    </w:p>
    <w:p w14:paraId="66B46A07" w14:textId="77777777" w:rsidR="007269A0" w:rsidRDefault="007269A0" w:rsidP="00E02C7B">
      <w:pPr>
        <w:pStyle w:val="unico"/>
        <w:spacing w:before="0" w:beforeAutospacing="0" w:after="0" w:afterAutospacing="0" w:line="288" w:lineRule="auto"/>
        <w:jc w:val="both"/>
        <w:rPr>
          <w:rFonts w:ascii="Arial" w:hAnsi="Arial" w:cs="Arial"/>
          <w:b/>
          <w:color w:val="000000"/>
          <w:sz w:val="22"/>
          <w:szCs w:val="22"/>
        </w:rPr>
      </w:pPr>
    </w:p>
    <w:p w14:paraId="325472CC"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BB157A">
        <w:rPr>
          <w:rFonts w:ascii="Arial" w:hAnsi="Arial" w:cs="Arial"/>
          <w:b/>
          <w:color w:val="000000"/>
          <w:sz w:val="22"/>
          <w:szCs w:val="22"/>
        </w:rPr>
        <w:t>Posición de catálogo institucional de conexión, PCIC:</w:t>
      </w:r>
      <w:r w:rsidRPr="00BB157A">
        <w:rPr>
          <w:rFonts w:ascii="Arial" w:hAnsi="Arial" w:cs="Arial"/>
          <w:color w:val="000000"/>
          <w:sz w:val="22"/>
          <w:szCs w:val="22"/>
        </w:rPr>
        <w:t xml:space="preserve"> Tiene su origen en el código de la unidad o subunidad ejecutora identificada en presupuesto y corresponde a la posición de catálogo institucional, PCI, que está haciendo gestión. Es obligatoria en todos los códigos contables.</w:t>
      </w:r>
    </w:p>
    <w:p w14:paraId="6CC4D74B" w14:textId="77777777" w:rsidR="00C44B15" w:rsidRPr="00C44B15" w:rsidRDefault="00C44B15" w:rsidP="00EF3D59">
      <w:pPr>
        <w:pStyle w:val="unico"/>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p>
    <w:p w14:paraId="56845A9F"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t>Posición de catálogo no presupuestal, PAG NP:</w:t>
      </w:r>
      <w:r w:rsidRPr="00C44B15">
        <w:rPr>
          <w:rFonts w:ascii="Arial" w:hAnsi="Arial" w:cs="Arial"/>
          <w:color w:val="000000"/>
          <w:sz w:val="22"/>
          <w:szCs w:val="22"/>
        </w:rPr>
        <w:t xml:space="preserve"> Corresponde a los códigos del catálogo no presupuestal de pagos.</w:t>
      </w:r>
    </w:p>
    <w:p w14:paraId="2E9561B3" w14:textId="77777777" w:rsidR="00C44B15" w:rsidRDefault="00C44B15" w:rsidP="00EF3D59">
      <w:pPr>
        <w:pStyle w:val="Prrafodelista"/>
        <w:tabs>
          <w:tab w:val="left" w:pos="567"/>
        </w:tabs>
        <w:spacing w:line="288" w:lineRule="auto"/>
        <w:ind w:left="567" w:hanging="283"/>
        <w:rPr>
          <w:rFonts w:ascii="Arial" w:hAnsi="Arial" w:cs="Arial"/>
          <w:b/>
          <w:color w:val="000000"/>
          <w:sz w:val="22"/>
          <w:szCs w:val="22"/>
        </w:rPr>
      </w:pPr>
    </w:p>
    <w:p w14:paraId="33D1E4FF"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t xml:space="preserve">Tercero, TER: </w:t>
      </w:r>
      <w:r w:rsidRPr="00C44B15">
        <w:rPr>
          <w:rFonts w:ascii="Arial" w:hAnsi="Arial" w:cs="Arial"/>
          <w:color w:val="000000"/>
          <w:sz w:val="22"/>
          <w:szCs w:val="22"/>
        </w:rPr>
        <w:t>Identifica a la persona natural o jurídica, incluye el tipo y el número del documento de identificación; se origina en la tabla de terceros del sistema y tiene los siguientes valores: número de identificación tributaria, NIT, cédula de ciudadanía, tarjeta de identidad, pasaporte, entre otros.</w:t>
      </w:r>
    </w:p>
    <w:p w14:paraId="164AE3BB" w14:textId="77777777" w:rsidR="00C44B15" w:rsidRDefault="00C44B15" w:rsidP="00EF3D59">
      <w:pPr>
        <w:pStyle w:val="Prrafodelista"/>
        <w:tabs>
          <w:tab w:val="left" w:pos="567"/>
        </w:tabs>
        <w:spacing w:line="288" w:lineRule="auto"/>
        <w:ind w:left="567" w:hanging="283"/>
        <w:rPr>
          <w:rFonts w:ascii="Arial" w:hAnsi="Arial" w:cs="Arial"/>
          <w:b/>
          <w:color w:val="000000"/>
          <w:sz w:val="22"/>
          <w:szCs w:val="22"/>
        </w:rPr>
      </w:pPr>
    </w:p>
    <w:p w14:paraId="520F2F49"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t>Cuenta bancaria, CTA BAN:</w:t>
      </w:r>
      <w:r w:rsidRPr="00C44B15">
        <w:rPr>
          <w:rFonts w:ascii="Arial" w:hAnsi="Arial" w:cs="Arial"/>
          <w:color w:val="000000"/>
          <w:sz w:val="22"/>
          <w:szCs w:val="22"/>
        </w:rPr>
        <w:t xml:space="preserve"> Corresponde al número de la cuenta bancaria; se define en aquellos códigos contables que tengan la marca </w:t>
      </w:r>
      <w:r w:rsidRPr="00C74A64">
        <w:rPr>
          <w:rFonts w:ascii="Arial" w:hAnsi="Arial" w:cs="Arial"/>
          <w:i/>
          <w:iCs/>
          <w:color w:val="000000"/>
          <w:sz w:val="22"/>
          <w:szCs w:val="22"/>
        </w:rPr>
        <w:t>“aplica bancos”</w:t>
      </w:r>
      <w:r w:rsidRPr="00C44B15">
        <w:rPr>
          <w:rFonts w:ascii="Arial" w:hAnsi="Arial" w:cs="Arial"/>
          <w:color w:val="000000"/>
          <w:sz w:val="22"/>
          <w:szCs w:val="22"/>
        </w:rPr>
        <w:t xml:space="preserve"> y relacionados en la creación de la cuenta bancaria.</w:t>
      </w:r>
    </w:p>
    <w:p w14:paraId="2B95DFC2" w14:textId="77777777" w:rsidR="00C44B15" w:rsidRDefault="00C44B15" w:rsidP="00EF3D59">
      <w:pPr>
        <w:pStyle w:val="Prrafodelista"/>
        <w:tabs>
          <w:tab w:val="left" w:pos="567"/>
        </w:tabs>
        <w:spacing w:line="288" w:lineRule="auto"/>
        <w:ind w:left="567" w:hanging="283"/>
        <w:rPr>
          <w:rFonts w:ascii="Arial" w:hAnsi="Arial" w:cs="Arial"/>
          <w:b/>
          <w:color w:val="000000"/>
          <w:sz w:val="22"/>
          <w:szCs w:val="22"/>
        </w:rPr>
      </w:pPr>
    </w:p>
    <w:p w14:paraId="2FB5DFF5"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lastRenderedPageBreak/>
        <w:t>PCI Relacionada, PCI REL:</w:t>
      </w:r>
      <w:r w:rsidRPr="00C44B15">
        <w:rPr>
          <w:rFonts w:ascii="Arial" w:hAnsi="Arial" w:cs="Arial"/>
          <w:color w:val="000000"/>
          <w:sz w:val="22"/>
          <w:szCs w:val="22"/>
        </w:rPr>
        <w:t xml:space="preserve"> Identifica los códigos de operaciones que son 100% recíprocas de las ECP del ámbito del sistema; se asigna a los códigos contables que tienen marca de recíproca= “SÍ” en la tabla TCON01 catálogo contable.</w:t>
      </w:r>
    </w:p>
    <w:p w14:paraId="6F5D829B" w14:textId="77777777" w:rsidR="00F01B26" w:rsidRDefault="00F01B26" w:rsidP="00EF3D59">
      <w:pPr>
        <w:pStyle w:val="Prrafodelista"/>
        <w:tabs>
          <w:tab w:val="left" w:pos="567"/>
        </w:tabs>
        <w:spacing w:line="288" w:lineRule="auto"/>
        <w:ind w:left="567" w:hanging="283"/>
        <w:rPr>
          <w:rFonts w:ascii="Arial" w:hAnsi="Arial" w:cs="Arial"/>
          <w:color w:val="000000"/>
          <w:sz w:val="22"/>
          <w:szCs w:val="22"/>
        </w:rPr>
      </w:pPr>
    </w:p>
    <w:p w14:paraId="716874E2" w14:textId="77777777" w:rsidR="00F01B26" w:rsidRDefault="00F01B2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F01B26">
        <w:rPr>
          <w:rFonts w:ascii="Arial" w:hAnsi="Arial" w:cs="Arial"/>
          <w:b/>
          <w:color w:val="000000"/>
          <w:sz w:val="22"/>
          <w:szCs w:val="22"/>
        </w:rPr>
        <w:t xml:space="preserve">Beneficiario de la deducción - BENEFDED: </w:t>
      </w:r>
      <w:r w:rsidRPr="00F01B26">
        <w:rPr>
          <w:rFonts w:ascii="Arial" w:hAnsi="Arial" w:cs="Arial"/>
          <w:color w:val="000000"/>
          <w:sz w:val="22"/>
          <w:szCs w:val="22"/>
        </w:rPr>
        <w:t>Identifica los códigos contables relacionados con deducciones de nómina por libranzas; descuentos de aportes de los empleados por EP(s) y AFP(s); aportes a AFC y Fondos de Pensiones; Cooperativas; etc.</w:t>
      </w:r>
    </w:p>
    <w:p w14:paraId="4F58F69D" w14:textId="77777777" w:rsidR="00C44B15" w:rsidRPr="00F01B26" w:rsidRDefault="00C44B15" w:rsidP="00EF3D59">
      <w:pPr>
        <w:pStyle w:val="Prrafodelista"/>
        <w:tabs>
          <w:tab w:val="left" w:pos="567"/>
        </w:tabs>
        <w:spacing w:line="288" w:lineRule="auto"/>
        <w:ind w:left="567" w:hanging="283"/>
        <w:rPr>
          <w:rFonts w:ascii="Arial" w:hAnsi="Arial" w:cs="Arial"/>
          <w:color w:val="000000"/>
          <w:sz w:val="22"/>
          <w:szCs w:val="22"/>
          <w:lang w:val="es-CO" w:eastAsia="es-CO"/>
        </w:rPr>
      </w:pPr>
    </w:p>
    <w:p w14:paraId="22F9D042" w14:textId="77777777" w:rsid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t>Rubro de gastos, CAT GAS:</w:t>
      </w:r>
      <w:r w:rsidRPr="00C44B15">
        <w:rPr>
          <w:rFonts w:ascii="Arial" w:hAnsi="Arial" w:cs="Arial"/>
          <w:color w:val="000000"/>
          <w:sz w:val="22"/>
          <w:szCs w:val="22"/>
        </w:rPr>
        <w:t xml:space="preserve"> Corresponde al código de la posición presupuestal de gastos y se originan en los macroprocesos de gastos.</w:t>
      </w:r>
    </w:p>
    <w:p w14:paraId="64B74B0B" w14:textId="77777777" w:rsidR="00C44B15" w:rsidRDefault="00C44B15" w:rsidP="00EF3D59">
      <w:pPr>
        <w:pStyle w:val="Prrafodelista"/>
        <w:tabs>
          <w:tab w:val="left" w:pos="567"/>
        </w:tabs>
        <w:spacing w:line="288" w:lineRule="auto"/>
        <w:ind w:left="567" w:hanging="283"/>
        <w:rPr>
          <w:rFonts w:ascii="Arial" w:hAnsi="Arial" w:cs="Arial"/>
          <w:b/>
          <w:color w:val="000000"/>
          <w:sz w:val="22"/>
          <w:szCs w:val="22"/>
        </w:rPr>
      </w:pPr>
    </w:p>
    <w:p w14:paraId="66C6C161" w14:textId="77777777" w:rsidR="00F307B6" w:rsidRPr="00C44B15" w:rsidRDefault="00F307B6" w:rsidP="00343ECE">
      <w:pPr>
        <w:pStyle w:val="unico"/>
        <w:numPr>
          <w:ilvl w:val="0"/>
          <w:numId w:val="44"/>
        </w:numPr>
        <w:tabs>
          <w:tab w:val="left" w:pos="142"/>
          <w:tab w:val="left" w:pos="567"/>
        </w:tabs>
        <w:spacing w:before="0" w:beforeAutospacing="0" w:after="0" w:afterAutospacing="0" w:line="288" w:lineRule="auto"/>
        <w:ind w:left="567" w:hanging="283"/>
        <w:jc w:val="both"/>
        <w:rPr>
          <w:rFonts w:ascii="Arial" w:hAnsi="Arial" w:cs="Arial"/>
          <w:color w:val="000000"/>
          <w:sz w:val="22"/>
          <w:szCs w:val="22"/>
        </w:rPr>
      </w:pPr>
      <w:r w:rsidRPr="00C44B15">
        <w:rPr>
          <w:rFonts w:ascii="Arial" w:hAnsi="Arial" w:cs="Arial"/>
          <w:b/>
          <w:color w:val="000000"/>
          <w:sz w:val="22"/>
          <w:szCs w:val="22"/>
        </w:rPr>
        <w:t>Rubro de ingresos, CAT ING:</w:t>
      </w:r>
      <w:r w:rsidRPr="00C44B15">
        <w:rPr>
          <w:rFonts w:ascii="Arial" w:hAnsi="Arial" w:cs="Arial"/>
          <w:color w:val="000000"/>
          <w:sz w:val="22"/>
          <w:szCs w:val="22"/>
        </w:rPr>
        <w:t xml:space="preserve"> Identifica el código de la posición presupuestal de ingresos y se originan en los macroprocesos de ingresos.</w:t>
      </w:r>
    </w:p>
    <w:p w14:paraId="71F5A504" w14:textId="77777777" w:rsidR="00FC139C" w:rsidRPr="00BB157A" w:rsidRDefault="00FC139C" w:rsidP="00EF3D59">
      <w:pPr>
        <w:pStyle w:val="unico"/>
        <w:spacing w:before="0" w:beforeAutospacing="0" w:after="0" w:afterAutospacing="0" w:line="288" w:lineRule="auto"/>
        <w:jc w:val="both"/>
        <w:rPr>
          <w:rFonts w:ascii="Arial" w:hAnsi="Arial" w:cs="Arial"/>
          <w:color w:val="000000"/>
          <w:sz w:val="22"/>
          <w:szCs w:val="22"/>
        </w:rPr>
      </w:pPr>
    </w:p>
    <w:p w14:paraId="77C8712D" w14:textId="77777777" w:rsidR="00F307B6" w:rsidRPr="000A1C5B" w:rsidRDefault="00F307B6" w:rsidP="00EF3D59">
      <w:pPr>
        <w:spacing w:line="288" w:lineRule="auto"/>
        <w:rPr>
          <w:rFonts w:ascii="Arial" w:hAnsi="Arial" w:cs="Arial"/>
          <w:b/>
          <w:color w:val="000000"/>
          <w:sz w:val="22"/>
          <w:szCs w:val="22"/>
        </w:rPr>
      </w:pPr>
      <w:r w:rsidRPr="000A1C5B">
        <w:rPr>
          <w:rFonts w:ascii="Arial" w:hAnsi="Arial" w:cs="Arial"/>
          <w:b/>
          <w:color w:val="000000"/>
          <w:sz w:val="22"/>
          <w:szCs w:val="22"/>
        </w:rPr>
        <w:t>Relación del catálogo contable a nivel imputable con los tipos de auxiliares TCON06</w:t>
      </w:r>
    </w:p>
    <w:p w14:paraId="5FAACCBF" w14:textId="77777777" w:rsidR="004547B1" w:rsidRDefault="004547B1" w:rsidP="00EF3D59">
      <w:pPr>
        <w:spacing w:line="288" w:lineRule="auto"/>
      </w:pPr>
    </w:p>
    <w:p w14:paraId="367DAFE7" w14:textId="77777777" w:rsidR="00F307B6" w:rsidRDefault="00F307B6" w:rsidP="00EF3D59">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 xml:space="preserve">Esta relación permite vincular el código contable a nivel imputable, definido en la tabla de eventos TCON1-catálogo contable, con los diferentes tipos de auxiliares establecidos en la tabla de eventos TCON5-auxiliares contables. La relación entre el código contable y el auxiliar permite </w:t>
      </w:r>
      <w:proofErr w:type="gramStart"/>
      <w:r w:rsidRPr="00BB157A">
        <w:rPr>
          <w:rFonts w:ascii="Arial" w:hAnsi="Arial" w:cs="Arial"/>
          <w:color w:val="000000"/>
          <w:sz w:val="22"/>
          <w:szCs w:val="22"/>
        </w:rPr>
        <w:t>que</w:t>
      </w:r>
      <w:proofErr w:type="gramEnd"/>
      <w:r w:rsidRPr="00BB157A">
        <w:rPr>
          <w:rFonts w:ascii="Arial" w:hAnsi="Arial" w:cs="Arial"/>
          <w:color w:val="000000"/>
          <w:sz w:val="22"/>
          <w:szCs w:val="22"/>
        </w:rPr>
        <w:t xml:space="preserve"> al r</w:t>
      </w:r>
      <w:r w:rsidR="00FD663B">
        <w:rPr>
          <w:rFonts w:ascii="Arial" w:hAnsi="Arial" w:cs="Arial"/>
          <w:color w:val="000000"/>
          <w:sz w:val="22"/>
          <w:szCs w:val="22"/>
        </w:rPr>
        <w:t xml:space="preserve">egistrar los hechos </w:t>
      </w:r>
      <w:r w:rsidRPr="00BB157A">
        <w:rPr>
          <w:rFonts w:ascii="Arial" w:hAnsi="Arial" w:cs="Arial"/>
          <w:color w:val="000000"/>
          <w:sz w:val="22"/>
          <w:szCs w:val="22"/>
        </w:rPr>
        <w:t>económicos, se tenga la información definida en el auxiliar.</w:t>
      </w:r>
    </w:p>
    <w:p w14:paraId="0ED1F5B5" w14:textId="77777777" w:rsidR="00DE77E0" w:rsidRPr="00BB157A" w:rsidRDefault="00DE77E0" w:rsidP="00EF3D59">
      <w:pPr>
        <w:pStyle w:val="unico"/>
        <w:spacing w:before="0" w:beforeAutospacing="0" w:after="0" w:afterAutospacing="0" w:line="288" w:lineRule="auto"/>
        <w:jc w:val="both"/>
        <w:rPr>
          <w:rFonts w:ascii="Arial" w:hAnsi="Arial" w:cs="Arial"/>
          <w:color w:val="000000"/>
          <w:sz w:val="22"/>
          <w:szCs w:val="22"/>
        </w:rPr>
      </w:pPr>
    </w:p>
    <w:p w14:paraId="27CBCA7E" w14:textId="77777777" w:rsidR="00F307B6" w:rsidRDefault="00F307B6" w:rsidP="00EF3D59">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En el siguiente</w:t>
      </w:r>
      <w:r w:rsidR="00DE77E0">
        <w:rPr>
          <w:rFonts w:ascii="Arial" w:hAnsi="Arial" w:cs="Arial"/>
          <w:color w:val="000000"/>
          <w:sz w:val="22"/>
          <w:szCs w:val="22"/>
        </w:rPr>
        <w:t xml:space="preserve"> cuadro</w:t>
      </w:r>
      <w:r w:rsidRPr="00BB157A">
        <w:rPr>
          <w:rFonts w:ascii="Arial" w:hAnsi="Arial" w:cs="Arial"/>
          <w:color w:val="000000"/>
          <w:sz w:val="22"/>
          <w:szCs w:val="22"/>
        </w:rPr>
        <w:t xml:space="preserve"> se muestran los códigos contables y su re</w:t>
      </w:r>
      <w:r w:rsidR="00FD663B">
        <w:rPr>
          <w:rFonts w:ascii="Arial" w:hAnsi="Arial" w:cs="Arial"/>
          <w:color w:val="000000"/>
          <w:sz w:val="22"/>
          <w:szCs w:val="22"/>
        </w:rPr>
        <w:t>lación con los auxiliares fijos y</w:t>
      </w:r>
      <w:r w:rsidRPr="00BB157A">
        <w:rPr>
          <w:rFonts w:ascii="Arial" w:hAnsi="Arial" w:cs="Arial"/>
          <w:color w:val="000000"/>
          <w:sz w:val="22"/>
          <w:szCs w:val="22"/>
        </w:rPr>
        <w:t xml:space="preserve"> variables, en donde se identifica el auxiliar por cada código contable a nivel imputable:</w:t>
      </w:r>
    </w:p>
    <w:p w14:paraId="5023FDEB" w14:textId="77777777" w:rsidR="00DE77E0" w:rsidRDefault="00DE77E0" w:rsidP="00A0134B">
      <w:pPr>
        <w:pStyle w:val="unico"/>
        <w:spacing w:before="0" w:beforeAutospacing="0" w:after="0" w:afterAutospacing="0" w:line="288" w:lineRule="auto"/>
        <w:jc w:val="both"/>
        <w:rPr>
          <w:rFonts w:ascii="Arial" w:hAnsi="Arial" w:cs="Arial"/>
          <w:color w:val="000000"/>
          <w:sz w:val="22"/>
          <w:szCs w:val="22"/>
        </w:rPr>
      </w:pPr>
    </w:p>
    <w:p w14:paraId="0FD0F86A" w14:textId="77777777" w:rsidR="00EB0F17" w:rsidRDefault="00E56F22" w:rsidP="00E02C7B">
      <w:pPr>
        <w:pStyle w:val="unico"/>
        <w:spacing w:before="0" w:beforeAutospacing="0" w:after="0" w:afterAutospacing="0" w:line="288" w:lineRule="auto"/>
        <w:jc w:val="both"/>
        <w:rPr>
          <w:rFonts w:ascii="Arial" w:hAnsi="Arial" w:cs="Arial"/>
          <w:color w:val="000000"/>
          <w:sz w:val="22"/>
          <w:szCs w:val="22"/>
        </w:rPr>
      </w:pPr>
      <w:r w:rsidRPr="00EB0F17">
        <w:rPr>
          <w:noProof/>
        </w:rPr>
        <w:drawing>
          <wp:inline distT="0" distB="0" distL="0" distR="0" wp14:anchorId="37D62942" wp14:editId="2DF98B37">
            <wp:extent cx="5610225" cy="129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noFill/>
                    </a:ln>
                  </pic:spPr>
                </pic:pic>
              </a:graphicData>
            </a:graphic>
          </wp:inline>
        </w:drawing>
      </w:r>
    </w:p>
    <w:p w14:paraId="5ED6BE64" w14:textId="77777777" w:rsidR="00EB0F17" w:rsidRDefault="00EB0F17" w:rsidP="00E02C7B">
      <w:pPr>
        <w:pStyle w:val="unico"/>
        <w:spacing w:before="0" w:beforeAutospacing="0" w:after="0" w:afterAutospacing="0" w:line="288" w:lineRule="auto"/>
        <w:jc w:val="both"/>
        <w:rPr>
          <w:rFonts w:ascii="Arial" w:hAnsi="Arial" w:cs="Arial"/>
          <w:color w:val="000000"/>
          <w:sz w:val="22"/>
          <w:szCs w:val="22"/>
        </w:rPr>
      </w:pPr>
    </w:p>
    <w:p w14:paraId="5C16C9C9" w14:textId="77777777" w:rsidR="00E02C7B" w:rsidRPr="00852A89" w:rsidRDefault="00E02C7B" w:rsidP="00343ECE">
      <w:pPr>
        <w:pStyle w:val="Ttulo3"/>
        <w:numPr>
          <w:ilvl w:val="2"/>
          <w:numId w:val="15"/>
        </w:numPr>
        <w:spacing w:line="288" w:lineRule="auto"/>
        <w:rPr>
          <w:rFonts w:ascii="Arial" w:hAnsi="Arial" w:cs="Arial"/>
          <w:b/>
          <w:color w:val="000000"/>
          <w:sz w:val="22"/>
          <w:szCs w:val="22"/>
        </w:rPr>
      </w:pPr>
      <w:bookmarkStart w:id="135" w:name="_Toc15908988"/>
      <w:bookmarkStart w:id="136" w:name="_Toc15909173"/>
      <w:bookmarkStart w:id="137" w:name="_Toc23496133"/>
      <w:bookmarkStart w:id="138" w:name="_Toc24099446"/>
      <w:bookmarkStart w:id="139" w:name="_Toc24528361"/>
      <w:bookmarkStart w:id="140" w:name="_Toc25854924"/>
      <w:bookmarkStart w:id="141" w:name="_Toc25855328"/>
      <w:bookmarkStart w:id="142" w:name="_Toc27383758"/>
      <w:bookmarkStart w:id="143" w:name="_Toc27411680"/>
      <w:bookmarkStart w:id="144" w:name="_Toc27412363"/>
      <w:bookmarkStart w:id="145" w:name="_Toc59377834"/>
      <w:bookmarkEnd w:id="135"/>
      <w:bookmarkEnd w:id="136"/>
      <w:bookmarkEnd w:id="137"/>
      <w:bookmarkEnd w:id="138"/>
      <w:bookmarkEnd w:id="139"/>
      <w:bookmarkEnd w:id="140"/>
      <w:bookmarkEnd w:id="141"/>
      <w:bookmarkEnd w:id="142"/>
      <w:bookmarkEnd w:id="143"/>
      <w:bookmarkEnd w:id="144"/>
      <w:r w:rsidRPr="00852A89">
        <w:rPr>
          <w:rFonts w:ascii="Arial" w:hAnsi="Arial" w:cs="Arial"/>
          <w:b/>
          <w:color w:val="000000"/>
          <w:sz w:val="22"/>
          <w:szCs w:val="22"/>
        </w:rPr>
        <w:t>Registro de operaciones automáticas en el macroproceso contable</w:t>
      </w:r>
      <w:bookmarkEnd w:id="145"/>
    </w:p>
    <w:p w14:paraId="71481DED" w14:textId="77777777" w:rsidR="00852A89" w:rsidRPr="00852A89" w:rsidRDefault="00852A89" w:rsidP="00852A89">
      <w:pPr>
        <w:spacing w:line="288" w:lineRule="auto"/>
        <w:ind w:left="720"/>
      </w:pPr>
    </w:p>
    <w:p w14:paraId="76B0FB3D" w14:textId="6C428FA7" w:rsidR="00E02C7B" w:rsidRDefault="00E02C7B" w:rsidP="00852A89">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 xml:space="preserve">La gestión financiera de la ejecución presupuestal de gasto se inicia con la solicitud </w:t>
      </w:r>
      <w:r w:rsidR="00384EEB">
        <w:rPr>
          <w:rFonts w:ascii="Arial" w:hAnsi="Arial" w:cs="Arial"/>
          <w:color w:val="000000"/>
          <w:sz w:val="22"/>
          <w:szCs w:val="22"/>
        </w:rPr>
        <w:t xml:space="preserve">de </w:t>
      </w:r>
      <w:r w:rsidRPr="00BB157A">
        <w:rPr>
          <w:rFonts w:ascii="Arial" w:hAnsi="Arial" w:cs="Arial"/>
          <w:color w:val="000000"/>
          <w:sz w:val="22"/>
          <w:szCs w:val="22"/>
        </w:rPr>
        <w:t>expedición del certificado de disponibilidad presupuestal, la expedición del certificado de disponibilidad presupuestal</w:t>
      </w:r>
      <w:r w:rsidR="00384EEB">
        <w:rPr>
          <w:rFonts w:ascii="Arial" w:hAnsi="Arial" w:cs="Arial"/>
          <w:color w:val="000000"/>
          <w:sz w:val="22"/>
          <w:szCs w:val="22"/>
        </w:rPr>
        <w:t xml:space="preserve"> (</w:t>
      </w:r>
      <w:r w:rsidRPr="00BB157A">
        <w:rPr>
          <w:rFonts w:ascii="Arial" w:hAnsi="Arial" w:cs="Arial"/>
          <w:color w:val="000000"/>
          <w:sz w:val="22"/>
          <w:szCs w:val="22"/>
        </w:rPr>
        <w:t>CDP</w:t>
      </w:r>
      <w:r w:rsidR="00384EEB">
        <w:rPr>
          <w:rFonts w:ascii="Arial" w:hAnsi="Arial" w:cs="Arial"/>
          <w:color w:val="000000"/>
          <w:sz w:val="22"/>
          <w:szCs w:val="22"/>
        </w:rPr>
        <w:t>)</w:t>
      </w:r>
      <w:r w:rsidRPr="00BB157A">
        <w:rPr>
          <w:rFonts w:ascii="Arial" w:hAnsi="Arial" w:cs="Arial"/>
          <w:color w:val="000000"/>
          <w:sz w:val="22"/>
          <w:szCs w:val="22"/>
        </w:rPr>
        <w:t xml:space="preserve">, </w:t>
      </w:r>
      <w:r w:rsidR="00384EEB">
        <w:rPr>
          <w:rFonts w:ascii="Arial" w:hAnsi="Arial" w:cs="Arial"/>
          <w:color w:val="000000"/>
          <w:sz w:val="22"/>
          <w:szCs w:val="22"/>
        </w:rPr>
        <w:t xml:space="preserve">la </w:t>
      </w:r>
      <w:r w:rsidRPr="00BB157A">
        <w:rPr>
          <w:rFonts w:ascii="Arial" w:hAnsi="Arial" w:cs="Arial"/>
          <w:color w:val="000000"/>
          <w:sz w:val="22"/>
          <w:szCs w:val="22"/>
        </w:rPr>
        <w:t xml:space="preserve">generación del compromiso presupuestal de gastos y </w:t>
      </w:r>
      <w:r w:rsidRPr="00BB157A">
        <w:rPr>
          <w:rFonts w:ascii="Arial" w:hAnsi="Arial" w:cs="Arial"/>
          <w:color w:val="000000"/>
          <w:sz w:val="22"/>
          <w:szCs w:val="22"/>
        </w:rPr>
        <w:lastRenderedPageBreak/>
        <w:t>la radicación de la cuenta por pagar; el efecto contable se encuentra en la etapa de la obligación presupuestal y del pago.</w:t>
      </w:r>
    </w:p>
    <w:p w14:paraId="7EA353F5" w14:textId="77777777" w:rsidR="00FA48EF" w:rsidRPr="00BB157A" w:rsidRDefault="00FA48EF" w:rsidP="00852A89">
      <w:pPr>
        <w:pStyle w:val="unico"/>
        <w:spacing w:before="0" w:beforeAutospacing="0" w:after="0" w:afterAutospacing="0" w:line="288" w:lineRule="auto"/>
        <w:jc w:val="both"/>
        <w:rPr>
          <w:rFonts w:ascii="Arial" w:hAnsi="Arial" w:cs="Arial"/>
          <w:color w:val="000000"/>
          <w:sz w:val="22"/>
          <w:szCs w:val="22"/>
        </w:rPr>
      </w:pPr>
    </w:p>
    <w:p w14:paraId="5AD8E77F" w14:textId="77777777" w:rsidR="00E02C7B" w:rsidRPr="00BB157A" w:rsidRDefault="00E02C7B" w:rsidP="00852A89">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 xml:space="preserve">Para la gestión financiera de los ingresos, incluye el registro de los actos administrativos que en el futuro pueden generar ingresos, la </w:t>
      </w:r>
      <w:proofErr w:type="spellStart"/>
      <w:r w:rsidRPr="00BB157A">
        <w:rPr>
          <w:rFonts w:ascii="Arial" w:hAnsi="Arial" w:cs="Arial"/>
          <w:color w:val="000000"/>
          <w:sz w:val="22"/>
          <w:szCs w:val="22"/>
        </w:rPr>
        <w:t>causación</w:t>
      </w:r>
      <w:proofErr w:type="spellEnd"/>
      <w:r w:rsidRPr="00BB157A">
        <w:rPr>
          <w:rFonts w:ascii="Arial" w:hAnsi="Arial" w:cs="Arial"/>
          <w:color w:val="000000"/>
          <w:sz w:val="22"/>
          <w:szCs w:val="22"/>
        </w:rPr>
        <w:t xml:space="preserve"> de los derechos e ingresos y los recaudos, que pueden ser en efectivo o en títulos; con efecto contable.</w:t>
      </w:r>
    </w:p>
    <w:p w14:paraId="4E35D8F7" w14:textId="77777777" w:rsidR="00A07950" w:rsidRDefault="00A07950" w:rsidP="00852A89">
      <w:pPr>
        <w:pStyle w:val="Ttulo2"/>
        <w:spacing w:line="288" w:lineRule="auto"/>
        <w:rPr>
          <w:rFonts w:ascii="Arial" w:hAnsi="Arial" w:cs="Arial"/>
          <w:color w:val="000000"/>
          <w:sz w:val="22"/>
          <w:szCs w:val="22"/>
        </w:rPr>
      </w:pPr>
    </w:p>
    <w:p w14:paraId="02D14FCE" w14:textId="77777777" w:rsidR="00E02C7B" w:rsidRPr="00852A89" w:rsidRDefault="00E02C7B" w:rsidP="00343ECE">
      <w:pPr>
        <w:pStyle w:val="Ttulo3"/>
        <w:numPr>
          <w:ilvl w:val="2"/>
          <w:numId w:val="15"/>
        </w:numPr>
        <w:spacing w:line="288" w:lineRule="auto"/>
        <w:rPr>
          <w:rFonts w:ascii="Arial" w:hAnsi="Arial" w:cs="Arial"/>
          <w:b/>
          <w:color w:val="000000"/>
          <w:sz w:val="22"/>
          <w:szCs w:val="22"/>
        </w:rPr>
      </w:pPr>
      <w:bookmarkStart w:id="146" w:name="_Toc59377835"/>
      <w:r w:rsidRPr="00852A89">
        <w:rPr>
          <w:rFonts w:ascii="Arial" w:hAnsi="Arial" w:cs="Arial"/>
          <w:b/>
          <w:color w:val="000000"/>
          <w:sz w:val="22"/>
          <w:szCs w:val="22"/>
        </w:rPr>
        <w:t>Operaciones automáticas generadas en la obligación presupuestal</w:t>
      </w:r>
      <w:bookmarkEnd w:id="146"/>
    </w:p>
    <w:p w14:paraId="32EF3DAC" w14:textId="77777777" w:rsidR="00852A89" w:rsidRPr="00852A89" w:rsidRDefault="00852A89" w:rsidP="00852A89">
      <w:pPr>
        <w:spacing w:line="288" w:lineRule="auto"/>
        <w:ind w:left="720"/>
      </w:pPr>
    </w:p>
    <w:p w14:paraId="1F1DACEE" w14:textId="77777777" w:rsidR="00E02C7B" w:rsidRDefault="00E02C7B" w:rsidP="00852A89">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Para el registro de las obligaciones se requiere de los siguientes insumos para la generación de los comprobantes contables automáticos:</w:t>
      </w:r>
    </w:p>
    <w:p w14:paraId="507FEED7" w14:textId="77777777" w:rsidR="005E1548" w:rsidRPr="00BB157A" w:rsidRDefault="005E1548" w:rsidP="00852A89">
      <w:pPr>
        <w:pStyle w:val="unico"/>
        <w:spacing w:before="0" w:beforeAutospacing="0" w:after="0" w:afterAutospacing="0" w:line="288" w:lineRule="auto"/>
        <w:jc w:val="both"/>
        <w:rPr>
          <w:rFonts w:ascii="Arial" w:hAnsi="Arial" w:cs="Arial"/>
          <w:color w:val="000000"/>
          <w:sz w:val="22"/>
          <w:szCs w:val="22"/>
        </w:rPr>
      </w:pPr>
    </w:p>
    <w:p w14:paraId="56FA99C7" w14:textId="77777777" w:rsidR="00E02C7B" w:rsidRDefault="00E02C7B" w:rsidP="00852A89">
      <w:pPr>
        <w:pStyle w:val="unico"/>
        <w:tabs>
          <w:tab w:val="left" w:pos="142"/>
        </w:tabs>
        <w:spacing w:before="0" w:beforeAutospacing="0" w:after="0" w:afterAutospacing="0" w:line="288" w:lineRule="auto"/>
        <w:jc w:val="both"/>
        <w:rPr>
          <w:rFonts w:ascii="Arial" w:hAnsi="Arial" w:cs="Arial"/>
          <w:color w:val="000000"/>
          <w:sz w:val="22"/>
          <w:szCs w:val="22"/>
        </w:rPr>
      </w:pPr>
      <w:r w:rsidRPr="005E1548">
        <w:rPr>
          <w:rFonts w:ascii="Arial" w:hAnsi="Arial" w:cs="Arial"/>
          <w:b/>
          <w:color w:val="000000"/>
          <w:sz w:val="22"/>
          <w:szCs w:val="22"/>
        </w:rPr>
        <w:t>Tipo de operación:</w:t>
      </w:r>
      <w:r w:rsidRPr="00BB157A">
        <w:rPr>
          <w:rFonts w:ascii="Arial" w:hAnsi="Arial" w:cs="Arial"/>
          <w:color w:val="000000"/>
          <w:sz w:val="22"/>
          <w:szCs w:val="22"/>
        </w:rPr>
        <w:t xml:space="preserve"> Determina un único pasivo en el registro contable para un conjunto de rubros cuyo concepto es homogéneo. En su definición se establece si se aplica a un registro que tiene matriz directa (no interviene el usuario) o a un registro que emplea usos contables, los cuales son excluyentes.</w:t>
      </w:r>
    </w:p>
    <w:p w14:paraId="66EA41CE" w14:textId="77777777" w:rsidR="005E1548" w:rsidRPr="00BB157A" w:rsidRDefault="005E1548" w:rsidP="00A0134B">
      <w:pPr>
        <w:pStyle w:val="unico"/>
        <w:spacing w:before="0" w:beforeAutospacing="0" w:after="0" w:afterAutospacing="0" w:line="288" w:lineRule="auto"/>
        <w:jc w:val="both"/>
        <w:rPr>
          <w:rFonts w:ascii="Arial" w:hAnsi="Arial" w:cs="Arial"/>
          <w:color w:val="000000"/>
          <w:sz w:val="22"/>
          <w:szCs w:val="22"/>
        </w:rPr>
      </w:pPr>
    </w:p>
    <w:p w14:paraId="43EB65DC" w14:textId="77777777" w:rsidR="00762B56" w:rsidRDefault="004E7F49" w:rsidP="00A0134B">
      <w:pPr>
        <w:pStyle w:val="unico"/>
        <w:spacing w:before="0" w:beforeAutospacing="0" w:after="0" w:afterAutospacing="0" w:line="288" w:lineRule="auto"/>
        <w:jc w:val="both"/>
        <w:rPr>
          <w:rFonts w:ascii="Arial" w:hAnsi="Arial" w:cs="Arial"/>
          <w:color w:val="000000"/>
          <w:sz w:val="22"/>
          <w:szCs w:val="22"/>
        </w:rPr>
      </w:pPr>
      <w:r>
        <w:rPr>
          <w:rFonts w:ascii="Arial" w:hAnsi="Arial" w:cs="Arial"/>
          <w:color w:val="000000"/>
          <w:sz w:val="22"/>
          <w:szCs w:val="22"/>
        </w:rPr>
        <w:t xml:space="preserve">Los tipos de operación son los siguientes: </w:t>
      </w:r>
    </w:p>
    <w:p w14:paraId="38AF8396" w14:textId="77777777" w:rsidR="0068376F" w:rsidRDefault="0068376F" w:rsidP="00E02C7B">
      <w:pPr>
        <w:pStyle w:val="unico"/>
        <w:spacing w:before="0" w:beforeAutospacing="0" w:after="0" w:afterAutospacing="0" w:line="288" w:lineRule="auto"/>
        <w:jc w:val="both"/>
        <w:rPr>
          <w:rFonts w:ascii="Arial" w:hAnsi="Arial" w:cs="Arial"/>
          <w:color w:val="000000"/>
          <w:sz w:val="22"/>
          <w:szCs w:val="22"/>
        </w:rPr>
      </w:pPr>
    </w:p>
    <w:tbl>
      <w:tblPr>
        <w:tblW w:w="5090" w:type="pct"/>
        <w:tblLayout w:type="fixed"/>
        <w:tblCellMar>
          <w:left w:w="70" w:type="dxa"/>
          <w:right w:w="70" w:type="dxa"/>
        </w:tblCellMar>
        <w:tblLook w:val="04A0" w:firstRow="1" w:lastRow="0" w:firstColumn="1" w:lastColumn="0" w:noHBand="0" w:noVBand="1"/>
      </w:tblPr>
      <w:tblGrid>
        <w:gridCol w:w="489"/>
        <w:gridCol w:w="3344"/>
        <w:gridCol w:w="417"/>
        <w:gridCol w:w="4739"/>
      </w:tblGrid>
      <w:tr w:rsidR="00731CF5" w:rsidRPr="00676199" w14:paraId="3BCE1781" w14:textId="77777777" w:rsidTr="00731CF5">
        <w:trPr>
          <w:trHeight w:val="57"/>
          <w:tblHeader/>
        </w:trPr>
        <w:tc>
          <w:tcPr>
            <w:tcW w:w="272" w:type="pct"/>
            <w:tcBorders>
              <w:top w:val="single" w:sz="4" w:space="0" w:color="000000"/>
              <w:left w:val="single" w:sz="4" w:space="0" w:color="000000"/>
              <w:bottom w:val="single" w:sz="4" w:space="0" w:color="000000"/>
              <w:right w:val="single" w:sz="4" w:space="0" w:color="000000"/>
            </w:tcBorders>
            <w:shd w:val="clear" w:color="000000" w:fill="2F5395"/>
            <w:vAlign w:val="center"/>
            <w:hideMark/>
          </w:tcPr>
          <w:p w14:paraId="4057E317" w14:textId="77777777" w:rsidR="0068376F" w:rsidRPr="00676199" w:rsidRDefault="00731CF5" w:rsidP="00731CF5">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Cód.</w:t>
            </w:r>
            <w:r w:rsidR="0068376F" w:rsidRPr="00676199">
              <w:rPr>
                <w:rFonts w:ascii="Calibri" w:hAnsi="Calibri"/>
                <w:b/>
                <w:bCs/>
                <w:color w:val="FFFFFF"/>
                <w:sz w:val="12"/>
                <w:szCs w:val="12"/>
                <w:lang w:val="es-CO" w:eastAsia="es-CO"/>
              </w:rPr>
              <w:t xml:space="preserve"> Tipo Op</w:t>
            </w:r>
            <w:r w:rsidRPr="00676199">
              <w:rPr>
                <w:rFonts w:ascii="Calibri" w:hAnsi="Calibri"/>
                <w:b/>
                <w:bCs/>
                <w:color w:val="FFFFFF"/>
                <w:sz w:val="12"/>
                <w:szCs w:val="12"/>
                <w:lang w:val="es-CO" w:eastAsia="es-CO"/>
              </w:rPr>
              <w:t>eración</w:t>
            </w:r>
          </w:p>
        </w:tc>
        <w:tc>
          <w:tcPr>
            <w:tcW w:w="1860" w:type="pct"/>
            <w:tcBorders>
              <w:top w:val="single" w:sz="4" w:space="0" w:color="000000"/>
              <w:left w:val="nil"/>
              <w:bottom w:val="single" w:sz="4" w:space="0" w:color="000000"/>
              <w:right w:val="single" w:sz="4" w:space="0" w:color="000000"/>
            </w:tcBorders>
            <w:shd w:val="clear" w:color="000000" w:fill="2F5395"/>
            <w:vAlign w:val="center"/>
            <w:hideMark/>
          </w:tcPr>
          <w:p w14:paraId="06AFBBC8" w14:textId="77777777" w:rsidR="0068376F" w:rsidRPr="00676199" w:rsidRDefault="00731CF5"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Descripción</w:t>
            </w:r>
            <w:r w:rsidR="0068376F" w:rsidRPr="00676199">
              <w:rPr>
                <w:rFonts w:ascii="Calibri" w:hAnsi="Calibri"/>
                <w:b/>
                <w:bCs/>
                <w:color w:val="FFFFFF"/>
                <w:sz w:val="14"/>
                <w:szCs w:val="14"/>
                <w:lang w:val="es-CO" w:eastAsia="es-CO"/>
              </w:rPr>
              <w:t xml:space="preserve"> Tipo </w:t>
            </w:r>
            <w:r w:rsidRPr="00676199">
              <w:rPr>
                <w:rFonts w:ascii="Calibri" w:hAnsi="Calibri"/>
                <w:b/>
                <w:bCs/>
                <w:color w:val="FFFFFF"/>
                <w:sz w:val="14"/>
                <w:szCs w:val="14"/>
                <w:lang w:val="es-CO" w:eastAsia="es-CO"/>
              </w:rPr>
              <w:t>Operación</w:t>
            </w:r>
          </w:p>
        </w:tc>
        <w:tc>
          <w:tcPr>
            <w:tcW w:w="232" w:type="pct"/>
            <w:tcBorders>
              <w:top w:val="single" w:sz="4" w:space="0" w:color="000000"/>
              <w:left w:val="nil"/>
              <w:bottom w:val="single" w:sz="4" w:space="0" w:color="000000"/>
              <w:right w:val="single" w:sz="4" w:space="0" w:color="000000"/>
            </w:tcBorders>
            <w:shd w:val="clear" w:color="000000" w:fill="2F5395"/>
            <w:vAlign w:val="center"/>
            <w:hideMark/>
          </w:tcPr>
          <w:p w14:paraId="1EC393A4" w14:textId="77777777" w:rsidR="0068376F" w:rsidRPr="00676199" w:rsidRDefault="00731CF5" w:rsidP="0068376F">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 xml:space="preserve">Cód. </w:t>
            </w:r>
            <w:r w:rsidR="0068376F" w:rsidRPr="00676199">
              <w:rPr>
                <w:rFonts w:ascii="Calibri" w:hAnsi="Calibri"/>
                <w:b/>
                <w:bCs/>
                <w:color w:val="FFFFFF"/>
                <w:sz w:val="12"/>
                <w:szCs w:val="12"/>
                <w:lang w:val="es-CO" w:eastAsia="es-CO"/>
              </w:rPr>
              <w:t xml:space="preserve">Tipo </w:t>
            </w:r>
            <w:r w:rsidRPr="00676199">
              <w:rPr>
                <w:rFonts w:ascii="Calibri" w:hAnsi="Calibri"/>
                <w:b/>
                <w:bCs/>
                <w:color w:val="FFFFFF"/>
                <w:sz w:val="12"/>
                <w:szCs w:val="12"/>
                <w:lang w:val="es-CO" w:eastAsia="es-CO"/>
              </w:rPr>
              <w:t>Operación</w:t>
            </w:r>
          </w:p>
        </w:tc>
        <w:tc>
          <w:tcPr>
            <w:tcW w:w="2636" w:type="pct"/>
            <w:tcBorders>
              <w:top w:val="single" w:sz="4" w:space="0" w:color="000000"/>
              <w:left w:val="nil"/>
              <w:bottom w:val="single" w:sz="4" w:space="0" w:color="000000"/>
              <w:right w:val="single" w:sz="4" w:space="0" w:color="000000"/>
            </w:tcBorders>
            <w:shd w:val="clear" w:color="000000" w:fill="2F5395"/>
            <w:vAlign w:val="center"/>
            <w:hideMark/>
          </w:tcPr>
          <w:p w14:paraId="5003C5F5" w14:textId="77777777" w:rsidR="0068376F" w:rsidRPr="00676199" w:rsidRDefault="00731CF5"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Descripción</w:t>
            </w:r>
            <w:r w:rsidR="0068376F" w:rsidRPr="00676199">
              <w:rPr>
                <w:rFonts w:ascii="Calibri" w:hAnsi="Calibri"/>
                <w:b/>
                <w:bCs/>
                <w:color w:val="FFFFFF"/>
                <w:sz w:val="14"/>
                <w:szCs w:val="14"/>
                <w:lang w:val="es-CO" w:eastAsia="es-CO"/>
              </w:rPr>
              <w:t xml:space="preserve"> Tipo </w:t>
            </w:r>
            <w:r w:rsidRPr="00676199">
              <w:rPr>
                <w:rFonts w:ascii="Calibri" w:hAnsi="Calibri"/>
                <w:b/>
                <w:bCs/>
                <w:color w:val="FFFFFF"/>
                <w:sz w:val="14"/>
                <w:szCs w:val="14"/>
                <w:lang w:val="es-CO" w:eastAsia="es-CO"/>
              </w:rPr>
              <w:t>Operación</w:t>
            </w:r>
          </w:p>
        </w:tc>
      </w:tr>
      <w:tr w:rsidR="00731CF5" w:rsidRPr="00676199" w14:paraId="5C0522A5"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C687EF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w:t>
            </w:r>
          </w:p>
        </w:tc>
        <w:tc>
          <w:tcPr>
            <w:tcW w:w="1860" w:type="pct"/>
            <w:tcBorders>
              <w:top w:val="nil"/>
              <w:left w:val="nil"/>
              <w:bottom w:val="single" w:sz="4" w:space="0" w:color="000000"/>
              <w:right w:val="single" w:sz="4" w:space="0" w:color="000000"/>
            </w:tcBorders>
            <w:shd w:val="clear" w:color="auto" w:fill="auto"/>
            <w:vAlign w:val="center"/>
            <w:hideMark/>
          </w:tcPr>
          <w:p w14:paraId="7FDC828D" w14:textId="77777777" w:rsidR="0068376F" w:rsidRPr="00676199" w:rsidRDefault="00731CF5"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w:t>
            </w:r>
            <w:r w:rsidR="0068376F" w:rsidRPr="00676199">
              <w:rPr>
                <w:rFonts w:ascii="Calibri" w:hAnsi="Calibri"/>
                <w:color w:val="000000"/>
                <w:sz w:val="14"/>
                <w:szCs w:val="14"/>
                <w:lang w:val="es-CO" w:eastAsia="es-CO"/>
              </w:rPr>
              <w:t xml:space="preserve"> de Deuda-Financiamiento Interno-Títulos TES</w:t>
            </w:r>
          </w:p>
        </w:tc>
        <w:tc>
          <w:tcPr>
            <w:tcW w:w="232" w:type="pct"/>
            <w:tcBorders>
              <w:top w:val="nil"/>
              <w:left w:val="nil"/>
              <w:bottom w:val="single" w:sz="4" w:space="0" w:color="000000"/>
              <w:right w:val="single" w:sz="4" w:space="0" w:color="000000"/>
            </w:tcBorders>
            <w:shd w:val="clear" w:color="auto" w:fill="auto"/>
            <w:vAlign w:val="center"/>
            <w:hideMark/>
          </w:tcPr>
          <w:p w14:paraId="498968E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83</w:t>
            </w:r>
          </w:p>
        </w:tc>
        <w:tc>
          <w:tcPr>
            <w:tcW w:w="2636" w:type="pct"/>
            <w:tcBorders>
              <w:top w:val="nil"/>
              <w:left w:val="nil"/>
              <w:bottom w:val="single" w:sz="4" w:space="0" w:color="000000"/>
              <w:right w:val="single" w:sz="4" w:space="0" w:color="000000"/>
            </w:tcBorders>
            <w:shd w:val="clear" w:color="auto" w:fill="auto"/>
            <w:vAlign w:val="center"/>
            <w:hideMark/>
          </w:tcPr>
          <w:p w14:paraId="378A9F1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Prima de Navidad</w:t>
            </w:r>
          </w:p>
        </w:tc>
      </w:tr>
      <w:tr w:rsidR="00731CF5" w:rsidRPr="00676199" w14:paraId="3308868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C0EFB1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1860" w:type="pct"/>
            <w:tcBorders>
              <w:top w:val="nil"/>
              <w:left w:val="nil"/>
              <w:bottom w:val="single" w:sz="4" w:space="0" w:color="000000"/>
              <w:right w:val="single" w:sz="4" w:space="0" w:color="000000"/>
            </w:tcBorders>
            <w:shd w:val="clear" w:color="auto" w:fill="auto"/>
            <w:vAlign w:val="center"/>
            <w:hideMark/>
          </w:tcPr>
          <w:p w14:paraId="75C48C4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Interno-TES Costo Efectivo-Intereses</w:t>
            </w:r>
          </w:p>
        </w:tc>
        <w:tc>
          <w:tcPr>
            <w:tcW w:w="232" w:type="pct"/>
            <w:tcBorders>
              <w:top w:val="nil"/>
              <w:left w:val="nil"/>
              <w:bottom w:val="single" w:sz="4" w:space="0" w:color="000000"/>
              <w:right w:val="single" w:sz="4" w:space="0" w:color="000000"/>
            </w:tcBorders>
            <w:shd w:val="clear" w:color="auto" w:fill="auto"/>
            <w:vAlign w:val="center"/>
            <w:hideMark/>
          </w:tcPr>
          <w:p w14:paraId="1047877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84</w:t>
            </w:r>
          </w:p>
        </w:tc>
        <w:tc>
          <w:tcPr>
            <w:tcW w:w="2636" w:type="pct"/>
            <w:tcBorders>
              <w:top w:val="nil"/>
              <w:left w:val="nil"/>
              <w:bottom w:val="single" w:sz="4" w:space="0" w:color="000000"/>
              <w:right w:val="single" w:sz="4" w:space="0" w:color="000000"/>
            </w:tcBorders>
            <w:shd w:val="clear" w:color="auto" w:fill="auto"/>
            <w:vAlign w:val="center"/>
            <w:hideMark/>
          </w:tcPr>
          <w:p w14:paraId="2323E4A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Bonificaciones</w:t>
            </w:r>
          </w:p>
        </w:tc>
      </w:tr>
      <w:tr w:rsidR="00731CF5" w:rsidRPr="00676199" w14:paraId="2E181C1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91DE66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w:t>
            </w:r>
          </w:p>
        </w:tc>
        <w:tc>
          <w:tcPr>
            <w:tcW w:w="1860" w:type="pct"/>
            <w:tcBorders>
              <w:top w:val="nil"/>
              <w:left w:val="nil"/>
              <w:bottom w:val="single" w:sz="4" w:space="0" w:color="000000"/>
              <w:right w:val="single" w:sz="4" w:space="0" w:color="000000"/>
            </w:tcBorders>
            <w:shd w:val="clear" w:color="auto" w:fill="auto"/>
            <w:vAlign w:val="center"/>
            <w:hideMark/>
          </w:tcPr>
          <w:p w14:paraId="3B1CAC79" w14:textId="77777777" w:rsidR="0068376F" w:rsidRPr="00676199" w:rsidRDefault="00D95115"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w:t>
            </w:r>
            <w:r w:rsidR="0068376F" w:rsidRPr="00676199">
              <w:rPr>
                <w:rFonts w:ascii="Calibri" w:hAnsi="Calibri"/>
                <w:color w:val="000000"/>
                <w:sz w:val="14"/>
                <w:szCs w:val="14"/>
                <w:lang w:val="es-CO" w:eastAsia="es-CO"/>
              </w:rPr>
              <w:t xml:space="preserve"> de Deuda- Financiamiento Interno TES-Costo Efectivo Amortización -Costos de Transacción</w:t>
            </w:r>
          </w:p>
        </w:tc>
        <w:tc>
          <w:tcPr>
            <w:tcW w:w="232" w:type="pct"/>
            <w:tcBorders>
              <w:top w:val="nil"/>
              <w:left w:val="nil"/>
              <w:bottom w:val="single" w:sz="4" w:space="0" w:color="000000"/>
              <w:right w:val="single" w:sz="4" w:space="0" w:color="000000"/>
            </w:tcBorders>
            <w:shd w:val="clear" w:color="auto" w:fill="auto"/>
            <w:vAlign w:val="center"/>
            <w:hideMark/>
          </w:tcPr>
          <w:p w14:paraId="56117A7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85</w:t>
            </w:r>
          </w:p>
        </w:tc>
        <w:tc>
          <w:tcPr>
            <w:tcW w:w="2636" w:type="pct"/>
            <w:tcBorders>
              <w:top w:val="nil"/>
              <w:left w:val="nil"/>
              <w:bottom w:val="single" w:sz="4" w:space="0" w:color="000000"/>
              <w:right w:val="single" w:sz="4" w:space="0" w:color="000000"/>
            </w:tcBorders>
            <w:shd w:val="clear" w:color="auto" w:fill="auto"/>
            <w:vAlign w:val="center"/>
            <w:hideMark/>
          </w:tcPr>
          <w:p w14:paraId="77951A1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Bonificación Especial de Recreación</w:t>
            </w:r>
          </w:p>
        </w:tc>
      </w:tr>
      <w:tr w:rsidR="00731CF5" w:rsidRPr="00676199" w14:paraId="742C1DB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DFB39F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w:t>
            </w:r>
          </w:p>
        </w:tc>
        <w:tc>
          <w:tcPr>
            <w:tcW w:w="1860" w:type="pct"/>
            <w:tcBorders>
              <w:top w:val="nil"/>
              <w:left w:val="nil"/>
              <w:bottom w:val="single" w:sz="4" w:space="0" w:color="000000"/>
              <w:right w:val="single" w:sz="4" w:space="0" w:color="000000"/>
            </w:tcBorders>
            <w:shd w:val="clear" w:color="auto" w:fill="auto"/>
            <w:vAlign w:val="center"/>
            <w:hideMark/>
          </w:tcPr>
          <w:p w14:paraId="59EB596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Interno-Bonos de paz</w:t>
            </w:r>
          </w:p>
        </w:tc>
        <w:tc>
          <w:tcPr>
            <w:tcW w:w="232" w:type="pct"/>
            <w:tcBorders>
              <w:top w:val="nil"/>
              <w:left w:val="nil"/>
              <w:bottom w:val="single" w:sz="4" w:space="0" w:color="000000"/>
              <w:right w:val="single" w:sz="4" w:space="0" w:color="000000"/>
            </w:tcBorders>
            <w:shd w:val="clear" w:color="auto" w:fill="auto"/>
            <w:vAlign w:val="center"/>
            <w:hideMark/>
          </w:tcPr>
          <w:p w14:paraId="34D17F6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86</w:t>
            </w:r>
          </w:p>
        </w:tc>
        <w:tc>
          <w:tcPr>
            <w:tcW w:w="2636" w:type="pct"/>
            <w:tcBorders>
              <w:top w:val="nil"/>
              <w:left w:val="nil"/>
              <w:bottom w:val="single" w:sz="4" w:space="0" w:color="000000"/>
              <w:right w:val="single" w:sz="4" w:space="0" w:color="000000"/>
            </w:tcBorders>
            <w:shd w:val="clear" w:color="auto" w:fill="auto"/>
            <w:vAlign w:val="center"/>
            <w:hideMark/>
          </w:tcPr>
          <w:p w14:paraId="6410D0E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Otras Primas</w:t>
            </w:r>
          </w:p>
        </w:tc>
      </w:tr>
      <w:tr w:rsidR="00731CF5" w:rsidRPr="00676199" w14:paraId="44BE3A8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B7DCF5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w:t>
            </w:r>
          </w:p>
        </w:tc>
        <w:tc>
          <w:tcPr>
            <w:tcW w:w="1860" w:type="pct"/>
            <w:tcBorders>
              <w:top w:val="nil"/>
              <w:left w:val="nil"/>
              <w:bottom w:val="single" w:sz="4" w:space="0" w:color="000000"/>
              <w:right w:val="single" w:sz="4" w:space="0" w:color="000000"/>
            </w:tcBorders>
            <w:shd w:val="clear" w:color="auto" w:fill="auto"/>
            <w:vAlign w:val="center"/>
            <w:hideMark/>
          </w:tcPr>
          <w:p w14:paraId="0488748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Interno-Bonos de Seguridad</w:t>
            </w:r>
          </w:p>
        </w:tc>
        <w:tc>
          <w:tcPr>
            <w:tcW w:w="232" w:type="pct"/>
            <w:tcBorders>
              <w:top w:val="nil"/>
              <w:left w:val="nil"/>
              <w:bottom w:val="single" w:sz="4" w:space="0" w:color="000000"/>
              <w:right w:val="single" w:sz="4" w:space="0" w:color="000000"/>
            </w:tcBorders>
            <w:shd w:val="clear" w:color="auto" w:fill="auto"/>
            <w:vAlign w:val="center"/>
            <w:hideMark/>
          </w:tcPr>
          <w:p w14:paraId="01EC42A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87</w:t>
            </w:r>
          </w:p>
        </w:tc>
        <w:tc>
          <w:tcPr>
            <w:tcW w:w="2636" w:type="pct"/>
            <w:tcBorders>
              <w:top w:val="nil"/>
              <w:left w:val="nil"/>
              <w:bottom w:val="single" w:sz="4" w:space="0" w:color="000000"/>
              <w:right w:val="single" w:sz="4" w:space="0" w:color="000000"/>
            </w:tcBorders>
            <w:shd w:val="clear" w:color="auto" w:fill="auto"/>
            <w:vAlign w:val="center"/>
            <w:hideMark/>
          </w:tcPr>
          <w:p w14:paraId="5FC5DD0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Aportes a Riesgos Laborales</w:t>
            </w:r>
          </w:p>
        </w:tc>
      </w:tr>
      <w:tr w:rsidR="00731CF5" w:rsidRPr="00676199" w14:paraId="30DCCA7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0D73E3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w:t>
            </w:r>
          </w:p>
        </w:tc>
        <w:tc>
          <w:tcPr>
            <w:tcW w:w="1860" w:type="pct"/>
            <w:tcBorders>
              <w:top w:val="nil"/>
              <w:left w:val="nil"/>
              <w:bottom w:val="single" w:sz="4" w:space="0" w:color="000000"/>
              <w:right w:val="single" w:sz="4" w:space="0" w:color="000000"/>
            </w:tcBorders>
            <w:shd w:val="clear" w:color="auto" w:fill="auto"/>
            <w:vAlign w:val="center"/>
            <w:hideMark/>
          </w:tcPr>
          <w:p w14:paraId="6C7B2F5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Financiamiento interno- Bonos de Valor Constante- Emisión B</w:t>
            </w:r>
          </w:p>
        </w:tc>
        <w:tc>
          <w:tcPr>
            <w:tcW w:w="232" w:type="pct"/>
            <w:tcBorders>
              <w:top w:val="nil"/>
              <w:left w:val="nil"/>
              <w:bottom w:val="single" w:sz="4" w:space="0" w:color="000000"/>
              <w:right w:val="single" w:sz="4" w:space="0" w:color="000000"/>
            </w:tcBorders>
            <w:shd w:val="clear" w:color="auto" w:fill="auto"/>
            <w:vAlign w:val="center"/>
            <w:hideMark/>
          </w:tcPr>
          <w:p w14:paraId="4CD397C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88</w:t>
            </w:r>
          </w:p>
        </w:tc>
        <w:tc>
          <w:tcPr>
            <w:tcW w:w="2636" w:type="pct"/>
            <w:tcBorders>
              <w:top w:val="nil"/>
              <w:left w:val="nil"/>
              <w:bottom w:val="single" w:sz="4" w:space="0" w:color="000000"/>
              <w:right w:val="single" w:sz="4" w:space="0" w:color="000000"/>
            </w:tcBorders>
            <w:shd w:val="clear" w:color="auto" w:fill="auto"/>
            <w:vAlign w:val="center"/>
            <w:hideMark/>
          </w:tcPr>
          <w:p w14:paraId="6C73C86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Auxilios Funerarios</w:t>
            </w:r>
          </w:p>
        </w:tc>
      </w:tr>
      <w:tr w:rsidR="00731CF5" w:rsidRPr="00676199" w14:paraId="464C1F9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1506BE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w:t>
            </w:r>
          </w:p>
        </w:tc>
        <w:tc>
          <w:tcPr>
            <w:tcW w:w="1860" w:type="pct"/>
            <w:tcBorders>
              <w:top w:val="nil"/>
              <w:left w:val="nil"/>
              <w:bottom w:val="single" w:sz="4" w:space="0" w:color="000000"/>
              <w:right w:val="single" w:sz="4" w:space="0" w:color="000000"/>
            </w:tcBorders>
            <w:shd w:val="clear" w:color="auto" w:fill="auto"/>
            <w:vAlign w:val="center"/>
            <w:hideMark/>
          </w:tcPr>
          <w:p w14:paraId="2547947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Títulos de Deuda-Financiamiento Interno-Bonos </w:t>
            </w:r>
            <w:r w:rsidR="00731CF5" w:rsidRPr="00676199">
              <w:rPr>
                <w:rFonts w:ascii="Calibri" w:hAnsi="Calibri"/>
                <w:color w:val="000000"/>
                <w:sz w:val="14"/>
                <w:szCs w:val="14"/>
                <w:lang w:val="es-CO" w:eastAsia="es-CO"/>
              </w:rPr>
              <w:t>Cesantías</w:t>
            </w:r>
            <w:r w:rsidRPr="00676199">
              <w:rPr>
                <w:rFonts w:ascii="Calibri" w:hAnsi="Calibri"/>
                <w:color w:val="000000"/>
                <w:sz w:val="14"/>
                <w:szCs w:val="14"/>
                <w:lang w:val="es-CO" w:eastAsia="es-CO"/>
              </w:rPr>
              <w:t xml:space="preserve"> Ley 413 de 1997 Universidades</w:t>
            </w:r>
          </w:p>
        </w:tc>
        <w:tc>
          <w:tcPr>
            <w:tcW w:w="232" w:type="pct"/>
            <w:tcBorders>
              <w:top w:val="nil"/>
              <w:left w:val="nil"/>
              <w:bottom w:val="single" w:sz="4" w:space="0" w:color="000000"/>
              <w:right w:val="single" w:sz="4" w:space="0" w:color="000000"/>
            </w:tcBorders>
            <w:shd w:val="clear" w:color="auto" w:fill="auto"/>
            <w:vAlign w:val="center"/>
            <w:hideMark/>
          </w:tcPr>
          <w:p w14:paraId="4617917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89</w:t>
            </w:r>
          </w:p>
        </w:tc>
        <w:tc>
          <w:tcPr>
            <w:tcW w:w="2636" w:type="pct"/>
            <w:tcBorders>
              <w:top w:val="nil"/>
              <w:left w:val="nil"/>
              <w:bottom w:val="single" w:sz="4" w:space="0" w:color="000000"/>
              <w:right w:val="single" w:sz="4" w:space="0" w:color="000000"/>
            </w:tcBorders>
            <w:shd w:val="clear" w:color="auto" w:fill="auto"/>
            <w:vAlign w:val="center"/>
            <w:hideMark/>
          </w:tcPr>
          <w:p w14:paraId="113556B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Remuneración de Servicios Técnicos</w:t>
            </w:r>
          </w:p>
        </w:tc>
      </w:tr>
      <w:tr w:rsidR="00731CF5" w:rsidRPr="00676199" w14:paraId="3A81D48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165BD4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w:t>
            </w:r>
          </w:p>
        </w:tc>
        <w:tc>
          <w:tcPr>
            <w:tcW w:w="1860" w:type="pct"/>
            <w:tcBorders>
              <w:top w:val="nil"/>
              <w:left w:val="nil"/>
              <w:bottom w:val="single" w:sz="4" w:space="0" w:color="000000"/>
              <w:right w:val="single" w:sz="4" w:space="0" w:color="000000"/>
            </w:tcBorders>
            <w:shd w:val="clear" w:color="auto" w:fill="auto"/>
            <w:vAlign w:val="center"/>
            <w:hideMark/>
          </w:tcPr>
          <w:p w14:paraId="671B0E3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interno-Préstamos banca comercial-Capital</w:t>
            </w:r>
          </w:p>
        </w:tc>
        <w:tc>
          <w:tcPr>
            <w:tcW w:w="232" w:type="pct"/>
            <w:tcBorders>
              <w:top w:val="nil"/>
              <w:left w:val="nil"/>
              <w:bottom w:val="single" w:sz="4" w:space="0" w:color="000000"/>
              <w:right w:val="single" w:sz="4" w:space="0" w:color="000000"/>
            </w:tcBorders>
            <w:shd w:val="clear" w:color="auto" w:fill="auto"/>
            <w:vAlign w:val="center"/>
            <w:hideMark/>
          </w:tcPr>
          <w:p w14:paraId="13FCD0C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90</w:t>
            </w:r>
          </w:p>
        </w:tc>
        <w:tc>
          <w:tcPr>
            <w:tcW w:w="2636" w:type="pct"/>
            <w:tcBorders>
              <w:top w:val="nil"/>
              <w:left w:val="nil"/>
              <w:bottom w:val="single" w:sz="4" w:space="0" w:color="000000"/>
              <w:right w:val="single" w:sz="4" w:space="0" w:color="000000"/>
            </w:tcBorders>
            <w:shd w:val="clear" w:color="auto" w:fill="auto"/>
            <w:vAlign w:val="center"/>
            <w:hideMark/>
          </w:tcPr>
          <w:p w14:paraId="64E1839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Capacitación, Bienestar Social y Estímulos</w:t>
            </w:r>
          </w:p>
        </w:tc>
      </w:tr>
      <w:tr w:rsidR="00731CF5" w:rsidRPr="00676199" w14:paraId="7FCBCB23"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1C414D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w:t>
            </w:r>
          </w:p>
        </w:tc>
        <w:tc>
          <w:tcPr>
            <w:tcW w:w="1860" w:type="pct"/>
            <w:tcBorders>
              <w:top w:val="nil"/>
              <w:left w:val="nil"/>
              <w:bottom w:val="single" w:sz="4" w:space="0" w:color="000000"/>
              <w:right w:val="single" w:sz="4" w:space="0" w:color="000000"/>
            </w:tcBorders>
            <w:shd w:val="clear" w:color="auto" w:fill="auto"/>
            <w:vAlign w:val="center"/>
            <w:hideMark/>
          </w:tcPr>
          <w:p w14:paraId="7A6154D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comercial-Capital</w:t>
            </w:r>
          </w:p>
        </w:tc>
        <w:tc>
          <w:tcPr>
            <w:tcW w:w="232" w:type="pct"/>
            <w:tcBorders>
              <w:top w:val="nil"/>
              <w:left w:val="nil"/>
              <w:bottom w:val="single" w:sz="4" w:space="0" w:color="000000"/>
              <w:right w:val="single" w:sz="4" w:space="0" w:color="000000"/>
            </w:tcBorders>
            <w:shd w:val="clear" w:color="auto" w:fill="auto"/>
            <w:vAlign w:val="center"/>
            <w:hideMark/>
          </w:tcPr>
          <w:p w14:paraId="0300FEA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91</w:t>
            </w:r>
          </w:p>
        </w:tc>
        <w:tc>
          <w:tcPr>
            <w:tcW w:w="2636" w:type="pct"/>
            <w:tcBorders>
              <w:top w:val="nil"/>
              <w:left w:val="nil"/>
              <w:bottom w:val="single" w:sz="4" w:space="0" w:color="000000"/>
              <w:right w:val="single" w:sz="4" w:space="0" w:color="000000"/>
            </w:tcBorders>
            <w:shd w:val="clear" w:color="auto" w:fill="auto"/>
            <w:vAlign w:val="center"/>
            <w:hideMark/>
          </w:tcPr>
          <w:p w14:paraId="5834E1E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Dotación y Suministro a Trabajadores</w:t>
            </w:r>
          </w:p>
        </w:tc>
      </w:tr>
      <w:tr w:rsidR="00731CF5" w:rsidRPr="00676199" w14:paraId="11AF141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83CFB9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w:t>
            </w:r>
          </w:p>
        </w:tc>
        <w:tc>
          <w:tcPr>
            <w:tcW w:w="1860" w:type="pct"/>
            <w:tcBorders>
              <w:top w:val="nil"/>
              <w:left w:val="nil"/>
              <w:bottom w:val="single" w:sz="4" w:space="0" w:color="000000"/>
              <w:right w:val="single" w:sz="4" w:space="0" w:color="000000"/>
            </w:tcBorders>
            <w:shd w:val="clear" w:color="auto" w:fill="auto"/>
            <w:vAlign w:val="center"/>
            <w:hideMark/>
          </w:tcPr>
          <w:p w14:paraId="668CD60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Multilateral-Capital</w:t>
            </w:r>
          </w:p>
        </w:tc>
        <w:tc>
          <w:tcPr>
            <w:tcW w:w="232" w:type="pct"/>
            <w:tcBorders>
              <w:top w:val="nil"/>
              <w:left w:val="nil"/>
              <w:bottom w:val="single" w:sz="4" w:space="0" w:color="000000"/>
              <w:right w:val="single" w:sz="4" w:space="0" w:color="000000"/>
            </w:tcBorders>
            <w:shd w:val="clear" w:color="auto" w:fill="auto"/>
            <w:vAlign w:val="center"/>
            <w:hideMark/>
          </w:tcPr>
          <w:p w14:paraId="43FC96C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92</w:t>
            </w:r>
          </w:p>
        </w:tc>
        <w:tc>
          <w:tcPr>
            <w:tcW w:w="2636" w:type="pct"/>
            <w:tcBorders>
              <w:top w:val="nil"/>
              <w:left w:val="nil"/>
              <w:bottom w:val="single" w:sz="4" w:space="0" w:color="000000"/>
              <w:right w:val="single" w:sz="4" w:space="0" w:color="000000"/>
            </w:tcBorders>
            <w:shd w:val="clear" w:color="auto" w:fill="auto"/>
            <w:vAlign w:val="center"/>
            <w:hideMark/>
          </w:tcPr>
          <w:p w14:paraId="4C3112E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Remuneración Electoral</w:t>
            </w:r>
          </w:p>
        </w:tc>
      </w:tr>
      <w:tr w:rsidR="00731CF5" w:rsidRPr="00676199" w14:paraId="7F6515A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4A3817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w:t>
            </w:r>
          </w:p>
        </w:tc>
        <w:tc>
          <w:tcPr>
            <w:tcW w:w="1860" w:type="pct"/>
            <w:tcBorders>
              <w:top w:val="nil"/>
              <w:left w:val="nil"/>
              <w:bottom w:val="single" w:sz="4" w:space="0" w:color="000000"/>
              <w:right w:val="single" w:sz="4" w:space="0" w:color="000000"/>
            </w:tcBorders>
            <w:shd w:val="clear" w:color="auto" w:fill="auto"/>
            <w:vAlign w:val="center"/>
            <w:hideMark/>
          </w:tcPr>
          <w:p w14:paraId="0FAA7F6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de Fomento-Capital</w:t>
            </w:r>
          </w:p>
        </w:tc>
        <w:tc>
          <w:tcPr>
            <w:tcW w:w="232" w:type="pct"/>
            <w:tcBorders>
              <w:top w:val="nil"/>
              <w:left w:val="nil"/>
              <w:bottom w:val="single" w:sz="4" w:space="0" w:color="000000"/>
              <w:right w:val="single" w:sz="4" w:space="0" w:color="000000"/>
            </w:tcBorders>
            <w:shd w:val="clear" w:color="auto" w:fill="auto"/>
            <w:vAlign w:val="center"/>
            <w:hideMark/>
          </w:tcPr>
          <w:p w14:paraId="1AE6961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93</w:t>
            </w:r>
          </w:p>
        </w:tc>
        <w:tc>
          <w:tcPr>
            <w:tcW w:w="2636" w:type="pct"/>
            <w:tcBorders>
              <w:top w:val="nil"/>
              <w:left w:val="nil"/>
              <w:bottom w:val="single" w:sz="4" w:space="0" w:color="000000"/>
              <w:right w:val="single" w:sz="4" w:space="0" w:color="000000"/>
            </w:tcBorders>
            <w:shd w:val="clear" w:color="auto" w:fill="auto"/>
            <w:vAlign w:val="center"/>
            <w:hideMark/>
          </w:tcPr>
          <w:p w14:paraId="1B17E97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Aportes a Fondos Pensionales -Empleador</w:t>
            </w:r>
          </w:p>
        </w:tc>
      </w:tr>
      <w:tr w:rsidR="00731CF5" w:rsidRPr="00676199" w14:paraId="0002F852"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3FDBA0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w:t>
            </w:r>
          </w:p>
        </w:tc>
        <w:tc>
          <w:tcPr>
            <w:tcW w:w="1860" w:type="pct"/>
            <w:tcBorders>
              <w:top w:val="nil"/>
              <w:left w:val="nil"/>
              <w:bottom w:val="single" w:sz="4" w:space="0" w:color="000000"/>
              <w:right w:val="single" w:sz="4" w:space="0" w:color="000000"/>
            </w:tcBorders>
            <w:shd w:val="clear" w:color="auto" w:fill="auto"/>
            <w:vAlign w:val="center"/>
            <w:hideMark/>
          </w:tcPr>
          <w:p w14:paraId="17D6AEA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del Gobierno General-Capital</w:t>
            </w:r>
          </w:p>
        </w:tc>
        <w:tc>
          <w:tcPr>
            <w:tcW w:w="232" w:type="pct"/>
            <w:tcBorders>
              <w:top w:val="nil"/>
              <w:left w:val="nil"/>
              <w:bottom w:val="single" w:sz="4" w:space="0" w:color="000000"/>
              <w:right w:val="single" w:sz="4" w:space="0" w:color="000000"/>
            </w:tcBorders>
            <w:shd w:val="clear" w:color="auto" w:fill="auto"/>
            <w:vAlign w:val="center"/>
            <w:hideMark/>
          </w:tcPr>
          <w:p w14:paraId="21F63BA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94</w:t>
            </w:r>
          </w:p>
        </w:tc>
        <w:tc>
          <w:tcPr>
            <w:tcW w:w="2636" w:type="pct"/>
            <w:tcBorders>
              <w:top w:val="nil"/>
              <w:left w:val="nil"/>
              <w:bottom w:val="single" w:sz="4" w:space="0" w:color="000000"/>
              <w:right w:val="single" w:sz="4" w:space="0" w:color="000000"/>
            </w:tcBorders>
            <w:shd w:val="clear" w:color="auto" w:fill="auto"/>
            <w:vAlign w:val="center"/>
            <w:hideMark/>
          </w:tcPr>
          <w:p w14:paraId="7E5AE4A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Aportes a Seguridad Social en Salud- Empleador</w:t>
            </w:r>
          </w:p>
        </w:tc>
      </w:tr>
      <w:tr w:rsidR="00731CF5" w:rsidRPr="00676199" w14:paraId="07D2D1E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CFD1BD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w:t>
            </w:r>
          </w:p>
        </w:tc>
        <w:tc>
          <w:tcPr>
            <w:tcW w:w="1860" w:type="pct"/>
            <w:tcBorders>
              <w:top w:val="nil"/>
              <w:left w:val="nil"/>
              <w:bottom w:val="single" w:sz="4" w:space="0" w:color="000000"/>
              <w:right w:val="single" w:sz="4" w:space="0" w:color="000000"/>
            </w:tcBorders>
            <w:shd w:val="clear" w:color="auto" w:fill="auto"/>
            <w:vAlign w:val="center"/>
            <w:hideMark/>
          </w:tcPr>
          <w:p w14:paraId="652297F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Externo-Cuenta Especial de Deuda Externa-CEDE-Capital</w:t>
            </w:r>
          </w:p>
        </w:tc>
        <w:tc>
          <w:tcPr>
            <w:tcW w:w="232" w:type="pct"/>
            <w:tcBorders>
              <w:top w:val="nil"/>
              <w:left w:val="nil"/>
              <w:bottom w:val="single" w:sz="4" w:space="0" w:color="000000"/>
              <w:right w:val="single" w:sz="4" w:space="0" w:color="000000"/>
            </w:tcBorders>
            <w:shd w:val="clear" w:color="auto" w:fill="auto"/>
            <w:vAlign w:val="center"/>
            <w:hideMark/>
          </w:tcPr>
          <w:p w14:paraId="7B2DE77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95</w:t>
            </w:r>
          </w:p>
        </w:tc>
        <w:tc>
          <w:tcPr>
            <w:tcW w:w="2636" w:type="pct"/>
            <w:tcBorders>
              <w:top w:val="nil"/>
              <w:left w:val="nil"/>
              <w:bottom w:val="single" w:sz="4" w:space="0" w:color="000000"/>
              <w:right w:val="single" w:sz="4" w:space="0" w:color="000000"/>
            </w:tcBorders>
            <w:shd w:val="clear" w:color="auto" w:fill="auto"/>
            <w:vAlign w:val="center"/>
            <w:hideMark/>
          </w:tcPr>
          <w:p w14:paraId="2B160BE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Aportes a Cajas de Compensación Familiar</w:t>
            </w:r>
          </w:p>
        </w:tc>
      </w:tr>
      <w:tr w:rsidR="00731CF5" w:rsidRPr="00676199" w14:paraId="32646470"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DCBDEA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w:t>
            </w:r>
          </w:p>
        </w:tc>
        <w:tc>
          <w:tcPr>
            <w:tcW w:w="1860" w:type="pct"/>
            <w:tcBorders>
              <w:top w:val="nil"/>
              <w:left w:val="nil"/>
              <w:bottom w:val="single" w:sz="4" w:space="0" w:color="000000"/>
              <w:right w:val="single" w:sz="4" w:space="0" w:color="000000"/>
            </w:tcBorders>
            <w:shd w:val="clear" w:color="auto" w:fill="auto"/>
            <w:vAlign w:val="center"/>
            <w:hideMark/>
          </w:tcPr>
          <w:p w14:paraId="512A05B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con Banca Central-Banco de la República</w:t>
            </w:r>
          </w:p>
        </w:tc>
        <w:tc>
          <w:tcPr>
            <w:tcW w:w="232" w:type="pct"/>
            <w:tcBorders>
              <w:top w:val="nil"/>
              <w:left w:val="nil"/>
              <w:bottom w:val="single" w:sz="4" w:space="0" w:color="000000"/>
              <w:right w:val="single" w:sz="4" w:space="0" w:color="000000"/>
            </w:tcBorders>
            <w:shd w:val="clear" w:color="auto" w:fill="auto"/>
            <w:vAlign w:val="center"/>
            <w:hideMark/>
          </w:tcPr>
          <w:p w14:paraId="542ADF4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96</w:t>
            </w:r>
          </w:p>
        </w:tc>
        <w:tc>
          <w:tcPr>
            <w:tcW w:w="2636" w:type="pct"/>
            <w:tcBorders>
              <w:top w:val="nil"/>
              <w:left w:val="nil"/>
              <w:bottom w:val="single" w:sz="4" w:space="0" w:color="000000"/>
              <w:right w:val="single" w:sz="4" w:space="0" w:color="000000"/>
            </w:tcBorders>
            <w:shd w:val="clear" w:color="auto" w:fill="auto"/>
            <w:vAlign w:val="center"/>
            <w:hideMark/>
          </w:tcPr>
          <w:p w14:paraId="0BC57D4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Otros Salarios y Prestaciones Sociales</w:t>
            </w:r>
          </w:p>
        </w:tc>
      </w:tr>
      <w:tr w:rsidR="00731CF5" w:rsidRPr="00676199" w14:paraId="1C0440E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06DED6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1860" w:type="pct"/>
            <w:tcBorders>
              <w:top w:val="nil"/>
              <w:left w:val="nil"/>
              <w:bottom w:val="single" w:sz="4" w:space="0" w:color="000000"/>
              <w:right w:val="single" w:sz="4" w:space="0" w:color="000000"/>
            </w:tcBorders>
            <w:shd w:val="clear" w:color="auto" w:fill="auto"/>
            <w:vAlign w:val="center"/>
            <w:hideMark/>
          </w:tcPr>
          <w:p w14:paraId="2438BA7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Adquisición de Bienes y Servicios Nacionales</w:t>
            </w:r>
          </w:p>
        </w:tc>
        <w:tc>
          <w:tcPr>
            <w:tcW w:w="232" w:type="pct"/>
            <w:tcBorders>
              <w:top w:val="nil"/>
              <w:left w:val="nil"/>
              <w:bottom w:val="single" w:sz="4" w:space="0" w:color="000000"/>
              <w:right w:val="single" w:sz="4" w:space="0" w:color="000000"/>
            </w:tcBorders>
            <w:shd w:val="clear" w:color="auto" w:fill="auto"/>
            <w:vAlign w:val="center"/>
            <w:hideMark/>
          </w:tcPr>
          <w:p w14:paraId="2F57513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97</w:t>
            </w:r>
          </w:p>
        </w:tc>
        <w:tc>
          <w:tcPr>
            <w:tcW w:w="2636" w:type="pct"/>
            <w:tcBorders>
              <w:top w:val="nil"/>
              <w:left w:val="nil"/>
              <w:bottom w:val="single" w:sz="4" w:space="0" w:color="000000"/>
              <w:right w:val="single" w:sz="4" w:space="0" w:color="000000"/>
            </w:tcBorders>
            <w:shd w:val="clear" w:color="auto" w:fill="auto"/>
            <w:vAlign w:val="center"/>
            <w:hideMark/>
          </w:tcPr>
          <w:p w14:paraId="43D34B8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L.P- Bonificaciones</w:t>
            </w:r>
          </w:p>
        </w:tc>
      </w:tr>
      <w:tr w:rsidR="00731CF5" w:rsidRPr="00676199" w14:paraId="337D6AA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A3A716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w:t>
            </w:r>
          </w:p>
        </w:tc>
        <w:tc>
          <w:tcPr>
            <w:tcW w:w="1860" w:type="pct"/>
            <w:tcBorders>
              <w:top w:val="nil"/>
              <w:left w:val="nil"/>
              <w:bottom w:val="single" w:sz="4" w:space="0" w:color="000000"/>
              <w:right w:val="single" w:sz="4" w:space="0" w:color="000000"/>
            </w:tcBorders>
            <w:shd w:val="clear" w:color="auto" w:fill="auto"/>
            <w:vAlign w:val="center"/>
            <w:hideMark/>
          </w:tcPr>
          <w:p w14:paraId="5F1D389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Adquisición de Bienes y Servicios Nacionales- Con Usos-Funcionamiento</w:t>
            </w:r>
          </w:p>
        </w:tc>
        <w:tc>
          <w:tcPr>
            <w:tcW w:w="232" w:type="pct"/>
            <w:tcBorders>
              <w:top w:val="nil"/>
              <w:left w:val="nil"/>
              <w:bottom w:val="single" w:sz="4" w:space="0" w:color="000000"/>
              <w:right w:val="single" w:sz="4" w:space="0" w:color="000000"/>
            </w:tcBorders>
            <w:shd w:val="clear" w:color="auto" w:fill="auto"/>
            <w:vAlign w:val="center"/>
            <w:hideMark/>
          </w:tcPr>
          <w:p w14:paraId="7F10A6D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98</w:t>
            </w:r>
          </w:p>
        </w:tc>
        <w:tc>
          <w:tcPr>
            <w:tcW w:w="2636" w:type="pct"/>
            <w:tcBorders>
              <w:top w:val="nil"/>
              <w:left w:val="nil"/>
              <w:bottom w:val="single" w:sz="4" w:space="0" w:color="000000"/>
              <w:right w:val="single" w:sz="4" w:space="0" w:color="000000"/>
            </w:tcBorders>
            <w:shd w:val="clear" w:color="auto" w:fill="auto"/>
            <w:vAlign w:val="center"/>
            <w:hideMark/>
          </w:tcPr>
          <w:p w14:paraId="3CDE33F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L.P- Primas</w:t>
            </w:r>
          </w:p>
        </w:tc>
      </w:tr>
      <w:tr w:rsidR="00731CF5" w:rsidRPr="00676199" w14:paraId="0230E8C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D72025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17</w:t>
            </w:r>
          </w:p>
        </w:tc>
        <w:tc>
          <w:tcPr>
            <w:tcW w:w="1860" w:type="pct"/>
            <w:tcBorders>
              <w:top w:val="nil"/>
              <w:left w:val="nil"/>
              <w:bottom w:val="single" w:sz="4" w:space="0" w:color="000000"/>
              <w:right w:val="single" w:sz="4" w:space="0" w:color="000000"/>
            </w:tcBorders>
            <w:shd w:val="clear" w:color="auto" w:fill="auto"/>
            <w:vAlign w:val="center"/>
            <w:hideMark/>
          </w:tcPr>
          <w:p w14:paraId="49D0330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Proyectos de Inversión</w:t>
            </w:r>
          </w:p>
        </w:tc>
        <w:tc>
          <w:tcPr>
            <w:tcW w:w="232" w:type="pct"/>
            <w:tcBorders>
              <w:top w:val="nil"/>
              <w:left w:val="nil"/>
              <w:bottom w:val="single" w:sz="4" w:space="0" w:color="000000"/>
              <w:right w:val="single" w:sz="4" w:space="0" w:color="000000"/>
            </w:tcBorders>
            <w:shd w:val="clear" w:color="auto" w:fill="auto"/>
            <w:vAlign w:val="center"/>
            <w:hideMark/>
          </w:tcPr>
          <w:p w14:paraId="534327C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99</w:t>
            </w:r>
          </w:p>
        </w:tc>
        <w:tc>
          <w:tcPr>
            <w:tcW w:w="2636" w:type="pct"/>
            <w:tcBorders>
              <w:top w:val="nil"/>
              <w:left w:val="nil"/>
              <w:bottom w:val="single" w:sz="4" w:space="0" w:color="000000"/>
              <w:right w:val="single" w:sz="4" w:space="0" w:color="000000"/>
            </w:tcBorders>
            <w:shd w:val="clear" w:color="auto" w:fill="auto"/>
            <w:vAlign w:val="center"/>
            <w:hideMark/>
          </w:tcPr>
          <w:p w14:paraId="525AD88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L.P- Capacitación Bienestar Social y Estímulos</w:t>
            </w:r>
          </w:p>
        </w:tc>
      </w:tr>
      <w:tr w:rsidR="00731CF5" w:rsidRPr="00676199" w14:paraId="4FEDF98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95F670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18</w:t>
            </w:r>
          </w:p>
        </w:tc>
        <w:tc>
          <w:tcPr>
            <w:tcW w:w="1860" w:type="pct"/>
            <w:tcBorders>
              <w:top w:val="nil"/>
              <w:left w:val="nil"/>
              <w:bottom w:val="single" w:sz="4" w:space="0" w:color="000000"/>
              <w:right w:val="single" w:sz="4" w:space="0" w:color="000000"/>
            </w:tcBorders>
            <w:shd w:val="clear" w:color="auto" w:fill="auto"/>
            <w:vAlign w:val="center"/>
            <w:hideMark/>
          </w:tcPr>
          <w:p w14:paraId="4BFF27C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Subvenciones por Recursos Transferidos a las Empresas Públicas</w:t>
            </w:r>
          </w:p>
        </w:tc>
        <w:tc>
          <w:tcPr>
            <w:tcW w:w="232" w:type="pct"/>
            <w:tcBorders>
              <w:top w:val="nil"/>
              <w:left w:val="nil"/>
              <w:bottom w:val="single" w:sz="4" w:space="0" w:color="000000"/>
              <w:right w:val="single" w:sz="4" w:space="0" w:color="000000"/>
            </w:tcBorders>
            <w:shd w:val="clear" w:color="auto" w:fill="auto"/>
            <w:vAlign w:val="center"/>
            <w:hideMark/>
          </w:tcPr>
          <w:p w14:paraId="16A586F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100</w:t>
            </w:r>
          </w:p>
        </w:tc>
        <w:tc>
          <w:tcPr>
            <w:tcW w:w="2636" w:type="pct"/>
            <w:tcBorders>
              <w:top w:val="nil"/>
              <w:left w:val="nil"/>
              <w:bottom w:val="single" w:sz="4" w:space="0" w:color="000000"/>
              <w:right w:val="single" w:sz="4" w:space="0" w:color="000000"/>
            </w:tcBorders>
            <w:shd w:val="clear" w:color="auto" w:fill="auto"/>
            <w:vAlign w:val="center"/>
            <w:hideMark/>
          </w:tcPr>
          <w:p w14:paraId="67374F6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Terminación Vínculo Laboral-Indemnizaciones</w:t>
            </w:r>
          </w:p>
        </w:tc>
      </w:tr>
      <w:tr w:rsidR="00731CF5" w:rsidRPr="00676199" w14:paraId="18AFF75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78BC64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19</w:t>
            </w:r>
          </w:p>
        </w:tc>
        <w:tc>
          <w:tcPr>
            <w:tcW w:w="1860" w:type="pct"/>
            <w:tcBorders>
              <w:top w:val="nil"/>
              <w:left w:val="nil"/>
              <w:bottom w:val="single" w:sz="4" w:space="0" w:color="000000"/>
              <w:right w:val="single" w:sz="4" w:space="0" w:color="000000"/>
            </w:tcBorders>
            <w:shd w:val="clear" w:color="auto" w:fill="auto"/>
            <w:vAlign w:val="center"/>
            <w:hideMark/>
          </w:tcPr>
          <w:p w14:paraId="484372A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Subvenciones al Sector Privado</w:t>
            </w:r>
          </w:p>
        </w:tc>
        <w:tc>
          <w:tcPr>
            <w:tcW w:w="232" w:type="pct"/>
            <w:tcBorders>
              <w:top w:val="nil"/>
              <w:left w:val="nil"/>
              <w:bottom w:val="single" w:sz="4" w:space="0" w:color="000000"/>
              <w:right w:val="single" w:sz="4" w:space="0" w:color="000000"/>
            </w:tcBorders>
            <w:shd w:val="clear" w:color="auto" w:fill="auto"/>
            <w:vAlign w:val="center"/>
            <w:hideMark/>
          </w:tcPr>
          <w:p w14:paraId="5E9171A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101</w:t>
            </w:r>
          </w:p>
        </w:tc>
        <w:tc>
          <w:tcPr>
            <w:tcW w:w="2636" w:type="pct"/>
            <w:tcBorders>
              <w:top w:val="nil"/>
              <w:left w:val="nil"/>
              <w:bottom w:val="single" w:sz="4" w:space="0" w:color="000000"/>
              <w:right w:val="single" w:sz="4" w:space="0" w:color="000000"/>
            </w:tcBorders>
            <w:shd w:val="clear" w:color="auto" w:fill="auto"/>
            <w:vAlign w:val="center"/>
            <w:hideMark/>
          </w:tcPr>
          <w:p w14:paraId="0CC2652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Terminación Vínculo</w:t>
            </w:r>
          </w:p>
        </w:tc>
      </w:tr>
      <w:tr w:rsidR="00731CF5" w:rsidRPr="00676199" w14:paraId="48B9909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1B1955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lastRenderedPageBreak/>
              <w:t>20</w:t>
            </w:r>
          </w:p>
        </w:tc>
        <w:tc>
          <w:tcPr>
            <w:tcW w:w="1860" w:type="pct"/>
            <w:tcBorders>
              <w:top w:val="nil"/>
              <w:left w:val="nil"/>
              <w:bottom w:val="single" w:sz="4" w:space="0" w:color="000000"/>
              <w:right w:val="single" w:sz="4" w:space="0" w:color="000000"/>
            </w:tcBorders>
            <w:shd w:val="clear" w:color="auto" w:fill="auto"/>
            <w:vAlign w:val="center"/>
            <w:hideMark/>
          </w:tcPr>
          <w:p w14:paraId="04BAC2F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Otras Subvenciones</w:t>
            </w:r>
          </w:p>
        </w:tc>
        <w:tc>
          <w:tcPr>
            <w:tcW w:w="232" w:type="pct"/>
            <w:tcBorders>
              <w:top w:val="nil"/>
              <w:left w:val="nil"/>
              <w:bottom w:val="single" w:sz="4" w:space="0" w:color="000000"/>
              <w:right w:val="single" w:sz="4" w:space="0" w:color="000000"/>
            </w:tcBorders>
            <w:shd w:val="clear" w:color="auto" w:fill="auto"/>
            <w:vAlign w:val="center"/>
            <w:hideMark/>
          </w:tcPr>
          <w:p w14:paraId="0BD60C1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101</w:t>
            </w:r>
          </w:p>
        </w:tc>
        <w:tc>
          <w:tcPr>
            <w:tcW w:w="2636" w:type="pct"/>
            <w:tcBorders>
              <w:top w:val="nil"/>
              <w:left w:val="nil"/>
              <w:bottom w:val="single" w:sz="4" w:space="0" w:color="000000"/>
              <w:right w:val="single" w:sz="4" w:space="0" w:color="000000"/>
            </w:tcBorders>
            <w:shd w:val="clear" w:color="auto" w:fill="auto"/>
            <w:vAlign w:val="center"/>
            <w:hideMark/>
          </w:tcPr>
          <w:p w14:paraId="2D9BAFF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Terminación Vínculo Laboral- Capacitación, Bienestar Social y Estímulos</w:t>
            </w:r>
          </w:p>
        </w:tc>
      </w:tr>
      <w:tr w:rsidR="00731CF5" w:rsidRPr="00676199" w14:paraId="5FE234D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1ED854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21</w:t>
            </w:r>
          </w:p>
        </w:tc>
        <w:tc>
          <w:tcPr>
            <w:tcW w:w="1860" w:type="pct"/>
            <w:tcBorders>
              <w:top w:val="nil"/>
              <w:left w:val="nil"/>
              <w:bottom w:val="single" w:sz="4" w:space="0" w:color="000000"/>
              <w:right w:val="single" w:sz="4" w:space="0" w:color="000000"/>
            </w:tcBorders>
            <w:shd w:val="clear" w:color="auto" w:fill="auto"/>
            <w:vAlign w:val="center"/>
            <w:hideMark/>
          </w:tcPr>
          <w:p w14:paraId="601E5E5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Seguridad Social en Salud</w:t>
            </w:r>
          </w:p>
        </w:tc>
        <w:tc>
          <w:tcPr>
            <w:tcW w:w="232" w:type="pct"/>
            <w:tcBorders>
              <w:top w:val="nil"/>
              <w:left w:val="nil"/>
              <w:bottom w:val="single" w:sz="4" w:space="0" w:color="000000"/>
              <w:right w:val="single" w:sz="4" w:space="0" w:color="000000"/>
            </w:tcBorders>
            <w:shd w:val="clear" w:color="auto" w:fill="auto"/>
            <w:vAlign w:val="center"/>
            <w:hideMark/>
          </w:tcPr>
          <w:p w14:paraId="0815106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102</w:t>
            </w:r>
          </w:p>
        </w:tc>
        <w:tc>
          <w:tcPr>
            <w:tcW w:w="2636" w:type="pct"/>
            <w:tcBorders>
              <w:top w:val="nil"/>
              <w:left w:val="nil"/>
              <w:bottom w:val="single" w:sz="4" w:space="0" w:color="000000"/>
              <w:right w:val="single" w:sz="4" w:space="0" w:color="000000"/>
            </w:tcBorders>
            <w:shd w:val="clear" w:color="auto" w:fill="auto"/>
            <w:vAlign w:val="center"/>
            <w:hideMark/>
          </w:tcPr>
          <w:p w14:paraId="2B2259F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Pensiones de Jubilación Patronales</w:t>
            </w:r>
          </w:p>
        </w:tc>
      </w:tr>
      <w:tr w:rsidR="00731CF5" w:rsidRPr="00676199" w14:paraId="2C1FD55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41118D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22</w:t>
            </w:r>
          </w:p>
        </w:tc>
        <w:tc>
          <w:tcPr>
            <w:tcW w:w="1860" w:type="pct"/>
            <w:tcBorders>
              <w:top w:val="nil"/>
              <w:left w:val="nil"/>
              <w:bottom w:val="single" w:sz="4" w:space="0" w:color="000000"/>
              <w:right w:val="single" w:sz="4" w:space="0" w:color="000000"/>
            </w:tcBorders>
            <w:shd w:val="clear" w:color="auto" w:fill="auto"/>
            <w:vAlign w:val="center"/>
            <w:hideMark/>
          </w:tcPr>
          <w:p w14:paraId="1EF2743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Otras Transferencias</w:t>
            </w:r>
          </w:p>
        </w:tc>
        <w:tc>
          <w:tcPr>
            <w:tcW w:w="232" w:type="pct"/>
            <w:tcBorders>
              <w:top w:val="nil"/>
              <w:left w:val="nil"/>
              <w:bottom w:val="single" w:sz="4" w:space="0" w:color="000000"/>
              <w:right w:val="single" w:sz="4" w:space="0" w:color="000000"/>
            </w:tcBorders>
            <w:shd w:val="clear" w:color="auto" w:fill="auto"/>
            <w:vAlign w:val="center"/>
            <w:hideMark/>
          </w:tcPr>
          <w:p w14:paraId="5661AE8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103</w:t>
            </w:r>
          </w:p>
        </w:tc>
        <w:tc>
          <w:tcPr>
            <w:tcW w:w="2636" w:type="pct"/>
            <w:tcBorders>
              <w:top w:val="nil"/>
              <w:left w:val="nil"/>
              <w:bottom w:val="single" w:sz="4" w:space="0" w:color="000000"/>
              <w:right w:val="single" w:sz="4" w:space="0" w:color="000000"/>
            </w:tcBorders>
            <w:shd w:val="clear" w:color="auto" w:fill="auto"/>
            <w:vAlign w:val="center"/>
            <w:hideMark/>
          </w:tcPr>
          <w:p w14:paraId="7C7192F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Indemnización Sustitutiva</w:t>
            </w:r>
          </w:p>
        </w:tc>
      </w:tr>
      <w:tr w:rsidR="00731CF5" w:rsidRPr="00676199" w14:paraId="6321ECC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C491D2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23</w:t>
            </w:r>
          </w:p>
        </w:tc>
        <w:tc>
          <w:tcPr>
            <w:tcW w:w="1860" w:type="pct"/>
            <w:tcBorders>
              <w:top w:val="nil"/>
              <w:left w:val="nil"/>
              <w:bottom w:val="single" w:sz="4" w:space="0" w:color="000000"/>
              <w:right w:val="single" w:sz="4" w:space="0" w:color="000000"/>
            </w:tcBorders>
            <w:shd w:val="clear" w:color="auto" w:fill="auto"/>
            <w:vAlign w:val="center"/>
            <w:hideMark/>
          </w:tcPr>
          <w:p w14:paraId="7BEFA51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Participaciones-Participación para la Salud</w:t>
            </w:r>
          </w:p>
        </w:tc>
        <w:tc>
          <w:tcPr>
            <w:tcW w:w="232" w:type="pct"/>
            <w:tcBorders>
              <w:top w:val="nil"/>
              <w:left w:val="nil"/>
              <w:bottom w:val="single" w:sz="4" w:space="0" w:color="000000"/>
              <w:right w:val="single" w:sz="4" w:space="0" w:color="000000"/>
            </w:tcBorders>
            <w:shd w:val="clear" w:color="auto" w:fill="auto"/>
            <w:vAlign w:val="center"/>
            <w:hideMark/>
          </w:tcPr>
          <w:p w14:paraId="339CB02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104</w:t>
            </w:r>
          </w:p>
        </w:tc>
        <w:tc>
          <w:tcPr>
            <w:tcW w:w="2636" w:type="pct"/>
            <w:tcBorders>
              <w:top w:val="nil"/>
              <w:left w:val="nil"/>
              <w:bottom w:val="single" w:sz="4" w:space="0" w:color="000000"/>
              <w:right w:val="single" w:sz="4" w:space="0" w:color="000000"/>
            </w:tcBorders>
            <w:shd w:val="clear" w:color="auto" w:fill="auto"/>
            <w:vAlign w:val="center"/>
            <w:hideMark/>
          </w:tcPr>
          <w:p w14:paraId="1D1FAC4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Mesadas Pensionales no Reclamadas</w:t>
            </w:r>
          </w:p>
        </w:tc>
      </w:tr>
      <w:tr w:rsidR="00731CF5" w:rsidRPr="00676199" w14:paraId="60901F6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78549D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24</w:t>
            </w:r>
          </w:p>
        </w:tc>
        <w:tc>
          <w:tcPr>
            <w:tcW w:w="1860" w:type="pct"/>
            <w:tcBorders>
              <w:top w:val="nil"/>
              <w:left w:val="nil"/>
              <w:bottom w:val="single" w:sz="4" w:space="0" w:color="000000"/>
              <w:right w:val="single" w:sz="4" w:space="0" w:color="000000"/>
            </w:tcBorders>
            <w:shd w:val="clear" w:color="auto" w:fill="auto"/>
            <w:vAlign w:val="center"/>
            <w:hideMark/>
          </w:tcPr>
          <w:p w14:paraId="3F6F664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Participaciones-Participación para la Educación</w:t>
            </w:r>
          </w:p>
        </w:tc>
        <w:tc>
          <w:tcPr>
            <w:tcW w:w="232" w:type="pct"/>
            <w:tcBorders>
              <w:top w:val="nil"/>
              <w:left w:val="nil"/>
              <w:bottom w:val="single" w:sz="4" w:space="0" w:color="000000"/>
              <w:right w:val="single" w:sz="4" w:space="0" w:color="000000"/>
            </w:tcBorders>
            <w:shd w:val="clear" w:color="auto" w:fill="auto"/>
            <w:vAlign w:val="center"/>
            <w:hideMark/>
          </w:tcPr>
          <w:p w14:paraId="2FB34DB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105</w:t>
            </w:r>
          </w:p>
        </w:tc>
        <w:tc>
          <w:tcPr>
            <w:tcW w:w="2636" w:type="pct"/>
            <w:tcBorders>
              <w:top w:val="nil"/>
              <w:left w:val="nil"/>
              <w:bottom w:val="single" w:sz="4" w:space="0" w:color="000000"/>
              <w:right w:val="single" w:sz="4" w:space="0" w:color="000000"/>
            </w:tcBorders>
            <w:shd w:val="clear" w:color="auto" w:fill="auto"/>
            <w:vAlign w:val="center"/>
            <w:hideMark/>
          </w:tcPr>
          <w:p w14:paraId="0CBA425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Cuotas Partes de Pensiones</w:t>
            </w:r>
          </w:p>
        </w:tc>
      </w:tr>
      <w:tr w:rsidR="00731CF5" w:rsidRPr="00676199" w14:paraId="3E2DAD3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410BE4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25</w:t>
            </w:r>
          </w:p>
        </w:tc>
        <w:tc>
          <w:tcPr>
            <w:tcW w:w="1860" w:type="pct"/>
            <w:tcBorders>
              <w:top w:val="nil"/>
              <w:left w:val="nil"/>
              <w:bottom w:val="single" w:sz="4" w:space="0" w:color="000000"/>
              <w:right w:val="single" w:sz="4" w:space="0" w:color="000000"/>
            </w:tcBorders>
            <w:shd w:val="clear" w:color="auto" w:fill="auto"/>
            <w:vAlign w:val="center"/>
            <w:hideMark/>
          </w:tcPr>
          <w:p w14:paraId="6160952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Participaciones-Participación para Propósito General</w:t>
            </w:r>
          </w:p>
        </w:tc>
        <w:tc>
          <w:tcPr>
            <w:tcW w:w="232" w:type="pct"/>
            <w:tcBorders>
              <w:top w:val="nil"/>
              <w:left w:val="nil"/>
              <w:bottom w:val="single" w:sz="4" w:space="0" w:color="000000"/>
              <w:right w:val="single" w:sz="4" w:space="0" w:color="000000"/>
            </w:tcBorders>
            <w:shd w:val="clear" w:color="auto" w:fill="auto"/>
            <w:vAlign w:val="center"/>
            <w:hideMark/>
          </w:tcPr>
          <w:p w14:paraId="5147514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106</w:t>
            </w:r>
          </w:p>
        </w:tc>
        <w:tc>
          <w:tcPr>
            <w:tcW w:w="2636" w:type="pct"/>
            <w:tcBorders>
              <w:top w:val="nil"/>
              <w:left w:val="nil"/>
              <w:bottom w:val="single" w:sz="4" w:space="0" w:color="000000"/>
              <w:right w:val="single" w:sz="4" w:space="0" w:color="000000"/>
            </w:tcBorders>
            <w:shd w:val="clear" w:color="auto" w:fill="auto"/>
            <w:vAlign w:val="center"/>
            <w:hideMark/>
          </w:tcPr>
          <w:p w14:paraId="38054B7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Cuotas partes de Bonos Pensionales Emitidos</w:t>
            </w:r>
          </w:p>
        </w:tc>
      </w:tr>
      <w:tr w:rsidR="00731CF5" w:rsidRPr="00676199" w14:paraId="410A4A00"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95AD04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26</w:t>
            </w:r>
          </w:p>
        </w:tc>
        <w:tc>
          <w:tcPr>
            <w:tcW w:w="1860" w:type="pct"/>
            <w:tcBorders>
              <w:top w:val="nil"/>
              <w:left w:val="nil"/>
              <w:bottom w:val="single" w:sz="4" w:space="0" w:color="000000"/>
              <w:right w:val="single" w:sz="4" w:space="0" w:color="000000"/>
            </w:tcBorders>
            <w:shd w:val="clear" w:color="auto" w:fill="auto"/>
            <w:vAlign w:val="center"/>
            <w:hideMark/>
          </w:tcPr>
          <w:p w14:paraId="2BF5F21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 Participación para Pensiones-FONPET</w:t>
            </w:r>
          </w:p>
        </w:tc>
        <w:tc>
          <w:tcPr>
            <w:tcW w:w="232" w:type="pct"/>
            <w:tcBorders>
              <w:top w:val="nil"/>
              <w:left w:val="nil"/>
              <w:bottom w:val="single" w:sz="4" w:space="0" w:color="000000"/>
              <w:right w:val="single" w:sz="4" w:space="0" w:color="000000"/>
            </w:tcBorders>
            <w:shd w:val="clear" w:color="auto" w:fill="auto"/>
            <w:vAlign w:val="center"/>
            <w:hideMark/>
          </w:tcPr>
          <w:p w14:paraId="1555273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107</w:t>
            </w:r>
          </w:p>
        </w:tc>
        <w:tc>
          <w:tcPr>
            <w:tcW w:w="2636" w:type="pct"/>
            <w:tcBorders>
              <w:top w:val="nil"/>
              <w:left w:val="nil"/>
              <w:bottom w:val="single" w:sz="4" w:space="0" w:color="000000"/>
              <w:right w:val="single" w:sz="4" w:space="0" w:color="000000"/>
            </w:tcBorders>
            <w:shd w:val="clear" w:color="auto" w:fill="auto"/>
            <w:vAlign w:val="center"/>
            <w:hideMark/>
          </w:tcPr>
          <w:p w14:paraId="7ECE07B3" w14:textId="77777777" w:rsidR="0068376F" w:rsidRPr="00676199" w:rsidRDefault="0068376F" w:rsidP="00731CF5">
            <w:pPr>
              <w:jc w:val="both"/>
              <w:rPr>
                <w:rFonts w:ascii="Calibri" w:hAnsi="Calibri"/>
                <w:color w:val="000000"/>
                <w:sz w:val="14"/>
                <w:szCs w:val="14"/>
                <w:lang w:val="es-CO" w:eastAsia="es-CO"/>
              </w:rPr>
            </w:pPr>
            <w:proofErr w:type="spellStart"/>
            <w:r w:rsidRPr="00676199">
              <w:rPr>
                <w:rFonts w:ascii="Calibri" w:hAnsi="Calibri"/>
                <w:color w:val="000000"/>
                <w:sz w:val="14"/>
                <w:szCs w:val="14"/>
                <w:lang w:val="es-CO" w:eastAsia="es-CO"/>
              </w:rPr>
              <w:t>Fopep</w:t>
            </w:r>
            <w:proofErr w:type="spellEnd"/>
            <w:r w:rsidRPr="00676199">
              <w:rPr>
                <w:rFonts w:ascii="Calibri" w:hAnsi="Calibri"/>
                <w:color w:val="000000"/>
                <w:sz w:val="14"/>
                <w:szCs w:val="14"/>
                <w:lang w:val="es-CO" w:eastAsia="es-CO"/>
              </w:rPr>
              <w:t>-Pago pensiones</w:t>
            </w:r>
          </w:p>
        </w:tc>
      </w:tr>
      <w:tr w:rsidR="00731CF5" w:rsidRPr="00676199" w14:paraId="6308CC4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2C5B21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27</w:t>
            </w:r>
          </w:p>
        </w:tc>
        <w:tc>
          <w:tcPr>
            <w:tcW w:w="1860" w:type="pct"/>
            <w:tcBorders>
              <w:top w:val="nil"/>
              <w:left w:val="nil"/>
              <w:bottom w:val="single" w:sz="4" w:space="0" w:color="000000"/>
              <w:right w:val="single" w:sz="4" w:space="0" w:color="000000"/>
            </w:tcBorders>
            <w:shd w:val="clear" w:color="auto" w:fill="auto"/>
            <w:vAlign w:val="center"/>
            <w:hideMark/>
          </w:tcPr>
          <w:p w14:paraId="354E499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Participaciones-Programa Alimentación Escolar</w:t>
            </w:r>
          </w:p>
        </w:tc>
        <w:tc>
          <w:tcPr>
            <w:tcW w:w="232" w:type="pct"/>
            <w:tcBorders>
              <w:top w:val="nil"/>
              <w:left w:val="nil"/>
              <w:bottom w:val="single" w:sz="4" w:space="0" w:color="000000"/>
              <w:right w:val="single" w:sz="4" w:space="0" w:color="000000"/>
            </w:tcBorders>
            <w:shd w:val="clear" w:color="auto" w:fill="auto"/>
            <w:vAlign w:val="center"/>
            <w:hideMark/>
          </w:tcPr>
          <w:p w14:paraId="1769FDE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107</w:t>
            </w:r>
          </w:p>
        </w:tc>
        <w:tc>
          <w:tcPr>
            <w:tcW w:w="2636" w:type="pct"/>
            <w:tcBorders>
              <w:top w:val="nil"/>
              <w:left w:val="nil"/>
              <w:bottom w:val="single" w:sz="4" w:space="0" w:color="000000"/>
              <w:right w:val="single" w:sz="4" w:space="0" w:color="000000"/>
            </w:tcBorders>
            <w:shd w:val="clear" w:color="auto" w:fill="auto"/>
            <w:vAlign w:val="center"/>
            <w:hideMark/>
          </w:tcPr>
          <w:p w14:paraId="583E247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FOPEP-Pago Pensiones</w:t>
            </w:r>
          </w:p>
        </w:tc>
      </w:tr>
      <w:tr w:rsidR="00731CF5" w:rsidRPr="00676199" w14:paraId="4D11DED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390C53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28</w:t>
            </w:r>
          </w:p>
        </w:tc>
        <w:tc>
          <w:tcPr>
            <w:tcW w:w="1860" w:type="pct"/>
            <w:tcBorders>
              <w:top w:val="nil"/>
              <w:left w:val="nil"/>
              <w:bottom w:val="single" w:sz="4" w:space="0" w:color="000000"/>
              <w:right w:val="single" w:sz="4" w:space="0" w:color="000000"/>
            </w:tcBorders>
            <w:shd w:val="clear" w:color="auto" w:fill="auto"/>
            <w:vAlign w:val="center"/>
            <w:hideMark/>
          </w:tcPr>
          <w:p w14:paraId="43EA7C2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Sistema General de Participaciones-Municipios y Distritos con Ribera sobre el Rio Grande </w:t>
            </w:r>
            <w:proofErr w:type="spellStart"/>
            <w:r w:rsidRPr="00676199">
              <w:rPr>
                <w:rFonts w:ascii="Calibri" w:hAnsi="Calibri"/>
                <w:color w:val="000000"/>
                <w:sz w:val="14"/>
                <w:szCs w:val="14"/>
                <w:lang w:val="es-CO" w:eastAsia="es-CO"/>
              </w:rPr>
              <w:t>Magd</w:t>
            </w:r>
            <w:proofErr w:type="spellEnd"/>
            <w:r w:rsidRPr="00676199">
              <w:rPr>
                <w:rFonts w:ascii="Calibri" w:hAnsi="Calibri"/>
                <w:color w:val="000000"/>
                <w:sz w:val="14"/>
                <w:szCs w:val="14"/>
                <w:lang w:val="es-CO" w:eastAsia="es-CO"/>
              </w:rPr>
              <w:t xml:space="preserve">. </w:t>
            </w:r>
          </w:p>
        </w:tc>
        <w:tc>
          <w:tcPr>
            <w:tcW w:w="232" w:type="pct"/>
            <w:tcBorders>
              <w:top w:val="nil"/>
              <w:left w:val="nil"/>
              <w:bottom w:val="single" w:sz="4" w:space="0" w:color="000000"/>
              <w:right w:val="single" w:sz="4" w:space="0" w:color="000000"/>
            </w:tcBorders>
            <w:shd w:val="clear" w:color="auto" w:fill="auto"/>
            <w:vAlign w:val="center"/>
            <w:hideMark/>
          </w:tcPr>
          <w:p w14:paraId="15AA1F0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108</w:t>
            </w:r>
          </w:p>
        </w:tc>
        <w:tc>
          <w:tcPr>
            <w:tcW w:w="2636" w:type="pct"/>
            <w:tcBorders>
              <w:top w:val="nil"/>
              <w:left w:val="nil"/>
              <w:bottom w:val="single" w:sz="4" w:space="0" w:color="000000"/>
              <w:right w:val="single" w:sz="4" w:space="0" w:color="000000"/>
            </w:tcBorders>
            <w:shd w:val="clear" w:color="auto" w:fill="auto"/>
            <w:vAlign w:val="center"/>
            <w:hideMark/>
          </w:tcPr>
          <w:p w14:paraId="3A759CE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Vigencias Expiradas Gastos Generales</w:t>
            </w:r>
          </w:p>
        </w:tc>
      </w:tr>
      <w:tr w:rsidR="00731CF5" w:rsidRPr="00676199" w14:paraId="09CB20F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19F383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29</w:t>
            </w:r>
          </w:p>
        </w:tc>
        <w:tc>
          <w:tcPr>
            <w:tcW w:w="1860" w:type="pct"/>
            <w:tcBorders>
              <w:top w:val="nil"/>
              <w:left w:val="nil"/>
              <w:bottom w:val="single" w:sz="4" w:space="0" w:color="000000"/>
              <w:right w:val="single" w:sz="4" w:space="0" w:color="000000"/>
            </w:tcBorders>
            <w:shd w:val="clear" w:color="auto" w:fill="auto"/>
            <w:vAlign w:val="center"/>
            <w:hideMark/>
          </w:tcPr>
          <w:p w14:paraId="143CB32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Sistema General de Participaciones-Resguardos </w:t>
            </w:r>
            <w:r w:rsidR="00D95115" w:rsidRPr="00676199">
              <w:rPr>
                <w:rFonts w:ascii="Calibri" w:hAnsi="Calibri"/>
                <w:color w:val="000000"/>
                <w:sz w:val="14"/>
                <w:szCs w:val="14"/>
                <w:lang w:val="es-CO" w:eastAsia="es-CO"/>
              </w:rPr>
              <w:t>Indígenas</w:t>
            </w:r>
          </w:p>
        </w:tc>
        <w:tc>
          <w:tcPr>
            <w:tcW w:w="232" w:type="pct"/>
            <w:tcBorders>
              <w:top w:val="nil"/>
              <w:left w:val="nil"/>
              <w:bottom w:val="single" w:sz="4" w:space="0" w:color="000000"/>
              <w:right w:val="single" w:sz="4" w:space="0" w:color="000000"/>
            </w:tcBorders>
            <w:shd w:val="clear" w:color="auto" w:fill="auto"/>
            <w:vAlign w:val="center"/>
            <w:hideMark/>
          </w:tcPr>
          <w:p w14:paraId="77B2C8B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109</w:t>
            </w:r>
          </w:p>
        </w:tc>
        <w:tc>
          <w:tcPr>
            <w:tcW w:w="2636" w:type="pct"/>
            <w:tcBorders>
              <w:top w:val="nil"/>
              <w:left w:val="nil"/>
              <w:bottom w:val="single" w:sz="4" w:space="0" w:color="000000"/>
              <w:right w:val="single" w:sz="4" w:space="0" w:color="000000"/>
            </w:tcBorders>
            <w:shd w:val="clear" w:color="auto" w:fill="auto"/>
            <w:vAlign w:val="center"/>
            <w:hideMark/>
          </w:tcPr>
          <w:p w14:paraId="20CA3E7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Vigencias Expiradas-Servicios personales</w:t>
            </w:r>
          </w:p>
        </w:tc>
      </w:tr>
      <w:tr w:rsidR="00731CF5" w:rsidRPr="00676199" w14:paraId="02A343B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0BD67D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30</w:t>
            </w:r>
          </w:p>
        </w:tc>
        <w:tc>
          <w:tcPr>
            <w:tcW w:w="1860" w:type="pct"/>
            <w:tcBorders>
              <w:top w:val="nil"/>
              <w:left w:val="nil"/>
              <w:bottom w:val="single" w:sz="4" w:space="0" w:color="000000"/>
              <w:right w:val="single" w:sz="4" w:space="0" w:color="000000"/>
            </w:tcBorders>
            <w:shd w:val="clear" w:color="auto" w:fill="auto"/>
            <w:vAlign w:val="center"/>
            <w:hideMark/>
          </w:tcPr>
          <w:p w14:paraId="0D46A75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Participaciones-Participación para Agua Potable y Saneamiento Básico</w:t>
            </w:r>
          </w:p>
        </w:tc>
        <w:tc>
          <w:tcPr>
            <w:tcW w:w="232" w:type="pct"/>
            <w:tcBorders>
              <w:top w:val="nil"/>
              <w:left w:val="nil"/>
              <w:bottom w:val="single" w:sz="4" w:space="0" w:color="000000"/>
              <w:right w:val="single" w:sz="4" w:space="0" w:color="000000"/>
            </w:tcBorders>
            <w:shd w:val="clear" w:color="auto" w:fill="auto"/>
            <w:vAlign w:val="center"/>
            <w:hideMark/>
          </w:tcPr>
          <w:p w14:paraId="6A8D5E9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110</w:t>
            </w:r>
          </w:p>
        </w:tc>
        <w:tc>
          <w:tcPr>
            <w:tcW w:w="2636" w:type="pct"/>
            <w:tcBorders>
              <w:top w:val="nil"/>
              <w:left w:val="nil"/>
              <w:bottom w:val="single" w:sz="4" w:space="0" w:color="000000"/>
              <w:right w:val="single" w:sz="4" w:space="0" w:color="000000"/>
            </w:tcBorders>
            <w:shd w:val="clear" w:color="auto" w:fill="auto"/>
            <w:vAlign w:val="center"/>
            <w:hideMark/>
          </w:tcPr>
          <w:p w14:paraId="4C73698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Vigencias Expiradas-Impuestos</w:t>
            </w:r>
          </w:p>
        </w:tc>
      </w:tr>
      <w:tr w:rsidR="00731CF5" w:rsidRPr="00676199" w14:paraId="59BBF40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C6AAD9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31</w:t>
            </w:r>
          </w:p>
        </w:tc>
        <w:tc>
          <w:tcPr>
            <w:tcW w:w="1860" w:type="pct"/>
            <w:tcBorders>
              <w:top w:val="nil"/>
              <w:left w:val="nil"/>
              <w:bottom w:val="single" w:sz="4" w:space="0" w:color="000000"/>
              <w:right w:val="single" w:sz="4" w:space="0" w:color="000000"/>
            </w:tcBorders>
            <w:shd w:val="clear" w:color="auto" w:fill="auto"/>
            <w:vAlign w:val="center"/>
            <w:hideMark/>
          </w:tcPr>
          <w:p w14:paraId="33930E7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Participaciones-Atención Integral para la Primera Infancia</w:t>
            </w:r>
          </w:p>
        </w:tc>
        <w:tc>
          <w:tcPr>
            <w:tcW w:w="232" w:type="pct"/>
            <w:tcBorders>
              <w:top w:val="nil"/>
              <w:left w:val="nil"/>
              <w:bottom w:val="single" w:sz="4" w:space="0" w:color="000000"/>
              <w:right w:val="single" w:sz="4" w:space="0" w:color="000000"/>
            </w:tcBorders>
            <w:shd w:val="clear" w:color="auto" w:fill="auto"/>
            <w:vAlign w:val="center"/>
            <w:hideMark/>
          </w:tcPr>
          <w:p w14:paraId="2B9FD9E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111</w:t>
            </w:r>
          </w:p>
        </w:tc>
        <w:tc>
          <w:tcPr>
            <w:tcW w:w="2636" w:type="pct"/>
            <w:tcBorders>
              <w:top w:val="nil"/>
              <w:left w:val="nil"/>
              <w:bottom w:val="single" w:sz="4" w:space="0" w:color="000000"/>
              <w:right w:val="single" w:sz="4" w:space="0" w:color="000000"/>
            </w:tcBorders>
            <w:shd w:val="clear" w:color="auto" w:fill="auto"/>
            <w:vAlign w:val="center"/>
            <w:hideMark/>
          </w:tcPr>
          <w:p w14:paraId="2E78575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Vigencias Expiradas-Transferencias</w:t>
            </w:r>
          </w:p>
        </w:tc>
      </w:tr>
      <w:tr w:rsidR="00731CF5" w:rsidRPr="00676199" w14:paraId="3F07CCC0"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A8CC22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32</w:t>
            </w:r>
          </w:p>
        </w:tc>
        <w:tc>
          <w:tcPr>
            <w:tcW w:w="1860" w:type="pct"/>
            <w:tcBorders>
              <w:top w:val="nil"/>
              <w:left w:val="nil"/>
              <w:bottom w:val="single" w:sz="4" w:space="0" w:color="000000"/>
              <w:right w:val="single" w:sz="4" w:space="0" w:color="000000"/>
            </w:tcBorders>
            <w:shd w:val="clear" w:color="auto" w:fill="auto"/>
            <w:vAlign w:val="center"/>
            <w:hideMark/>
          </w:tcPr>
          <w:p w14:paraId="2501FCD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de Vivienda</w:t>
            </w:r>
          </w:p>
        </w:tc>
        <w:tc>
          <w:tcPr>
            <w:tcW w:w="232" w:type="pct"/>
            <w:tcBorders>
              <w:top w:val="nil"/>
              <w:left w:val="nil"/>
              <w:bottom w:val="single" w:sz="4" w:space="0" w:color="000000"/>
              <w:right w:val="single" w:sz="4" w:space="0" w:color="000000"/>
            </w:tcBorders>
            <w:shd w:val="clear" w:color="auto" w:fill="auto"/>
            <w:vAlign w:val="center"/>
            <w:hideMark/>
          </w:tcPr>
          <w:p w14:paraId="584D51F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112</w:t>
            </w:r>
          </w:p>
        </w:tc>
        <w:tc>
          <w:tcPr>
            <w:tcW w:w="2636" w:type="pct"/>
            <w:tcBorders>
              <w:top w:val="nil"/>
              <w:left w:val="nil"/>
              <w:bottom w:val="single" w:sz="4" w:space="0" w:color="000000"/>
              <w:right w:val="single" w:sz="4" w:space="0" w:color="000000"/>
            </w:tcBorders>
            <w:shd w:val="clear" w:color="auto" w:fill="auto"/>
            <w:vAlign w:val="center"/>
            <w:hideMark/>
          </w:tcPr>
          <w:p w14:paraId="294E61B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Vigencias Expiradas-Inversión</w:t>
            </w:r>
          </w:p>
        </w:tc>
      </w:tr>
      <w:tr w:rsidR="00731CF5" w:rsidRPr="00676199" w14:paraId="76F4E03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946B3B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33</w:t>
            </w:r>
          </w:p>
        </w:tc>
        <w:tc>
          <w:tcPr>
            <w:tcW w:w="1860" w:type="pct"/>
            <w:tcBorders>
              <w:top w:val="nil"/>
              <w:left w:val="nil"/>
              <w:bottom w:val="single" w:sz="4" w:space="0" w:color="000000"/>
              <w:right w:val="single" w:sz="4" w:space="0" w:color="000000"/>
            </w:tcBorders>
            <w:shd w:val="clear" w:color="auto" w:fill="auto"/>
            <w:vAlign w:val="center"/>
            <w:hideMark/>
          </w:tcPr>
          <w:p w14:paraId="18698F1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de Educación</w:t>
            </w:r>
          </w:p>
        </w:tc>
        <w:tc>
          <w:tcPr>
            <w:tcW w:w="232" w:type="pct"/>
            <w:tcBorders>
              <w:top w:val="nil"/>
              <w:left w:val="nil"/>
              <w:bottom w:val="single" w:sz="4" w:space="0" w:color="000000"/>
              <w:right w:val="single" w:sz="4" w:space="0" w:color="000000"/>
            </w:tcBorders>
            <w:shd w:val="clear" w:color="auto" w:fill="auto"/>
            <w:vAlign w:val="center"/>
            <w:hideMark/>
          </w:tcPr>
          <w:p w14:paraId="24A3E2E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113</w:t>
            </w:r>
          </w:p>
        </w:tc>
        <w:tc>
          <w:tcPr>
            <w:tcW w:w="2636" w:type="pct"/>
            <w:tcBorders>
              <w:top w:val="nil"/>
              <w:left w:val="nil"/>
              <w:bottom w:val="single" w:sz="4" w:space="0" w:color="000000"/>
              <w:right w:val="single" w:sz="4" w:space="0" w:color="000000"/>
            </w:tcBorders>
            <w:shd w:val="clear" w:color="auto" w:fill="auto"/>
            <w:vAlign w:val="center"/>
            <w:hideMark/>
          </w:tcPr>
          <w:p w14:paraId="3E44F84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Beneficios Posempleo- Capacitación, Bienestar Social, Estímulos y Otros </w:t>
            </w:r>
            <w:proofErr w:type="spellStart"/>
            <w:r w:rsidRPr="00676199">
              <w:rPr>
                <w:rFonts w:ascii="Calibri" w:hAnsi="Calibri"/>
                <w:color w:val="000000"/>
                <w:sz w:val="14"/>
                <w:szCs w:val="14"/>
                <w:lang w:val="es-CO" w:eastAsia="es-CO"/>
              </w:rPr>
              <w:t>Benef</w:t>
            </w:r>
            <w:proofErr w:type="spellEnd"/>
            <w:r w:rsidRPr="00676199">
              <w:rPr>
                <w:rFonts w:ascii="Calibri" w:hAnsi="Calibri"/>
                <w:color w:val="000000"/>
                <w:sz w:val="14"/>
                <w:szCs w:val="14"/>
                <w:lang w:val="es-CO" w:eastAsia="es-CO"/>
              </w:rPr>
              <w:t xml:space="preserve">. Legales o </w:t>
            </w:r>
            <w:proofErr w:type="spellStart"/>
            <w:r w:rsidRPr="00676199">
              <w:rPr>
                <w:rFonts w:ascii="Calibri" w:hAnsi="Calibri"/>
                <w:color w:val="000000"/>
                <w:sz w:val="14"/>
                <w:szCs w:val="14"/>
                <w:lang w:val="es-CO" w:eastAsia="es-CO"/>
              </w:rPr>
              <w:t>Extraleg</w:t>
            </w:r>
            <w:proofErr w:type="spellEnd"/>
            <w:r w:rsidRPr="00676199">
              <w:rPr>
                <w:rFonts w:ascii="Calibri" w:hAnsi="Calibri"/>
                <w:color w:val="000000"/>
                <w:sz w:val="14"/>
                <w:szCs w:val="14"/>
                <w:lang w:val="es-CO" w:eastAsia="es-CO"/>
              </w:rPr>
              <w:t>.</w:t>
            </w:r>
          </w:p>
        </w:tc>
      </w:tr>
      <w:tr w:rsidR="00731CF5" w:rsidRPr="00676199" w14:paraId="02EC07B2"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B4B129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34</w:t>
            </w:r>
          </w:p>
        </w:tc>
        <w:tc>
          <w:tcPr>
            <w:tcW w:w="1860" w:type="pct"/>
            <w:tcBorders>
              <w:top w:val="nil"/>
              <w:left w:val="nil"/>
              <w:bottom w:val="single" w:sz="4" w:space="0" w:color="000000"/>
              <w:right w:val="single" w:sz="4" w:space="0" w:color="000000"/>
            </w:tcBorders>
            <w:shd w:val="clear" w:color="auto" w:fill="auto"/>
            <w:vAlign w:val="center"/>
            <w:hideMark/>
          </w:tcPr>
          <w:p w14:paraId="7A1639D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Asistencia Social</w:t>
            </w:r>
          </w:p>
        </w:tc>
        <w:tc>
          <w:tcPr>
            <w:tcW w:w="232" w:type="pct"/>
            <w:tcBorders>
              <w:top w:val="nil"/>
              <w:left w:val="nil"/>
              <w:bottom w:val="single" w:sz="4" w:space="0" w:color="000000"/>
              <w:right w:val="single" w:sz="4" w:space="0" w:color="000000"/>
            </w:tcBorders>
            <w:shd w:val="clear" w:color="auto" w:fill="auto"/>
            <w:vAlign w:val="center"/>
            <w:hideMark/>
          </w:tcPr>
          <w:p w14:paraId="41B61CB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114</w:t>
            </w:r>
          </w:p>
        </w:tc>
        <w:tc>
          <w:tcPr>
            <w:tcW w:w="2636" w:type="pct"/>
            <w:tcBorders>
              <w:top w:val="nil"/>
              <w:left w:val="nil"/>
              <w:bottom w:val="single" w:sz="4" w:space="0" w:color="000000"/>
              <w:right w:val="single" w:sz="4" w:space="0" w:color="000000"/>
            </w:tcBorders>
            <w:shd w:val="clear" w:color="auto" w:fill="auto"/>
            <w:vAlign w:val="center"/>
            <w:hideMark/>
          </w:tcPr>
          <w:p w14:paraId="02794F8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Donación, Destrucción, Muestra para Análisis de Bienes Aprehendidos o Incautados</w:t>
            </w:r>
          </w:p>
        </w:tc>
      </w:tr>
      <w:tr w:rsidR="00731CF5" w:rsidRPr="00676199" w14:paraId="41FCCF9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3EFE67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35</w:t>
            </w:r>
          </w:p>
        </w:tc>
        <w:tc>
          <w:tcPr>
            <w:tcW w:w="1860" w:type="pct"/>
            <w:tcBorders>
              <w:top w:val="nil"/>
              <w:left w:val="nil"/>
              <w:bottom w:val="single" w:sz="4" w:space="0" w:color="000000"/>
              <w:right w:val="single" w:sz="4" w:space="0" w:color="000000"/>
            </w:tcBorders>
            <w:shd w:val="clear" w:color="auto" w:fill="auto"/>
            <w:vAlign w:val="center"/>
            <w:hideMark/>
          </w:tcPr>
          <w:p w14:paraId="156A74C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Salud</w:t>
            </w:r>
          </w:p>
        </w:tc>
        <w:tc>
          <w:tcPr>
            <w:tcW w:w="232" w:type="pct"/>
            <w:tcBorders>
              <w:top w:val="nil"/>
              <w:left w:val="nil"/>
              <w:bottom w:val="single" w:sz="4" w:space="0" w:color="000000"/>
              <w:right w:val="single" w:sz="4" w:space="0" w:color="000000"/>
            </w:tcBorders>
            <w:shd w:val="clear" w:color="auto" w:fill="auto"/>
            <w:vAlign w:val="center"/>
            <w:hideMark/>
          </w:tcPr>
          <w:p w14:paraId="300E653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115</w:t>
            </w:r>
          </w:p>
        </w:tc>
        <w:tc>
          <w:tcPr>
            <w:tcW w:w="2636" w:type="pct"/>
            <w:tcBorders>
              <w:top w:val="nil"/>
              <w:left w:val="nil"/>
              <w:bottom w:val="single" w:sz="4" w:space="0" w:color="000000"/>
              <w:right w:val="single" w:sz="4" w:space="0" w:color="000000"/>
            </w:tcBorders>
            <w:shd w:val="clear" w:color="auto" w:fill="auto"/>
            <w:vAlign w:val="center"/>
            <w:hideMark/>
          </w:tcPr>
          <w:p w14:paraId="334D929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Nómina por Pagar con Presupuesto de Transferencias</w:t>
            </w:r>
          </w:p>
        </w:tc>
      </w:tr>
      <w:tr w:rsidR="00731CF5" w:rsidRPr="00676199" w14:paraId="7800D4E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AB4CAE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36</w:t>
            </w:r>
          </w:p>
        </w:tc>
        <w:tc>
          <w:tcPr>
            <w:tcW w:w="1860" w:type="pct"/>
            <w:tcBorders>
              <w:top w:val="nil"/>
              <w:left w:val="nil"/>
              <w:bottom w:val="single" w:sz="4" w:space="0" w:color="000000"/>
              <w:right w:val="single" w:sz="4" w:space="0" w:color="000000"/>
            </w:tcBorders>
            <w:shd w:val="clear" w:color="auto" w:fill="auto"/>
            <w:vAlign w:val="center"/>
            <w:hideMark/>
          </w:tcPr>
          <w:p w14:paraId="24D964E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para Compra de Tierras</w:t>
            </w:r>
          </w:p>
        </w:tc>
        <w:tc>
          <w:tcPr>
            <w:tcW w:w="232" w:type="pct"/>
            <w:tcBorders>
              <w:top w:val="nil"/>
              <w:left w:val="nil"/>
              <w:bottom w:val="single" w:sz="4" w:space="0" w:color="000000"/>
              <w:right w:val="single" w:sz="4" w:space="0" w:color="000000"/>
            </w:tcBorders>
            <w:shd w:val="clear" w:color="auto" w:fill="auto"/>
            <w:vAlign w:val="center"/>
            <w:hideMark/>
          </w:tcPr>
          <w:p w14:paraId="4300A8F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116</w:t>
            </w:r>
          </w:p>
        </w:tc>
        <w:tc>
          <w:tcPr>
            <w:tcW w:w="2636" w:type="pct"/>
            <w:tcBorders>
              <w:top w:val="nil"/>
              <w:left w:val="nil"/>
              <w:bottom w:val="single" w:sz="4" w:space="0" w:color="000000"/>
              <w:right w:val="single" w:sz="4" w:space="0" w:color="000000"/>
            </w:tcBorders>
            <w:shd w:val="clear" w:color="auto" w:fill="auto"/>
            <w:vAlign w:val="center"/>
            <w:hideMark/>
          </w:tcPr>
          <w:p w14:paraId="0B5FDF2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Sindicales</w:t>
            </w:r>
          </w:p>
        </w:tc>
      </w:tr>
      <w:tr w:rsidR="00731CF5" w:rsidRPr="00676199" w14:paraId="7E7855F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2F5684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37</w:t>
            </w:r>
          </w:p>
        </w:tc>
        <w:tc>
          <w:tcPr>
            <w:tcW w:w="1860" w:type="pct"/>
            <w:tcBorders>
              <w:top w:val="nil"/>
              <w:left w:val="nil"/>
              <w:bottom w:val="single" w:sz="4" w:space="0" w:color="000000"/>
              <w:right w:val="single" w:sz="4" w:space="0" w:color="000000"/>
            </w:tcBorders>
            <w:shd w:val="clear" w:color="auto" w:fill="auto"/>
            <w:vAlign w:val="center"/>
            <w:hideMark/>
          </w:tcPr>
          <w:p w14:paraId="2BAF5AD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para Distritos de Riego</w:t>
            </w:r>
          </w:p>
        </w:tc>
        <w:tc>
          <w:tcPr>
            <w:tcW w:w="232" w:type="pct"/>
            <w:tcBorders>
              <w:top w:val="nil"/>
              <w:left w:val="nil"/>
              <w:bottom w:val="single" w:sz="4" w:space="0" w:color="000000"/>
              <w:right w:val="single" w:sz="4" w:space="0" w:color="000000"/>
            </w:tcBorders>
            <w:shd w:val="clear" w:color="auto" w:fill="auto"/>
            <w:vAlign w:val="center"/>
            <w:hideMark/>
          </w:tcPr>
          <w:p w14:paraId="013DCB0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117</w:t>
            </w:r>
          </w:p>
        </w:tc>
        <w:tc>
          <w:tcPr>
            <w:tcW w:w="2636" w:type="pct"/>
            <w:tcBorders>
              <w:top w:val="nil"/>
              <w:left w:val="nil"/>
              <w:bottom w:val="single" w:sz="4" w:space="0" w:color="000000"/>
              <w:right w:val="single" w:sz="4" w:space="0" w:color="000000"/>
            </w:tcBorders>
            <w:shd w:val="clear" w:color="auto" w:fill="auto"/>
            <w:vAlign w:val="center"/>
            <w:hideMark/>
          </w:tcPr>
          <w:p w14:paraId="3AA2468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Servicios financieros</w:t>
            </w:r>
          </w:p>
        </w:tc>
      </w:tr>
      <w:tr w:rsidR="00731CF5" w:rsidRPr="00676199" w14:paraId="598142B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98822B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38</w:t>
            </w:r>
          </w:p>
        </w:tc>
        <w:tc>
          <w:tcPr>
            <w:tcW w:w="1860" w:type="pct"/>
            <w:tcBorders>
              <w:top w:val="nil"/>
              <w:left w:val="nil"/>
              <w:bottom w:val="single" w:sz="4" w:space="0" w:color="000000"/>
              <w:right w:val="single" w:sz="4" w:space="0" w:color="000000"/>
            </w:tcBorders>
            <w:shd w:val="clear" w:color="auto" w:fill="auto"/>
            <w:vAlign w:val="center"/>
            <w:hideMark/>
          </w:tcPr>
          <w:p w14:paraId="26A8320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para Centro de Conciliación y Comisarias</w:t>
            </w:r>
          </w:p>
        </w:tc>
        <w:tc>
          <w:tcPr>
            <w:tcW w:w="232" w:type="pct"/>
            <w:tcBorders>
              <w:top w:val="nil"/>
              <w:left w:val="nil"/>
              <w:bottom w:val="single" w:sz="4" w:space="0" w:color="000000"/>
              <w:right w:val="single" w:sz="4" w:space="0" w:color="000000"/>
            </w:tcBorders>
            <w:shd w:val="clear" w:color="auto" w:fill="auto"/>
            <w:vAlign w:val="center"/>
            <w:hideMark/>
          </w:tcPr>
          <w:p w14:paraId="1D93F9D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118</w:t>
            </w:r>
          </w:p>
        </w:tc>
        <w:tc>
          <w:tcPr>
            <w:tcW w:w="2636" w:type="pct"/>
            <w:tcBorders>
              <w:top w:val="nil"/>
              <w:left w:val="nil"/>
              <w:bottom w:val="single" w:sz="4" w:space="0" w:color="000000"/>
              <w:right w:val="single" w:sz="4" w:space="0" w:color="000000"/>
            </w:tcBorders>
            <w:shd w:val="clear" w:color="auto" w:fill="auto"/>
            <w:vAlign w:val="center"/>
            <w:hideMark/>
          </w:tcPr>
          <w:p w14:paraId="50E41833" w14:textId="77777777" w:rsidR="0068376F" w:rsidRPr="00676199" w:rsidRDefault="00D95115"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Arrendamiento</w:t>
            </w:r>
            <w:r w:rsidR="0068376F" w:rsidRPr="00676199">
              <w:rPr>
                <w:rFonts w:ascii="Calibri" w:hAnsi="Calibri"/>
                <w:color w:val="000000"/>
                <w:sz w:val="14"/>
                <w:szCs w:val="14"/>
                <w:lang w:val="es-CO" w:eastAsia="es-CO"/>
              </w:rPr>
              <w:t xml:space="preserve"> Operativo</w:t>
            </w:r>
          </w:p>
        </w:tc>
      </w:tr>
      <w:tr w:rsidR="00731CF5" w:rsidRPr="00676199" w14:paraId="19B85177"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EE9D07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39</w:t>
            </w:r>
          </w:p>
        </w:tc>
        <w:tc>
          <w:tcPr>
            <w:tcW w:w="1860" w:type="pct"/>
            <w:tcBorders>
              <w:top w:val="nil"/>
              <w:left w:val="nil"/>
              <w:bottom w:val="single" w:sz="4" w:space="0" w:color="000000"/>
              <w:right w:val="single" w:sz="4" w:space="0" w:color="000000"/>
            </w:tcBorders>
            <w:shd w:val="clear" w:color="auto" w:fill="auto"/>
            <w:vAlign w:val="center"/>
            <w:hideMark/>
          </w:tcPr>
          <w:p w14:paraId="7AEFE2A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Servicio de Energía</w:t>
            </w:r>
          </w:p>
        </w:tc>
        <w:tc>
          <w:tcPr>
            <w:tcW w:w="232" w:type="pct"/>
            <w:tcBorders>
              <w:top w:val="nil"/>
              <w:left w:val="nil"/>
              <w:bottom w:val="single" w:sz="4" w:space="0" w:color="000000"/>
              <w:right w:val="single" w:sz="4" w:space="0" w:color="000000"/>
            </w:tcBorders>
            <w:shd w:val="clear" w:color="auto" w:fill="auto"/>
            <w:vAlign w:val="center"/>
            <w:hideMark/>
          </w:tcPr>
          <w:p w14:paraId="5FD66CE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118</w:t>
            </w:r>
          </w:p>
        </w:tc>
        <w:tc>
          <w:tcPr>
            <w:tcW w:w="2636" w:type="pct"/>
            <w:tcBorders>
              <w:top w:val="nil"/>
              <w:left w:val="nil"/>
              <w:bottom w:val="single" w:sz="4" w:space="0" w:color="000000"/>
              <w:right w:val="single" w:sz="4" w:space="0" w:color="000000"/>
            </w:tcBorders>
            <w:shd w:val="clear" w:color="auto" w:fill="auto"/>
            <w:vAlign w:val="center"/>
            <w:hideMark/>
          </w:tcPr>
          <w:p w14:paraId="401C536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Arrendamiento Operativo</w:t>
            </w:r>
          </w:p>
        </w:tc>
      </w:tr>
      <w:tr w:rsidR="00731CF5" w:rsidRPr="00676199" w14:paraId="723AEF8E"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F19FAC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40</w:t>
            </w:r>
          </w:p>
        </w:tc>
        <w:tc>
          <w:tcPr>
            <w:tcW w:w="1860" w:type="pct"/>
            <w:tcBorders>
              <w:top w:val="nil"/>
              <w:left w:val="nil"/>
              <w:bottom w:val="single" w:sz="4" w:space="0" w:color="000000"/>
              <w:right w:val="single" w:sz="4" w:space="0" w:color="000000"/>
            </w:tcBorders>
            <w:shd w:val="clear" w:color="auto" w:fill="auto"/>
            <w:vAlign w:val="center"/>
            <w:hideMark/>
          </w:tcPr>
          <w:p w14:paraId="32B769A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 de Acueducto</w:t>
            </w:r>
          </w:p>
        </w:tc>
        <w:tc>
          <w:tcPr>
            <w:tcW w:w="232" w:type="pct"/>
            <w:tcBorders>
              <w:top w:val="nil"/>
              <w:left w:val="nil"/>
              <w:bottom w:val="single" w:sz="4" w:space="0" w:color="000000"/>
              <w:right w:val="single" w:sz="4" w:space="0" w:color="000000"/>
            </w:tcBorders>
            <w:shd w:val="clear" w:color="auto" w:fill="auto"/>
            <w:vAlign w:val="center"/>
            <w:hideMark/>
          </w:tcPr>
          <w:p w14:paraId="415C398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119</w:t>
            </w:r>
          </w:p>
        </w:tc>
        <w:tc>
          <w:tcPr>
            <w:tcW w:w="2636" w:type="pct"/>
            <w:tcBorders>
              <w:top w:val="nil"/>
              <w:left w:val="nil"/>
              <w:bottom w:val="single" w:sz="4" w:space="0" w:color="000000"/>
              <w:right w:val="single" w:sz="4" w:space="0" w:color="000000"/>
            </w:tcBorders>
            <w:shd w:val="clear" w:color="auto" w:fill="auto"/>
            <w:vAlign w:val="center"/>
            <w:hideMark/>
          </w:tcPr>
          <w:p w14:paraId="0A18BDE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Contratos de concurrencia</w:t>
            </w:r>
          </w:p>
        </w:tc>
      </w:tr>
      <w:tr w:rsidR="00731CF5" w:rsidRPr="00676199" w14:paraId="6830B6C9"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A051F3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41</w:t>
            </w:r>
          </w:p>
        </w:tc>
        <w:tc>
          <w:tcPr>
            <w:tcW w:w="1860" w:type="pct"/>
            <w:tcBorders>
              <w:top w:val="nil"/>
              <w:left w:val="nil"/>
              <w:bottom w:val="single" w:sz="4" w:space="0" w:color="000000"/>
              <w:right w:val="single" w:sz="4" w:space="0" w:color="000000"/>
            </w:tcBorders>
            <w:shd w:val="clear" w:color="auto" w:fill="auto"/>
            <w:vAlign w:val="center"/>
            <w:hideMark/>
          </w:tcPr>
          <w:p w14:paraId="118B219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Servicio de </w:t>
            </w:r>
            <w:r w:rsidR="00D95115" w:rsidRPr="00676199">
              <w:rPr>
                <w:rFonts w:ascii="Calibri" w:hAnsi="Calibri"/>
                <w:color w:val="000000"/>
                <w:sz w:val="14"/>
                <w:szCs w:val="14"/>
                <w:lang w:val="es-CO" w:eastAsia="es-CO"/>
              </w:rPr>
              <w:t>Alcantarillado</w:t>
            </w:r>
          </w:p>
        </w:tc>
        <w:tc>
          <w:tcPr>
            <w:tcW w:w="232" w:type="pct"/>
            <w:tcBorders>
              <w:top w:val="nil"/>
              <w:left w:val="nil"/>
              <w:bottom w:val="single" w:sz="4" w:space="0" w:color="000000"/>
              <w:right w:val="single" w:sz="4" w:space="0" w:color="000000"/>
            </w:tcBorders>
            <w:shd w:val="clear" w:color="auto" w:fill="auto"/>
            <w:vAlign w:val="center"/>
            <w:hideMark/>
          </w:tcPr>
          <w:p w14:paraId="2193DEC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120</w:t>
            </w:r>
          </w:p>
        </w:tc>
        <w:tc>
          <w:tcPr>
            <w:tcW w:w="2636" w:type="pct"/>
            <w:tcBorders>
              <w:top w:val="nil"/>
              <w:left w:val="nil"/>
              <w:bottom w:val="single" w:sz="4" w:space="0" w:color="000000"/>
              <w:right w:val="single" w:sz="4" w:space="0" w:color="000000"/>
            </w:tcBorders>
            <w:shd w:val="clear" w:color="auto" w:fill="auto"/>
            <w:vAlign w:val="center"/>
            <w:hideMark/>
          </w:tcPr>
          <w:p w14:paraId="40D5E14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Contribuciones y Cuotas a Organismos Internacionales</w:t>
            </w:r>
          </w:p>
        </w:tc>
      </w:tr>
      <w:tr w:rsidR="00731CF5" w:rsidRPr="00676199" w14:paraId="571724D3"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FE1343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41</w:t>
            </w:r>
          </w:p>
        </w:tc>
        <w:tc>
          <w:tcPr>
            <w:tcW w:w="1860" w:type="pct"/>
            <w:tcBorders>
              <w:top w:val="nil"/>
              <w:left w:val="nil"/>
              <w:bottom w:val="single" w:sz="4" w:space="0" w:color="000000"/>
              <w:right w:val="single" w:sz="4" w:space="0" w:color="000000"/>
            </w:tcBorders>
            <w:shd w:val="clear" w:color="auto" w:fill="auto"/>
            <w:vAlign w:val="center"/>
            <w:hideMark/>
          </w:tcPr>
          <w:p w14:paraId="6D9D94E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 de Alcantarillado</w:t>
            </w:r>
          </w:p>
        </w:tc>
        <w:tc>
          <w:tcPr>
            <w:tcW w:w="232" w:type="pct"/>
            <w:tcBorders>
              <w:top w:val="nil"/>
              <w:left w:val="nil"/>
              <w:bottom w:val="single" w:sz="4" w:space="0" w:color="000000"/>
              <w:right w:val="single" w:sz="4" w:space="0" w:color="000000"/>
            </w:tcBorders>
            <w:shd w:val="clear" w:color="auto" w:fill="auto"/>
            <w:vAlign w:val="center"/>
            <w:hideMark/>
          </w:tcPr>
          <w:p w14:paraId="516610B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121</w:t>
            </w:r>
          </w:p>
        </w:tc>
        <w:tc>
          <w:tcPr>
            <w:tcW w:w="2636" w:type="pct"/>
            <w:tcBorders>
              <w:top w:val="nil"/>
              <w:left w:val="nil"/>
              <w:bottom w:val="single" w:sz="4" w:space="0" w:color="000000"/>
              <w:right w:val="single" w:sz="4" w:space="0" w:color="000000"/>
            </w:tcBorders>
            <w:shd w:val="clear" w:color="auto" w:fill="auto"/>
            <w:vAlign w:val="center"/>
            <w:hideMark/>
          </w:tcPr>
          <w:p w14:paraId="539D5D7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Comercial-Costo Efectivo-Intereses</w:t>
            </w:r>
          </w:p>
        </w:tc>
      </w:tr>
      <w:tr w:rsidR="00731CF5" w:rsidRPr="00676199" w14:paraId="34B2F89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DEC8BE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42</w:t>
            </w:r>
          </w:p>
        </w:tc>
        <w:tc>
          <w:tcPr>
            <w:tcW w:w="1860" w:type="pct"/>
            <w:tcBorders>
              <w:top w:val="nil"/>
              <w:left w:val="nil"/>
              <w:bottom w:val="single" w:sz="4" w:space="0" w:color="000000"/>
              <w:right w:val="single" w:sz="4" w:space="0" w:color="000000"/>
            </w:tcBorders>
            <w:shd w:val="clear" w:color="auto" w:fill="auto"/>
            <w:vAlign w:val="center"/>
            <w:hideMark/>
          </w:tcPr>
          <w:p w14:paraId="66BF907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 de Aseo</w:t>
            </w:r>
          </w:p>
        </w:tc>
        <w:tc>
          <w:tcPr>
            <w:tcW w:w="232" w:type="pct"/>
            <w:tcBorders>
              <w:top w:val="nil"/>
              <w:left w:val="nil"/>
              <w:bottom w:val="single" w:sz="4" w:space="0" w:color="000000"/>
              <w:right w:val="single" w:sz="4" w:space="0" w:color="000000"/>
            </w:tcBorders>
            <w:shd w:val="clear" w:color="auto" w:fill="auto"/>
            <w:vAlign w:val="center"/>
            <w:hideMark/>
          </w:tcPr>
          <w:p w14:paraId="5E1692A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122</w:t>
            </w:r>
          </w:p>
        </w:tc>
        <w:tc>
          <w:tcPr>
            <w:tcW w:w="2636" w:type="pct"/>
            <w:tcBorders>
              <w:top w:val="nil"/>
              <w:left w:val="nil"/>
              <w:bottom w:val="single" w:sz="4" w:space="0" w:color="000000"/>
              <w:right w:val="single" w:sz="4" w:space="0" w:color="000000"/>
            </w:tcBorders>
            <w:shd w:val="clear" w:color="auto" w:fill="auto"/>
            <w:vAlign w:val="center"/>
            <w:hideMark/>
          </w:tcPr>
          <w:p w14:paraId="2305E87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Comercial-Costo Efectivo-Amortización Costos de Transacción</w:t>
            </w:r>
          </w:p>
        </w:tc>
      </w:tr>
      <w:tr w:rsidR="00731CF5" w:rsidRPr="00676199" w14:paraId="65155A65"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0F8766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43</w:t>
            </w:r>
          </w:p>
        </w:tc>
        <w:tc>
          <w:tcPr>
            <w:tcW w:w="1860" w:type="pct"/>
            <w:tcBorders>
              <w:top w:val="nil"/>
              <w:left w:val="nil"/>
              <w:bottom w:val="single" w:sz="4" w:space="0" w:color="000000"/>
              <w:right w:val="single" w:sz="4" w:space="0" w:color="000000"/>
            </w:tcBorders>
            <w:shd w:val="clear" w:color="auto" w:fill="auto"/>
            <w:vAlign w:val="center"/>
            <w:hideMark/>
          </w:tcPr>
          <w:p w14:paraId="66E31F5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de Gas Combustible</w:t>
            </w:r>
          </w:p>
        </w:tc>
        <w:tc>
          <w:tcPr>
            <w:tcW w:w="232" w:type="pct"/>
            <w:tcBorders>
              <w:top w:val="nil"/>
              <w:left w:val="nil"/>
              <w:bottom w:val="single" w:sz="4" w:space="0" w:color="000000"/>
              <w:right w:val="single" w:sz="4" w:space="0" w:color="000000"/>
            </w:tcBorders>
            <w:shd w:val="clear" w:color="auto" w:fill="auto"/>
            <w:vAlign w:val="center"/>
            <w:hideMark/>
          </w:tcPr>
          <w:p w14:paraId="32352E5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123</w:t>
            </w:r>
          </w:p>
        </w:tc>
        <w:tc>
          <w:tcPr>
            <w:tcW w:w="2636" w:type="pct"/>
            <w:tcBorders>
              <w:top w:val="nil"/>
              <w:left w:val="nil"/>
              <w:bottom w:val="single" w:sz="4" w:space="0" w:color="000000"/>
              <w:right w:val="single" w:sz="4" w:space="0" w:color="000000"/>
            </w:tcBorders>
            <w:shd w:val="clear" w:color="auto" w:fill="auto"/>
            <w:vAlign w:val="center"/>
            <w:hideMark/>
          </w:tcPr>
          <w:p w14:paraId="3D40414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Multilateral-Costo Efectivo-Intereses</w:t>
            </w:r>
          </w:p>
        </w:tc>
      </w:tr>
      <w:tr w:rsidR="00731CF5" w:rsidRPr="00676199" w14:paraId="5980FE5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F39BC7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44</w:t>
            </w:r>
          </w:p>
        </w:tc>
        <w:tc>
          <w:tcPr>
            <w:tcW w:w="1860" w:type="pct"/>
            <w:tcBorders>
              <w:top w:val="nil"/>
              <w:left w:val="nil"/>
              <w:bottom w:val="single" w:sz="4" w:space="0" w:color="000000"/>
              <w:right w:val="single" w:sz="4" w:space="0" w:color="000000"/>
            </w:tcBorders>
            <w:shd w:val="clear" w:color="auto" w:fill="auto"/>
            <w:vAlign w:val="center"/>
            <w:hideMark/>
          </w:tcPr>
          <w:p w14:paraId="6500110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 de Telecomunicaciones</w:t>
            </w:r>
          </w:p>
        </w:tc>
        <w:tc>
          <w:tcPr>
            <w:tcW w:w="232" w:type="pct"/>
            <w:tcBorders>
              <w:top w:val="nil"/>
              <w:left w:val="nil"/>
              <w:bottom w:val="single" w:sz="4" w:space="0" w:color="000000"/>
              <w:right w:val="single" w:sz="4" w:space="0" w:color="000000"/>
            </w:tcBorders>
            <w:shd w:val="clear" w:color="auto" w:fill="auto"/>
            <w:vAlign w:val="center"/>
            <w:hideMark/>
          </w:tcPr>
          <w:p w14:paraId="4E99ED5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124</w:t>
            </w:r>
          </w:p>
        </w:tc>
        <w:tc>
          <w:tcPr>
            <w:tcW w:w="2636" w:type="pct"/>
            <w:tcBorders>
              <w:top w:val="nil"/>
              <w:left w:val="nil"/>
              <w:bottom w:val="single" w:sz="4" w:space="0" w:color="000000"/>
              <w:right w:val="single" w:sz="4" w:space="0" w:color="000000"/>
            </w:tcBorders>
            <w:shd w:val="clear" w:color="auto" w:fill="auto"/>
            <w:vAlign w:val="center"/>
            <w:hideMark/>
          </w:tcPr>
          <w:p w14:paraId="023229F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Multilateral-Costo Efectivo-Amortización Costos de Transacción</w:t>
            </w:r>
          </w:p>
        </w:tc>
      </w:tr>
      <w:tr w:rsidR="00731CF5" w:rsidRPr="00676199" w14:paraId="3CFAEBA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4AB058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45</w:t>
            </w:r>
          </w:p>
        </w:tc>
        <w:tc>
          <w:tcPr>
            <w:tcW w:w="1860" w:type="pct"/>
            <w:tcBorders>
              <w:top w:val="nil"/>
              <w:left w:val="nil"/>
              <w:bottom w:val="single" w:sz="4" w:space="0" w:color="000000"/>
              <w:right w:val="single" w:sz="4" w:space="0" w:color="000000"/>
            </w:tcBorders>
            <w:shd w:val="clear" w:color="auto" w:fill="auto"/>
            <w:vAlign w:val="center"/>
            <w:hideMark/>
          </w:tcPr>
          <w:p w14:paraId="6FFF474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al Deporte</w:t>
            </w:r>
          </w:p>
        </w:tc>
        <w:tc>
          <w:tcPr>
            <w:tcW w:w="232" w:type="pct"/>
            <w:tcBorders>
              <w:top w:val="nil"/>
              <w:left w:val="nil"/>
              <w:bottom w:val="single" w:sz="4" w:space="0" w:color="000000"/>
              <w:right w:val="single" w:sz="4" w:space="0" w:color="000000"/>
            </w:tcBorders>
            <w:shd w:val="clear" w:color="auto" w:fill="auto"/>
            <w:vAlign w:val="center"/>
            <w:hideMark/>
          </w:tcPr>
          <w:p w14:paraId="2F5D928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125</w:t>
            </w:r>
          </w:p>
        </w:tc>
        <w:tc>
          <w:tcPr>
            <w:tcW w:w="2636" w:type="pct"/>
            <w:tcBorders>
              <w:top w:val="nil"/>
              <w:left w:val="nil"/>
              <w:bottom w:val="single" w:sz="4" w:space="0" w:color="000000"/>
              <w:right w:val="single" w:sz="4" w:space="0" w:color="000000"/>
            </w:tcBorders>
            <w:shd w:val="clear" w:color="auto" w:fill="auto"/>
            <w:vAlign w:val="center"/>
            <w:hideMark/>
          </w:tcPr>
          <w:p w14:paraId="33CC3AD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de Fomento-Costo Efectivo-Intereses</w:t>
            </w:r>
          </w:p>
        </w:tc>
      </w:tr>
      <w:tr w:rsidR="00731CF5" w:rsidRPr="00676199" w14:paraId="161741E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12E53F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46</w:t>
            </w:r>
          </w:p>
        </w:tc>
        <w:tc>
          <w:tcPr>
            <w:tcW w:w="1860" w:type="pct"/>
            <w:tcBorders>
              <w:top w:val="nil"/>
              <w:left w:val="nil"/>
              <w:bottom w:val="single" w:sz="4" w:space="0" w:color="000000"/>
              <w:right w:val="single" w:sz="4" w:space="0" w:color="000000"/>
            </w:tcBorders>
            <w:shd w:val="clear" w:color="auto" w:fill="auto"/>
            <w:vAlign w:val="center"/>
            <w:hideMark/>
          </w:tcPr>
          <w:p w14:paraId="6956C67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Subsidio al Transporte, Consumo e Importación de Combustible</w:t>
            </w:r>
          </w:p>
        </w:tc>
        <w:tc>
          <w:tcPr>
            <w:tcW w:w="232" w:type="pct"/>
            <w:tcBorders>
              <w:top w:val="nil"/>
              <w:left w:val="nil"/>
              <w:bottom w:val="single" w:sz="4" w:space="0" w:color="000000"/>
              <w:right w:val="single" w:sz="4" w:space="0" w:color="000000"/>
            </w:tcBorders>
            <w:shd w:val="clear" w:color="auto" w:fill="auto"/>
            <w:vAlign w:val="center"/>
            <w:hideMark/>
          </w:tcPr>
          <w:p w14:paraId="4109EBB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126</w:t>
            </w:r>
          </w:p>
        </w:tc>
        <w:tc>
          <w:tcPr>
            <w:tcW w:w="2636" w:type="pct"/>
            <w:tcBorders>
              <w:top w:val="nil"/>
              <w:left w:val="nil"/>
              <w:bottom w:val="single" w:sz="4" w:space="0" w:color="000000"/>
              <w:right w:val="single" w:sz="4" w:space="0" w:color="000000"/>
            </w:tcBorders>
            <w:shd w:val="clear" w:color="auto" w:fill="auto"/>
            <w:vAlign w:val="center"/>
            <w:hideMark/>
          </w:tcPr>
          <w:p w14:paraId="34A4171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de Fomento-Costo Efectivo-Amortización Costos de Transacción</w:t>
            </w:r>
          </w:p>
        </w:tc>
      </w:tr>
      <w:tr w:rsidR="00731CF5" w:rsidRPr="00676199" w14:paraId="49FB281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548CFC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47</w:t>
            </w:r>
          </w:p>
        </w:tc>
        <w:tc>
          <w:tcPr>
            <w:tcW w:w="1860" w:type="pct"/>
            <w:tcBorders>
              <w:top w:val="nil"/>
              <w:left w:val="nil"/>
              <w:bottom w:val="single" w:sz="4" w:space="0" w:color="000000"/>
              <w:right w:val="single" w:sz="4" w:space="0" w:color="000000"/>
            </w:tcBorders>
            <w:shd w:val="clear" w:color="auto" w:fill="auto"/>
            <w:vAlign w:val="center"/>
            <w:hideMark/>
          </w:tcPr>
          <w:p w14:paraId="2557E55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Otros Subsidios Asignados</w:t>
            </w:r>
          </w:p>
        </w:tc>
        <w:tc>
          <w:tcPr>
            <w:tcW w:w="232" w:type="pct"/>
            <w:tcBorders>
              <w:top w:val="nil"/>
              <w:left w:val="nil"/>
              <w:bottom w:val="single" w:sz="4" w:space="0" w:color="000000"/>
              <w:right w:val="single" w:sz="4" w:space="0" w:color="000000"/>
            </w:tcBorders>
            <w:shd w:val="clear" w:color="auto" w:fill="auto"/>
            <w:vAlign w:val="center"/>
            <w:hideMark/>
          </w:tcPr>
          <w:p w14:paraId="3806824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127</w:t>
            </w:r>
          </w:p>
        </w:tc>
        <w:tc>
          <w:tcPr>
            <w:tcW w:w="2636" w:type="pct"/>
            <w:tcBorders>
              <w:top w:val="nil"/>
              <w:left w:val="nil"/>
              <w:bottom w:val="single" w:sz="4" w:space="0" w:color="000000"/>
              <w:right w:val="single" w:sz="4" w:space="0" w:color="000000"/>
            </w:tcBorders>
            <w:shd w:val="clear" w:color="auto" w:fill="auto"/>
            <w:vAlign w:val="center"/>
            <w:hideMark/>
          </w:tcPr>
          <w:p w14:paraId="6CC12D7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del Gobierno General-Costo Efectivo-Intereses</w:t>
            </w:r>
          </w:p>
        </w:tc>
      </w:tr>
      <w:tr w:rsidR="00731CF5" w:rsidRPr="00676199" w14:paraId="2C24216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33DFB2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48</w:t>
            </w:r>
          </w:p>
        </w:tc>
        <w:tc>
          <w:tcPr>
            <w:tcW w:w="1860" w:type="pct"/>
            <w:tcBorders>
              <w:top w:val="nil"/>
              <w:left w:val="nil"/>
              <w:bottom w:val="single" w:sz="4" w:space="0" w:color="000000"/>
              <w:right w:val="single" w:sz="4" w:space="0" w:color="000000"/>
            </w:tcBorders>
            <w:shd w:val="clear" w:color="auto" w:fill="auto"/>
            <w:vAlign w:val="center"/>
            <w:hideMark/>
          </w:tcPr>
          <w:p w14:paraId="3BD9109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Impuesto Predial Unificado</w:t>
            </w:r>
          </w:p>
        </w:tc>
        <w:tc>
          <w:tcPr>
            <w:tcW w:w="232" w:type="pct"/>
            <w:tcBorders>
              <w:top w:val="nil"/>
              <w:left w:val="nil"/>
              <w:bottom w:val="single" w:sz="4" w:space="0" w:color="000000"/>
              <w:right w:val="single" w:sz="4" w:space="0" w:color="000000"/>
            </w:tcBorders>
            <w:shd w:val="clear" w:color="auto" w:fill="auto"/>
            <w:vAlign w:val="center"/>
            <w:hideMark/>
          </w:tcPr>
          <w:p w14:paraId="115E294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128</w:t>
            </w:r>
          </w:p>
        </w:tc>
        <w:tc>
          <w:tcPr>
            <w:tcW w:w="2636" w:type="pct"/>
            <w:tcBorders>
              <w:top w:val="nil"/>
              <w:left w:val="nil"/>
              <w:bottom w:val="single" w:sz="4" w:space="0" w:color="000000"/>
              <w:right w:val="single" w:sz="4" w:space="0" w:color="000000"/>
            </w:tcBorders>
            <w:shd w:val="clear" w:color="auto" w:fill="auto"/>
            <w:vAlign w:val="center"/>
            <w:hideMark/>
          </w:tcPr>
          <w:p w14:paraId="64625A0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del Gobierno General -Costo Efectivo-Amortización Costos de Transacción</w:t>
            </w:r>
          </w:p>
        </w:tc>
      </w:tr>
      <w:tr w:rsidR="00731CF5" w:rsidRPr="00676199" w14:paraId="77233473"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12206A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49</w:t>
            </w:r>
          </w:p>
        </w:tc>
        <w:tc>
          <w:tcPr>
            <w:tcW w:w="1860" w:type="pct"/>
            <w:tcBorders>
              <w:top w:val="nil"/>
              <w:left w:val="nil"/>
              <w:bottom w:val="single" w:sz="4" w:space="0" w:color="000000"/>
              <w:right w:val="single" w:sz="4" w:space="0" w:color="000000"/>
            </w:tcBorders>
            <w:shd w:val="clear" w:color="auto" w:fill="auto"/>
            <w:vAlign w:val="center"/>
            <w:hideMark/>
          </w:tcPr>
          <w:p w14:paraId="1165B17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Valorización</w:t>
            </w:r>
          </w:p>
        </w:tc>
        <w:tc>
          <w:tcPr>
            <w:tcW w:w="232" w:type="pct"/>
            <w:tcBorders>
              <w:top w:val="nil"/>
              <w:left w:val="nil"/>
              <w:bottom w:val="single" w:sz="4" w:space="0" w:color="000000"/>
              <w:right w:val="single" w:sz="4" w:space="0" w:color="000000"/>
            </w:tcBorders>
            <w:shd w:val="clear" w:color="auto" w:fill="auto"/>
            <w:vAlign w:val="center"/>
            <w:hideMark/>
          </w:tcPr>
          <w:p w14:paraId="0555438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129</w:t>
            </w:r>
          </w:p>
        </w:tc>
        <w:tc>
          <w:tcPr>
            <w:tcW w:w="2636" w:type="pct"/>
            <w:tcBorders>
              <w:top w:val="nil"/>
              <w:left w:val="nil"/>
              <w:bottom w:val="single" w:sz="4" w:space="0" w:color="000000"/>
              <w:right w:val="single" w:sz="4" w:space="0" w:color="000000"/>
            </w:tcBorders>
            <w:shd w:val="clear" w:color="auto" w:fill="auto"/>
            <w:vAlign w:val="center"/>
            <w:hideMark/>
          </w:tcPr>
          <w:p w14:paraId="330C3A3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Externo-Cuenta Especial de Deuda-Costo Efectivo-Intereses</w:t>
            </w:r>
          </w:p>
        </w:tc>
      </w:tr>
      <w:tr w:rsidR="00731CF5" w:rsidRPr="00676199" w14:paraId="23DA634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CA012C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50</w:t>
            </w:r>
          </w:p>
        </w:tc>
        <w:tc>
          <w:tcPr>
            <w:tcW w:w="1860" w:type="pct"/>
            <w:tcBorders>
              <w:top w:val="nil"/>
              <w:left w:val="nil"/>
              <w:bottom w:val="single" w:sz="4" w:space="0" w:color="000000"/>
              <w:right w:val="single" w:sz="4" w:space="0" w:color="000000"/>
            </w:tcBorders>
            <w:shd w:val="clear" w:color="auto" w:fill="auto"/>
            <w:vAlign w:val="center"/>
            <w:hideMark/>
          </w:tcPr>
          <w:p w14:paraId="43FC58C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Licencia, Registro y Salvo Con</w:t>
            </w:r>
          </w:p>
        </w:tc>
        <w:tc>
          <w:tcPr>
            <w:tcW w:w="232" w:type="pct"/>
            <w:tcBorders>
              <w:top w:val="nil"/>
              <w:left w:val="nil"/>
              <w:bottom w:val="single" w:sz="4" w:space="0" w:color="000000"/>
              <w:right w:val="single" w:sz="4" w:space="0" w:color="000000"/>
            </w:tcBorders>
            <w:shd w:val="clear" w:color="auto" w:fill="auto"/>
            <w:vAlign w:val="center"/>
            <w:hideMark/>
          </w:tcPr>
          <w:p w14:paraId="42E7460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130</w:t>
            </w:r>
          </w:p>
        </w:tc>
        <w:tc>
          <w:tcPr>
            <w:tcW w:w="2636" w:type="pct"/>
            <w:tcBorders>
              <w:top w:val="nil"/>
              <w:left w:val="nil"/>
              <w:bottom w:val="single" w:sz="4" w:space="0" w:color="000000"/>
              <w:right w:val="single" w:sz="4" w:space="0" w:color="000000"/>
            </w:tcBorders>
            <w:shd w:val="clear" w:color="auto" w:fill="auto"/>
            <w:vAlign w:val="center"/>
            <w:hideMark/>
          </w:tcPr>
          <w:p w14:paraId="3D77468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 por Pagar-Financiamiento Externo-Cuenta Especial de Deuda-Costo Efectivo-Amortización Costos de Transacción</w:t>
            </w:r>
          </w:p>
        </w:tc>
      </w:tr>
      <w:tr w:rsidR="00731CF5" w:rsidRPr="00676199" w14:paraId="25D4D90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C20067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50</w:t>
            </w:r>
          </w:p>
        </w:tc>
        <w:tc>
          <w:tcPr>
            <w:tcW w:w="1860" w:type="pct"/>
            <w:tcBorders>
              <w:top w:val="nil"/>
              <w:left w:val="nil"/>
              <w:bottom w:val="single" w:sz="4" w:space="0" w:color="000000"/>
              <w:right w:val="single" w:sz="4" w:space="0" w:color="000000"/>
            </w:tcBorders>
            <w:shd w:val="clear" w:color="auto" w:fill="auto"/>
            <w:vAlign w:val="center"/>
            <w:hideMark/>
          </w:tcPr>
          <w:p w14:paraId="43A400D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Licencias, Registro y Salvoconducto</w:t>
            </w:r>
          </w:p>
        </w:tc>
        <w:tc>
          <w:tcPr>
            <w:tcW w:w="232" w:type="pct"/>
            <w:tcBorders>
              <w:top w:val="nil"/>
              <w:left w:val="nil"/>
              <w:bottom w:val="single" w:sz="4" w:space="0" w:color="000000"/>
              <w:right w:val="single" w:sz="4" w:space="0" w:color="000000"/>
            </w:tcBorders>
            <w:shd w:val="clear" w:color="auto" w:fill="auto"/>
            <w:vAlign w:val="center"/>
            <w:hideMark/>
          </w:tcPr>
          <w:p w14:paraId="05C1A94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131</w:t>
            </w:r>
          </w:p>
        </w:tc>
        <w:tc>
          <w:tcPr>
            <w:tcW w:w="2636" w:type="pct"/>
            <w:tcBorders>
              <w:top w:val="nil"/>
              <w:left w:val="nil"/>
              <w:bottom w:val="single" w:sz="4" w:space="0" w:color="000000"/>
              <w:right w:val="single" w:sz="4" w:space="0" w:color="000000"/>
            </w:tcBorders>
            <w:shd w:val="clear" w:color="auto" w:fill="auto"/>
            <w:vAlign w:val="center"/>
            <w:hideMark/>
          </w:tcPr>
          <w:p w14:paraId="7188BD5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 por pagar-Financiamiento Interno-Préstamos Banca comercial-Costo Efectivo-Intereses</w:t>
            </w:r>
          </w:p>
        </w:tc>
      </w:tr>
      <w:tr w:rsidR="00731CF5" w:rsidRPr="00676199" w14:paraId="70A1A44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1967EF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51</w:t>
            </w:r>
          </w:p>
        </w:tc>
        <w:tc>
          <w:tcPr>
            <w:tcW w:w="1860" w:type="pct"/>
            <w:tcBorders>
              <w:top w:val="nil"/>
              <w:left w:val="nil"/>
              <w:bottom w:val="single" w:sz="4" w:space="0" w:color="000000"/>
              <w:right w:val="single" w:sz="4" w:space="0" w:color="000000"/>
            </w:tcBorders>
            <w:shd w:val="clear" w:color="auto" w:fill="auto"/>
            <w:vAlign w:val="center"/>
            <w:hideMark/>
          </w:tcPr>
          <w:p w14:paraId="3592988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Cuota de Fiscalización y Auditaje</w:t>
            </w:r>
          </w:p>
        </w:tc>
        <w:tc>
          <w:tcPr>
            <w:tcW w:w="232" w:type="pct"/>
            <w:tcBorders>
              <w:top w:val="nil"/>
              <w:left w:val="nil"/>
              <w:bottom w:val="single" w:sz="4" w:space="0" w:color="000000"/>
              <w:right w:val="single" w:sz="4" w:space="0" w:color="000000"/>
            </w:tcBorders>
            <w:shd w:val="clear" w:color="auto" w:fill="auto"/>
            <w:vAlign w:val="center"/>
            <w:hideMark/>
          </w:tcPr>
          <w:p w14:paraId="53F1A2F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132</w:t>
            </w:r>
          </w:p>
        </w:tc>
        <w:tc>
          <w:tcPr>
            <w:tcW w:w="2636" w:type="pct"/>
            <w:tcBorders>
              <w:top w:val="nil"/>
              <w:left w:val="nil"/>
              <w:bottom w:val="single" w:sz="4" w:space="0" w:color="000000"/>
              <w:right w:val="single" w:sz="4" w:space="0" w:color="000000"/>
            </w:tcBorders>
            <w:shd w:val="clear" w:color="auto" w:fill="auto"/>
            <w:vAlign w:val="center"/>
            <w:hideMark/>
          </w:tcPr>
          <w:p w14:paraId="7804F11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Interno-Préstamos banca Comercial-Costo Efectivo-Amortización Costos de Transacción</w:t>
            </w:r>
          </w:p>
        </w:tc>
      </w:tr>
      <w:tr w:rsidR="00731CF5" w:rsidRPr="00676199" w14:paraId="309763E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428C03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52</w:t>
            </w:r>
          </w:p>
        </w:tc>
        <w:tc>
          <w:tcPr>
            <w:tcW w:w="1860" w:type="pct"/>
            <w:tcBorders>
              <w:top w:val="nil"/>
              <w:left w:val="nil"/>
              <w:bottom w:val="single" w:sz="4" w:space="0" w:color="000000"/>
              <w:right w:val="single" w:sz="4" w:space="0" w:color="000000"/>
            </w:tcBorders>
            <w:shd w:val="clear" w:color="auto" w:fill="auto"/>
            <w:vAlign w:val="center"/>
            <w:hideMark/>
          </w:tcPr>
          <w:p w14:paraId="2A62D84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Impuesto sobre Vehículos Automotores</w:t>
            </w:r>
          </w:p>
        </w:tc>
        <w:tc>
          <w:tcPr>
            <w:tcW w:w="232" w:type="pct"/>
            <w:tcBorders>
              <w:top w:val="nil"/>
              <w:left w:val="nil"/>
              <w:bottom w:val="single" w:sz="4" w:space="0" w:color="000000"/>
              <w:right w:val="single" w:sz="4" w:space="0" w:color="000000"/>
            </w:tcBorders>
            <w:shd w:val="clear" w:color="auto" w:fill="auto"/>
            <w:vAlign w:val="center"/>
            <w:hideMark/>
          </w:tcPr>
          <w:p w14:paraId="2D0FA43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133</w:t>
            </w:r>
          </w:p>
        </w:tc>
        <w:tc>
          <w:tcPr>
            <w:tcW w:w="2636" w:type="pct"/>
            <w:tcBorders>
              <w:top w:val="nil"/>
              <w:left w:val="nil"/>
              <w:bottom w:val="single" w:sz="4" w:space="0" w:color="000000"/>
              <w:right w:val="single" w:sz="4" w:space="0" w:color="000000"/>
            </w:tcBorders>
            <w:shd w:val="clear" w:color="auto" w:fill="auto"/>
            <w:vAlign w:val="center"/>
            <w:hideMark/>
          </w:tcPr>
          <w:p w14:paraId="4C1A861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Interno-Título de Reducción Deuda Decreto 237 de 2000</w:t>
            </w:r>
          </w:p>
        </w:tc>
      </w:tr>
      <w:tr w:rsidR="00731CF5" w:rsidRPr="00676199" w14:paraId="047D126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AE10B5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53</w:t>
            </w:r>
          </w:p>
        </w:tc>
        <w:tc>
          <w:tcPr>
            <w:tcW w:w="1860" w:type="pct"/>
            <w:tcBorders>
              <w:top w:val="nil"/>
              <w:left w:val="nil"/>
              <w:bottom w:val="single" w:sz="4" w:space="0" w:color="000000"/>
              <w:right w:val="single" w:sz="4" w:space="0" w:color="000000"/>
            </w:tcBorders>
            <w:shd w:val="clear" w:color="auto" w:fill="auto"/>
            <w:vAlign w:val="center"/>
            <w:hideMark/>
          </w:tcPr>
          <w:p w14:paraId="667D8BD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Contribuciones</w:t>
            </w:r>
          </w:p>
        </w:tc>
        <w:tc>
          <w:tcPr>
            <w:tcW w:w="232" w:type="pct"/>
            <w:tcBorders>
              <w:top w:val="nil"/>
              <w:left w:val="nil"/>
              <w:bottom w:val="single" w:sz="4" w:space="0" w:color="000000"/>
              <w:right w:val="single" w:sz="4" w:space="0" w:color="000000"/>
            </w:tcBorders>
            <w:shd w:val="clear" w:color="auto" w:fill="auto"/>
            <w:vAlign w:val="center"/>
            <w:hideMark/>
          </w:tcPr>
          <w:p w14:paraId="796B3CA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134</w:t>
            </w:r>
          </w:p>
        </w:tc>
        <w:tc>
          <w:tcPr>
            <w:tcW w:w="2636" w:type="pct"/>
            <w:tcBorders>
              <w:top w:val="nil"/>
              <w:left w:val="nil"/>
              <w:bottom w:val="single" w:sz="4" w:space="0" w:color="000000"/>
              <w:right w:val="single" w:sz="4" w:space="0" w:color="000000"/>
            </w:tcBorders>
            <w:shd w:val="clear" w:color="auto" w:fill="auto"/>
            <w:vAlign w:val="center"/>
            <w:hideMark/>
          </w:tcPr>
          <w:p w14:paraId="2203BD2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Interno- Otros Bonos y Títulos Emitidos</w:t>
            </w:r>
          </w:p>
        </w:tc>
      </w:tr>
      <w:tr w:rsidR="00731CF5" w:rsidRPr="00676199" w14:paraId="068D78D4"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D38F0C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54</w:t>
            </w:r>
          </w:p>
        </w:tc>
        <w:tc>
          <w:tcPr>
            <w:tcW w:w="1860" w:type="pct"/>
            <w:tcBorders>
              <w:top w:val="nil"/>
              <w:left w:val="nil"/>
              <w:bottom w:val="single" w:sz="4" w:space="0" w:color="000000"/>
              <w:right w:val="single" w:sz="4" w:space="0" w:color="000000"/>
            </w:tcBorders>
            <w:shd w:val="clear" w:color="auto" w:fill="auto"/>
            <w:vAlign w:val="center"/>
            <w:hideMark/>
          </w:tcPr>
          <w:p w14:paraId="1C7B0FC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Otros Impuestos</w:t>
            </w:r>
          </w:p>
        </w:tc>
        <w:tc>
          <w:tcPr>
            <w:tcW w:w="232" w:type="pct"/>
            <w:tcBorders>
              <w:top w:val="nil"/>
              <w:left w:val="nil"/>
              <w:bottom w:val="single" w:sz="4" w:space="0" w:color="000000"/>
              <w:right w:val="single" w:sz="4" w:space="0" w:color="000000"/>
            </w:tcBorders>
            <w:shd w:val="clear" w:color="auto" w:fill="auto"/>
            <w:vAlign w:val="center"/>
            <w:hideMark/>
          </w:tcPr>
          <w:p w14:paraId="3819830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135</w:t>
            </w:r>
          </w:p>
        </w:tc>
        <w:tc>
          <w:tcPr>
            <w:tcW w:w="2636" w:type="pct"/>
            <w:tcBorders>
              <w:top w:val="nil"/>
              <w:left w:val="nil"/>
              <w:bottom w:val="single" w:sz="4" w:space="0" w:color="000000"/>
              <w:right w:val="single" w:sz="4" w:space="0" w:color="000000"/>
            </w:tcBorders>
            <w:shd w:val="clear" w:color="auto" w:fill="auto"/>
            <w:vAlign w:val="center"/>
            <w:hideMark/>
          </w:tcPr>
          <w:p w14:paraId="45C3E0A2" w14:textId="77777777" w:rsidR="0068376F" w:rsidRPr="00676199" w:rsidRDefault="00D95115"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w:t>
            </w:r>
            <w:r w:rsidR="0068376F" w:rsidRPr="00676199">
              <w:rPr>
                <w:rFonts w:ascii="Calibri" w:hAnsi="Calibri"/>
                <w:color w:val="000000"/>
                <w:sz w:val="14"/>
                <w:szCs w:val="14"/>
                <w:lang w:val="es-CO" w:eastAsia="es-CO"/>
              </w:rPr>
              <w:t xml:space="preserve"> de Deuda - Financiamiento Externo- </w:t>
            </w:r>
            <w:r w:rsidRPr="00676199">
              <w:rPr>
                <w:rFonts w:ascii="Calibri" w:hAnsi="Calibri"/>
                <w:color w:val="000000"/>
                <w:sz w:val="14"/>
                <w:szCs w:val="14"/>
                <w:lang w:val="es-CO" w:eastAsia="es-CO"/>
              </w:rPr>
              <w:t>Títulos</w:t>
            </w:r>
            <w:r w:rsidR="0068376F" w:rsidRPr="00676199">
              <w:rPr>
                <w:rFonts w:ascii="Calibri" w:hAnsi="Calibri"/>
                <w:color w:val="000000"/>
                <w:sz w:val="14"/>
                <w:szCs w:val="14"/>
                <w:lang w:val="es-CO" w:eastAsia="es-CO"/>
              </w:rPr>
              <w:t xml:space="preserve"> Tes-Capital</w:t>
            </w:r>
          </w:p>
        </w:tc>
      </w:tr>
      <w:tr w:rsidR="00731CF5" w:rsidRPr="00676199" w14:paraId="103AA3B2"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C61058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55</w:t>
            </w:r>
          </w:p>
        </w:tc>
        <w:tc>
          <w:tcPr>
            <w:tcW w:w="1860" w:type="pct"/>
            <w:tcBorders>
              <w:top w:val="nil"/>
              <w:left w:val="nil"/>
              <w:bottom w:val="single" w:sz="4" w:space="0" w:color="000000"/>
              <w:right w:val="single" w:sz="4" w:space="0" w:color="000000"/>
            </w:tcBorders>
            <w:shd w:val="clear" w:color="auto" w:fill="auto"/>
            <w:vAlign w:val="center"/>
            <w:hideMark/>
          </w:tcPr>
          <w:p w14:paraId="311ED65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Sentencias</w:t>
            </w:r>
          </w:p>
        </w:tc>
        <w:tc>
          <w:tcPr>
            <w:tcW w:w="232" w:type="pct"/>
            <w:tcBorders>
              <w:top w:val="nil"/>
              <w:left w:val="nil"/>
              <w:bottom w:val="single" w:sz="4" w:space="0" w:color="000000"/>
              <w:right w:val="single" w:sz="4" w:space="0" w:color="000000"/>
            </w:tcBorders>
            <w:shd w:val="clear" w:color="auto" w:fill="auto"/>
            <w:vAlign w:val="center"/>
            <w:hideMark/>
          </w:tcPr>
          <w:p w14:paraId="071121C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136</w:t>
            </w:r>
          </w:p>
        </w:tc>
        <w:tc>
          <w:tcPr>
            <w:tcW w:w="2636" w:type="pct"/>
            <w:tcBorders>
              <w:top w:val="nil"/>
              <w:left w:val="nil"/>
              <w:bottom w:val="single" w:sz="4" w:space="0" w:color="000000"/>
              <w:right w:val="single" w:sz="4" w:space="0" w:color="000000"/>
            </w:tcBorders>
            <w:shd w:val="clear" w:color="auto" w:fill="auto"/>
            <w:vAlign w:val="center"/>
            <w:hideMark/>
          </w:tcPr>
          <w:p w14:paraId="3749407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Externo-</w:t>
            </w:r>
            <w:r w:rsidR="00D95115" w:rsidRPr="00676199">
              <w:rPr>
                <w:rFonts w:ascii="Calibri" w:hAnsi="Calibri"/>
                <w:color w:val="000000"/>
                <w:sz w:val="14"/>
                <w:szCs w:val="14"/>
                <w:lang w:val="es-CO" w:eastAsia="es-CO"/>
              </w:rPr>
              <w:t>Títulos</w:t>
            </w:r>
            <w:r w:rsidR="00D95115">
              <w:rPr>
                <w:rFonts w:ascii="Calibri" w:hAnsi="Calibri"/>
                <w:color w:val="000000"/>
                <w:sz w:val="14"/>
                <w:szCs w:val="14"/>
                <w:lang w:val="es-CO" w:eastAsia="es-CO"/>
              </w:rPr>
              <w:t xml:space="preserve"> </w:t>
            </w:r>
            <w:r w:rsidRPr="00676199">
              <w:rPr>
                <w:rFonts w:ascii="Calibri" w:hAnsi="Calibri"/>
                <w:color w:val="000000"/>
                <w:sz w:val="14"/>
                <w:szCs w:val="14"/>
                <w:lang w:val="es-CO" w:eastAsia="es-CO"/>
              </w:rPr>
              <w:t>Tes-Costo Efectivo-Intereses</w:t>
            </w:r>
          </w:p>
        </w:tc>
      </w:tr>
      <w:tr w:rsidR="00731CF5" w:rsidRPr="00676199" w14:paraId="39E3548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4A6995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56</w:t>
            </w:r>
          </w:p>
        </w:tc>
        <w:tc>
          <w:tcPr>
            <w:tcW w:w="1860" w:type="pct"/>
            <w:tcBorders>
              <w:top w:val="nil"/>
              <w:left w:val="nil"/>
              <w:bottom w:val="single" w:sz="4" w:space="0" w:color="000000"/>
              <w:right w:val="single" w:sz="4" w:space="0" w:color="000000"/>
            </w:tcBorders>
            <w:shd w:val="clear" w:color="auto" w:fill="auto"/>
            <w:vAlign w:val="center"/>
            <w:hideMark/>
          </w:tcPr>
          <w:p w14:paraId="76546DF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Laudos Arbitrales</w:t>
            </w:r>
          </w:p>
        </w:tc>
        <w:tc>
          <w:tcPr>
            <w:tcW w:w="232" w:type="pct"/>
            <w:tcBorders>
              <w:top w:val="nil"/>
              <w:left w:val="nil"/>
              <w:bottom w:val="single" w:sz="4" w:space="0" w:color="000000"/>
              <w:right w:val="single" w:sz="4" w:space="0" w:color="000000"/>
            </w:tcBorders>
            <w:shd w:val="clear" w:color="auto" w:fill="auto"/>
            <w:vAlign w:val="center"/>
            <w:hideMark/>
          </w:tcPr>
          <w:p w14:paraId="200CCAF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137</w:t>
            </w:r>
          </w:p>
        </w:tc>
        <w:tc>
          <w:tcPr>
            <w:tcW w:w="2636" w:type="pct"/>
            <w:tcBorders>
              <w:top w:val="nil"/>
              <w:left w:val="nil"/>
              <w:bottom w:val="single" w:sz="4" w:space="0" w:color="000000"/>
              <w:right w:val="single" w:sz="4" w:space="0" w:color="000000"/>
            </w:tcBorders>
            <w:shd w:val="clear" w:color="auto" w:fill="auto"/>
            <w:vAlign w:val="center"/>
            <w:hideMark/>
          </w:tcPr>
          <w:p w14:paraId="25D36556" w14:textId="77777777" w:rsidR="0068376F" w:rsidRPr="00676199" w:rsidRDefault="0068376F" w:rsidP="00D9511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Externo-</w:t>
            </w:r>
            <w:r w:rsidR="00D95115" w:rsidRPr="00676199">
              <w:rPr>
                <w:rFonts w:ascii="Calibri" w:hAnsi="Calibri"/>
                <w:color w:val="000000"/>
                <w:sz w:val="14"/>
                <w:szCs w:val="14"/>
                <w:lang w:val="es-CO" w:eastAsia="es-CO"/>
              </w:rPr>
              <w:t>Títulos</w:t>
            </w:r>
            <w:r w:rsidR="00D95115">
              <w:rPr>
                <w:rFonts w:ascii="Calibri" w:hAnsi="Calibri"/>
                <w:color w:val="000000"/>
                <w:sz w:val="14"/>
                <w:szCs w:val="14"/>
                <w:lang w:val="es-CO" w:eastAsia="es-CO"/>
              </w:rPr>
              <w:t xml:space="preserve"> </w:t>
            </w:r>
            <w:r w:rsidRPr="00676199">
              <w:rPr>
                <w:rFonts w:ascii="Calibri" w:hAnsi="Calibri"/>
                <w:color w:val="000000"/>
                <w:sz w:val="14"/>
                <w:szCs w:val="14"/>
                <w:lang w:val="es-CO" w:eastAsia="es-CO"/>
              </w:rPr>
              <w:t>Tes</w:t>
            </w:r>
            <w:r w:rsidR="00D95115">
              <w:rPr>
                <w:rFonts w:ascii="Calibri" w:hAnsi="Calibri"/>
                <w:color w:val="000000"/>
                <w:sz w:val="14"/>
                <w:szCs w:val="14"/>
                <w:lang w:val="es-CO" w:eastAsia="es-CO"/>
              </w:rPr>
              <w:t xml:space="preserve"> </w:t>
            </w:r>
            <w:r w:rsidRPr="00676199">
              <w:rPr>
                <w:rFonts w:ascii="Calibri" w:hAnsi="Calibri"/>
                <w:color w:val="000000"/>
                <w:sz w:val="14"/>
                <w:szCs w:val="14"/>
                <w:lang w:val="es-CO" w:eastAsia="es-CO"/>
              </w:rPr>
              <w:t>-</w:t>
            </w:r>
            <w:r w:rsidR="00D95115">
              <w:rPr>
                <w:rFonts w:ascii="Calibri" w:hAnsi="Calibri"/>
                <w:color w:val="000000"/>
                <w:sz w:val="14"/>
                <w:szCs w:val="14"/>
                <w:lang w:val="es-CO" w:eastAsia="es-CO"/>
              </w:rPr>
              <w:t xml:space="preserve"> </w:t>
            </w:r>
            <w:r w:rsidRPr="00676199">
              <w:rPr>
                <w:rFonts w:ascii="Calibri" w:hAnsi="Calibri"/>
                <w:color w:val="000000"/>
                <w:sz w:val="14"/>
                <w:szCs w:val="14"/>
                <w:lang w:val="es-CO" w:eastAsia="es-CO"/>
              </w:rPr>
              <w:t>Costo efectivo</w:t>
            </w:r>
            <w:r w:rsidR="00D95115">
              <w:rPr>
                <w:rFonts w:ascii="Calibri" w:hAnsi="Calibri"/>
                <w:color w:val="000000"/>
                <w:sz w:val="14"/>
                <w:szCs w:val="14"/>
                <w:lang w:val="es-CO" w:eastAsia="es-CO"/>
              </w:rPr>
              <w:t xml:space="preserve"> </w:t>
            </w:r>
            <w:r w:rsidRPr="00676199">
              <w:rPr>
                <w:rFonts w:ascii="Calibri" w:hAnsi="Calibri"/>
                <w:color w:val="000000"/>
                <w:sz w:val="14"/>
                <w:szCs w:val="14"/>
                <w:lang w:val="es-CO" w:eastAsia="es-CO"/>
              </w:rPr>
              <w:t>- Amortización de los Costos de Transacción</w:t>
            </w:r>
          </w:p>
        </w:tc>
      </w:tr>
      <w:tr w:rsidR="00731CF5" w:rsidRPr="00676199" w14:paraId="30CF2B80"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12EB96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57</w:t>
            </w:r>
          </w:p>
        </w:tc>
        <w:tc>
          <w:tcPr>
            <w:tcW w:w="1860" w:type="pct"/>
            <w:tcBorders>
              <w:top w:val="nil"/>
              <w:left w:val="nil"/>
              <w:bottom w:val="single" w:sz="4" w:space="0" w:color="000000"/>
              <w:right w:val="single" w:sz="4" w:space="0" w:color="000000"/>
            </w:tcBorders>
            <w:shd w:val="clear" w:color="auto" w:fill="auto"/>
            <w:vAlign w:val="center"/>
            <w:hideMark/>
          </w:tcPr>
          <w:p w14:paraId="588B6FA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Conciliaciones Extrajudiciales</w:t>
            </w:r>
          </w:p>
        </w:tc>
        <w:tc>
          <w:tcPr>
            <w:tcW w:w="232" w:type="pct"/>
            <w:tcBorders>
              <w:top w:val="nil"/>
              <w:left w:val="nil"/>
              <w:bottom w:val="single" w:sz="4" w:space="0" w:color="000000"/>
              <w:right w:val="single" w:sz="4" w:space="0" w:color="000000"/>
            </w:tcBorders>
            <w:shd w:val="clear" w:color="auto" w:fill="auto"/>
            <w:vAlign w:val="center"/>
            <w:hideMark/>
          </w:tcPr>
          <w:p w14:paraId="7846F4D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138</w:t>
            </w:r>
          </w:p>
        </w:tc>
        <w:tc>
          <w:tcPr>
            <w:tcW w:w="2636" w:type="pct"/>
            <w:tcBorders>
              <w:top w:val="nil"/>
              <w:left w:val="nil"/>
              <w:bottom w:val="single" w:sz="4" w:space="0" w:color="000000"/>
              <w:right w:val="single" w:sz="4" w:space="0" w:color="000000"/>
            </w:tcBorders>
            <w:shd w:val="clear" w:color="auto" w:fill="auto"/>
            <w:vAlign w:val="center"/>
            <w:hideMark/>
          </w:tcPr>
          <w:p w14:paraId="552CC00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Externo-Otros bonos y Títulos Emitidos-Capital</w:t>
            </w:r>
          </w:p>
        </w:tc>
      </w:tr>
      <w:tr w:rsidR="00731CF5" w:rsidRPr="00676199" w14:paraId="3548572B"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6C4A35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lastRenderedPageBreak/>
              <w:t>58</w:t>
            </w:r>
          </w:p>
        </w:tc>
        <w:tc>
          <w:tcPr>
            <w:tcW w:w="1860" w:type="pct"/>
            <w:tcBorders>
              <w:top w:val="nil"/>
              <w:left w:val="nil"/>
              <w:bottom w:val="single" w:sz="4" w:space="0" w:color="000000"/>
              <w:right w:val="single" w:sz="4" w:space="0" w:color="000000"/>
            </w:tcBorders>
            <w:shd w:val="clear" w:color="auto" w:fill="auto"/>
            <w:vAlign w:val="center"/>
            <w:hideMark/>
          </w:tcPr>
          <w:p w14:paraId="10BC2D2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Fondos de Reserva- Cuotas </w:t>
            </w:r>
            <w:proofErr w:type="spellStart"/>
            <w:r w:rsidRPr="00676199">
              <w:rPr>
                <w:rFonts w:ascii="Calibri" w:hAnsi="Calibri"/>
                <w:color w:val="000000"/>
                <w:sz w:val="14"/>
                <w:szCs w:val="14"/>
                <w:lang w:val="es-CO" w:eastAsia="es-CO"/>
              </w:rPr>
              <w:t>Part</w:t>
            </w:r>
            <w:proofErr w:type="spellEnd"/>
          </w:p>
        </w:tc>
        <w:tc>
          <w:tcPr>
            <w:tcW w:w="232" w:type="pct"/>
            <w:tcBorders>
              <w:top w:val="nil"/>
              <w:left w:val="nil"/>
              <w:bottom w:val="single" w:sz="4" w:space="0" w:color="000000"/>
              <w:right w:val="single" w:sz="4" w:space="0" w:color="000000"/>
            </w:tcBorders>
            <w:shd w:val="clear" w:color="auto" w:fill="auto"/>
            <w:vAlign w:val="center"/>
            <w:hideMark/>
          </w:tcPr>
          <w:p w14:paraId="1E1C3EF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139</w:t>
            </w:r>
          </w:p>
        </w:tc>
        <w:tc>
          <w:tcPr>
            <w:tcW w:w="2636" w:type="pct"/>
            <w:tcBorders>
              <w:top w:val="nil"/>
              <w:left w:val="nil"/>
              <w:bottom w:val="single" w:sz="4" w:space="0" w:color="000000"/>
              <w:right w:val="single" w:sz="4" w:space="0" w:color="000000"/>
            </w:tcBorders>
            <w:shd w:val="clear" w:color="auto" w:fill="auto"/>
            <w:vAlign w:val="center"/>
            <w:hideMark/>
          </w:tcPr>
          <w:p w14:paraId="3CA8DD8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Externo-Otros bonos y Títulos Emitidos-Costo efectivo-Intereses</w:t>
            </w:r>
          </w:p>
        </w:tc>
      </w:tr>
      <w:tr w:rsidR="00731CF5" w:rsidRPr="00676199" w14:paraId="33FE3CE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344EA8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58</w:t>
            </w:r>
          </w:p>
        </w:tc>
        <w:tc>
          <w:tcPr>
            <w:tcW w:w="1860" w:type="pct"/>
            <w:tcBorders>
              <w:top w:val="nil"/>
              <w:left w:val="nil"/>
              <w:bottom w:val="single" w:sz="4" w:space="0" w:color="000000"/>
              <w:right w:val="single" w:sz="4" w:space="0" w:color="000000"/>
            </w:tcBorders>
            <w:shd w:val="clear" w:color="auto" w:fill="auto"/>
            <w:vAlign w:val="center"/>
            <w:hideMark/>
          </w:tcPr>
          <w:p w14:paraId="75E5478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Fondos de Reserva-Cuotas Partes de Bonos Pensionales</w:t>
            </w:r>
          </w:p>
        </w:tc>
        <w:tc>
          <w:tcPr>
            <w:tcW w:w="232" w:type="pct"/>
            <w:tcBorders>
              <w:top w:val="nil"/>
              <w:left w:val="nil"/>
              <w:bottom w:val="single" w:sz="4" w:space="0" w:color="000000"/>
              <w:right w:val="single" w:sz="4" w:space="0" w:color="000000"/>
            </w:tcBorders>
            <w:shd w:val="clear" w:color="auto" w:fill="auto"/>
            <w:vAlign w:val="center"/>
            <w:hideMark/>
          </w:tcPr>
          <w:p w14:paraId="77F6F39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140</w:t>
            </w:r>
          </w:p>
        </w:tc>
        <w:tc>
          <w:tcPr>
            <w:tcW w:w="2636" w:type="pct"/>
            <w:tcBorders>
              <w:top w:val="nil"/>
              <w:left w:val="nil"/>
              <w:bottom w:val="single" w:sz="4" w:space="0" w:color="000000"/>
              <w:right w:val="single" w:sz="4" w:space="0" w:color="000000"/>
            </w:tcBorders>
            <w:shd w:val="clear" w:color="auto" w:fill="auto"/>
            <w:vAlign w:val="center"/>
            <w:hideMark/>
          </w:tcPr>
          <w:p w14:paraId="57ECD6E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Títulos de Deuda - Financiamiento Externo-Otros bonos y Títulos emitidos- Costo Efectivo-Amortización de los Costos de Transacción</w:t>
            </w:r>
          </w:p>
        </w:tc>
      </w:tr>
      <w:tr w:rsidR="00731CF5" w:rsidRPr="00676199" w14:paraId="7903110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B735EF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59</w:t>
            </w:r>
          </w:p>
        </w:tc>
        <w:tc>
          <w:tcPr>
            <w:tcW w:w="1860" w:type="pct"/>
            <w:tcBorders>
              <w:top w:val="nil"/>
              <w:left w:val="nil"/>
              <w:bottom w:val="single" w:sz="4" w:space="0" w:color="000000"/>
              <w:right w:val="single" w:sz="4" w:space="0" w:color="000000"/>
            </w:tcBorders>
            <w:shd w:val="clear" w:color="auto" w:fill="auto"/>
            <w:vAlign w:val="center"/>
            <w:hideMark/>
          </w:tcPr>
          <w:p w14:paraId="540EAC3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Fondos de Reserva- Auxilios Funerarios</w:t>
            </w:r>
          </w:p>
        </w:tc>
        <w:tc>
          <w:tcPr>
            <w:tcW w:w="232" w:type="pct"/>
            <w:tcBorders>
              <w:top w:val="nil"/>
              <w:left w:val="nil"/>
              <w:bottom w:val="single" w:sz="4" w:space="0" w:color="000000"/>
              <w:right w:val="single" w:sz="4" w:space="0" w:color="000000"/>
            </w:tcBorders>
            <w:shd w:val="clear" w:color="auto" w:fill="auto"/>
            <w:vAlign w:val="center"/>
            <w:hideMark/>
          </w:tcPr>
          <w:p w14:paraId="51F1208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141</w:t>
            </w:r>
          </w:p>
        </w:tc>
        <w:tc>
          <w:tcPr>
            <w:tcW w:w="2636" w:type="pct"/>
            <w:tcBorders>
              <w:top w:val="nil"/>
              <w:left w:val="nil"/>
              <w:bottom w:val="single" w:sz="4" w:space="0" w:color="000000"/>
              <w:right w:val="single" w:sz="4" w:space="0" w:color="000000"/>
            </w:tcBorders>
            <w:shd w:val="clear" w:color="auto" w:fill="auto"/>
            <w:vAlign w:val="center"/>
            <w:hideMark/>
          </w:tcPr>
          <w:p w14:paraId="2A78D7F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Incapacidades</w:t>
            </w:r>
          </w:p>
        </w:tc>
      </w:tr>
      <w:tr w:rsidR="00731CF5" w:rsidRPr="00676199" w14:paraId="6E6EDB2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5B106A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60</w:t>
            </w:r>
          </w:p>
        </w:tc>
        <w:tc>
          <w:tcPr>
            <w:tcW w:w="1860" w:type="pct"/>
            <w:tcBorders>
              <w:top w:val="nil"/>
              <w:left w:val="nil"/>
              <w:bottom w:val="single" w:sz="4" w:space="0" w:color="000000"/>
              <w:right w:val="single" w:sz="4" w:space="0" w:color="000000"/>
            </w:tcBorders>
            <w:shd w:val="clear" w:color="auto" w:fill="auto"/>
            <w:vAlign w:val="center"/>
            <w:hideMark/>
          </w:tcPr>
          <w:p w14:paraId="7358BE5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Fondos de Reserva-Pensiones y Retroactivos pensionales</w:t>
            </w:r>
          </w:p>
        </w:tc>
        <w:tc>
          <w:tcPr>
            <w:tcW w:w="232" w:type="pct"/>
            <w:tcBorders>
              <w:top w:val="nil"/>
              <w:left w:val="nil"/>
              <w:bottom w:val="single" w:sz="4" w:space="0" w:color="000000"/>
              <w:right w:val="single" w:sz="4" w:space="0" w:color="000000"/>
            </w:tcBorders>
            <w:shd w:val="clear" w:color="auto" w:fill="auto"/>
            <w:vAlign w:val="center"/>
            <w:hideMark/>
          </w:tcPr>
          <w:p w14:paraId="2E8AAD4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142</w:t>
            </w:r>
          </w:p>
        </w:tc>
        <w:tc>
          <w:tcPr>
            <w:tcW w:w="2636" w:type="pct"/>
            <w:tcBorders>
              <w:top w:val="nil"/>
              <w:left w:val="nil"/>
              <w:bottom w:val="single" w:sz="4" w:space="0" w:color="000000"/>
              <w:right w:val="single" w:sz="4" w:space="0" w:color="000000"/>
            </w:tcBorders>
            <w:shd w:val="clear" w:color="auto" w:fill="auto"/>
            <w:vAlign w:val="center"/>
            <w:hideMark/>
          </w:tcPr>
          <w:p w14:paraId="192653F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Posempleo-Auxilio Funerario</w:t>
            </w:r>
          </w:p>
        </w:tc>
      </w:tr>
      <w:tr w:rsidR="00731CF5" w:rsidRPr="00676199" w14:paraId="158068C9"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DDB480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61</w:t>
            </w:r>
          </w:p>
        </w:tc>
        <w:tc>
          <w:tcPr>
            <w:tcW w:w="1860" w:type="pct"/>
            <w:tcBorders>
              <w:top w:val="nil"/>
              <w:left w:val="nil"/>
              <w:bottom w:val="single" w:sz="4" w:space="0" w:color="000000"/>
              <w:right w:val="single" w:sz="4" w:space="0" w:color="000000"/>
            </w:tcBorders>
            <w:shd w:val="clear" w:color="auto" w:fill="auto"/>
            <w:vAlign w:val="center"/>
            <w:hideMark/>
          </w:tcPr>
          <w:p w14:paraId="5066358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Fondos de Reserva-Cuotas partes de pensiones</w:t>
            </w:r>
          </w:p>
        </w:tc>
        <w:tc>
          <w:tcPr>
            <w:tcW w:w="232" w:type="pct"/>
            <w:tcBorders>
              <w:top w:val="nil"/>
              <w:left w:val="nil"/>
              <w:bottom w:val="single" w:sz="4" w:space="0" w:color="000000"/>
              <w:right w:val="single" w:sz="4" w:space="0" w:color="000000"/>
            </w:tcBorders>
            <w:shd w:val="clear" w:color="auto" w:fill="auto"/>
            <w:vAlign w:val="center"/>
            <w:hideMark/>
          </w:tcPr>
          <w:p w14:paraId="7C20CD8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143</w:t>
            </w:r>
          </w:p>
        </w:tc>
        <w:tc>
          <w:tcPr>
            <w:tcW w:w="2636" w:type="pct"/>
            <w:tcBorders>
              <w:top w:val="nil"/>
              <w:left w:val="nil"/>
              <w:bottom w:val="single" w:sz="4" w:space="0" w:color="000000"/>
              <w:right w:val="single" w:sz="4" w:space="0" w:color="000000"/>
            </w:tcBorders>
            <w:shd w:val="clear" w:color="auto" w:fill="auto"/>
            <w:vAlign w:val="center"/>
            <w:hideMark/>
          </w:tcPr>
          <w:p w14:paraId="117A223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a los Empleados CP-Incentivos al Ahorro</w:t>
            </w:r>
          </w:p>
        </w:tc>
      </w:tr>
      <w:tr w:rsidR="00731CF5" w:rsidRPr="00676199" w14:paraId="1D8E61F1"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A40ACB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62</w:t>
            </w:r>
          </w:p>
        </w:tc>
        <w:tc>
          <w:tcPr>
            <w:tcW w:w="1860" w:type="pct"/>
            <w:tcBorders>
              <w:top w:val="nil"/>
              <w:left w:val="nil"/>
              <w:bottom w:val="single" w:sz="4" w:space="0" w:color="000000"/>
              <w:right w:val="single" w:sz="4" w:space="0" w:color="000000"/>
            </w:tcBorders>
            <w:shd w:val="clear" w:color="auto" w:fill="auto"/>
            <w:vAlign w:val="center"/>
            <w:hideMark/>
          </w:tcPr>
          <w:p w14:paraId="1E2E4C6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Suscripción de Acciones o Participaciones</w:t>
            </w:r>
          </w:p>
        </w:tc>
        <w:tc>
          <w:tcPr>
            <w:tcW w:w="232" w:type="pct"/>
            <w:tcBorders>
              <w:top w:val="nil"/>
              <w:left w:val="nil"/>
              <w:bottom w:val="single" w:sz="4" w:space="0" w:color="000000"/>
              <w:right w:val="single" w:sz="4" w:space="0" w:color="000000"/>
            </w:tcBorders>
            <w:shd w:val="clear" w:color="auto" w:fill="auto"/>
            <w:vAlign w:val="center"/>
            <w:hideMark/>
          </w:tcPr>
          <w:p w14:paraId="7135211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144</w:t>
            </w:r>
          </w:p>
        </w:tc>
        <w:tc>
          <w:tcPr>
            <w:tcW w:w="2636" w:type="pct"/>
            <w:tcBorders>
              <w:top w:val="nil"/>
              <w:left w:val="nil"/>
              <w:bottom w:val="single" w:sz="4" w:space="0" w:color="000000"/>
              <w:right w:val="single" w:sz="4" w:space="0" w:color="000000"/>
            </w:tcBorders>
            <w:shd w:val="clear" w:color="auto" w:fill="auto"/>
            <w:vAlign w:val="center"/>
            <w:hideMark/>
          </w:tcPr>
          <w:p w14:paraId="1E43793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Recursos a Favor de Terceros</w:t>
            </w:r>
          </w:p>
        </w:tc>
      </w:tr>
      <w:tr w:rsidR="00731CF5" w:rsidRPr="00676199" w14:paraId="48163AF9"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A50130B"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63</w:t>
            </w:r>
          </w:p>
        </w:tc>
        <w:tc>
          <w:tcPr>
            <w:tcW w:w="1860" w:type="pct"/>
            <w:tcBorders>
              <w:top w:val="nil"/>
              <w:left w:val="nil"/>
              <w:bottom w:val="single" w:sz="4" w:space="0" w:color="000000"/>
              <w:right w:val="single" w:sz="4" w:space="0" w:color="000000"/>
            </w:tcBorders>
            <w:shd w:val="clear" w:color="auto" w:fill="auto"/>
            <w:vAlign w:val="center"/>
            <w:hideMark/>
          </w:tcPr>
          <w:p w14:paraId="6CF78B8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Suscripciones</w:t>
            </w:r>
          </w:p>
        </w:tc>
        <w:tc>
          <w:tcPr>
            <w:tcW w:w="232" w:type="pct"/>
            <w:tcBorders>
              <w:top w:val="nil"/>
              <w:left w:val="nil"/>
              <w:bottom w:val="single" w:sz="4" w:space="0" w:color="000000"/>
              <w:right w:val="single" w:sz="4" w:space="0" w:color="000000"/>
            </w:tcBorders>
            <w:shd w:val="clear" w:color="auto" w:fill="auto"/>
            <w:vAlign w:val="center"/>
            <w:hideMark/>
          </w:tcPr>
          <w:p w14:paraId="6FB1721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145</w:t>
            </w:r>
          </w:p>
        </w:tc>
        <w:tc>
          <w:tcPr>
            <w:tcW w:w="2636" w:type="pct"/>
            <w:tcBorders>
              <w:top w:val="nil"/>
              <w:left w:val="nil"/>
              <w:bottom w:val="single" w:sz="4" w:space="0" w:color="000000"/>
              <w:right w:val="single" w:sz="4" w:space="0" w:color="000000"/>
            </w:tcBorders>
            <w:shd w:val="clear" w:color="auto" w:fill="auto"/>
            <w:vAlign w:val="center"/>
            <w:hideMark/>
          </w:tcPr>
          <w:p w14:paraId="0573D74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Bonificación por productividad a los reclusos</w:t>
            </w:r>
          </w:p>
        </w:tc>
      </w:tr>
      <w:tr w:rsidR="00731CF5" w:rsidRPr="00676199" w14:paraId="0F2789E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7E1322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64</w:t>
            </w:r>
          </w:p>
        </w:tc>
        <w:tc>
          <w:tcPr>
            <w:tcW w:w="1860" w:type="pct"/>
            <w:tcBorders>
              <w:top w:val="nil"/>
              <w:left w:val="nil"/>
              <w:bottom w:val="single" w:sz="4" w:space="0" w:color="000000"/>
              <w:right w:val="single" w:sz="4" w:space="0" w:color="000000"/>
            </w:tcBorders>
            <w:shd w:val="clear" w:color="auto" w:fill="auto"/>
            <w:vAlign w:val="center"/>
            <w:hideMark/>
          </w:tcPr>
          <w:p w14:paraId="354EF2B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Viáticos y Gastos de Viaje</w:t>
            </w:r>
          </w:p>
        </w:tc>
        <w:tc>
          <w:tcPr>
            <w:tcW w:w="232" w:type="pct"/>
            <w:tcBorders>
              <w:top w:val="nil"/>
              <w:left w:val="nil"/>
              <w:bottom w:val="single" w:sz="4" w:space="0" w:color="000000"/>
              <w:right w:val="single" w:sz="4" w:space="0" w:color="000000"/>
            </w:tcBorders>
            <w:shd w:val="clear" w:color="auto" w:fill="auto"/>
            <w:vAlign w:val="center"/>
            <w:hideMark/>
          </w:tcPr>
          <w:p w14:paraId="30C3294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146</w:t>
            </w:r>
          </w:p>
        </w:tc>
        <w:tc>
          <w:tcPr>
            <w:tcW w:w="2636" w:type="pct"/>
            <w:tcBorders>
              <w:top w:val="nil"/>
              <w:left w:val="nil"/>
              <w:bottom w:val="single" w:sz="4" w:space="0" w:color="000000"/>
              <w:right w:val="single" w:sz="4" w:space="0" w:color="000000"/>
            </w:tcBorders>
            <w:shd w:val="clear" w:color="auto" w:fill="auto"/>
            <w:vAlign w:val="center"/>
            <w:hideMark/>
          </w:tcPr>
          <w:p w14:paraId="4A147DB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Prestamos de vivienda</w:t>
            </w:r>
          </w:p>
        </w:tc>
      </w:tr>
      <w:tr w:rsidR="00731CF5" w:rsidRPr="00676199" w14:paraId="42D0C542"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AE34EF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65</w:t>
            </w:r>
          </w:p>
        </w:tc>
        <w:tc>
          <w:tcPr>
            <w:tcW w:w="1860" w:type="pct"/>
            <w:tcBorders>
              <w:top w:val="nil"/>
              <w:left w:val="nil"/>
              <w:bottom w:val="single" w:sz="4" w:space="0" w:color="000000"/>
              <w:right w:val="single" w:sz="4" w:space="0" w:color="000000"/>
            </w:tcBorders>
            <w:shd w:val="clear" w:color="auto" w:fill="auto"/>
            <w:vAlign w:val="center"/>
            <w:hideMark/>
          </w:tcPr>
          <w:p w14:paraId="7D5A56D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Seguros</w:t>
            </w:r>
          </w:p>
        </w:tc>
        <w:tc>
          <w:tcPr>
            <w:tcW w:w="232" w:type="pct"/>
            <w:tcBorders>
              <w:top w:val="nil"/>
              <w:left w:val="nil"/>
              <w:bottom w:val="single" w:sz="4" w:space="0" w:color="000000"/>
              <w:right w:val="single" w:sz="4" w:space="0" w:color="000000"/>
            </w:tcBorders>
            <w:shd w:val="clear" w:color="auto" w:fill="auto"/>
            <w:vAlign w:val="center"/>
            <w:hideMark/>
          </w:tcPr>
          <w:p w14:paraId="0DC1632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147</w:t>
            </w:r>
          </w:p>
        </w:tc>
        <w:tc>
          <w:tcPr>
            <w:tcW w:w="2636" w:type="pct"/>
            <w:tcBorders>
              <w:top w:val="nil"/>
              <w:left w:val="nil"/>
              <w:bottom w:val="single" w:sz="4" w:space="0" w:color="000000"/>
              <w:right w:val="single" w:sz="4" w:space="0" w:color="000000"/>
            </w:tcBorders>
            <w:shd w:val="clear" w:color="auto" w:fill="auto"/>
            <w:vAlign w:val="center"/>
            <w:hideMark/>
          </w:tcPr>
          <w:p w14:paraId="4F06615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Contratos de capitación-Contributivo</w:t>
            </w:r>
          </w:p>
        </w:tc>
      </w:tr>
      <w:tr w:rsidR="00731CF5" w:rsidRPr="00676199" w14:paraId="1E22A58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E2C447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66</w:t>
            </w:r>
          </w:p>
        </w:tc>
        <w:tc>
          <w:tcPr>
            <w:tcW w:w="1860" w:type="pct"/>
            <w:tcBorders>
              <w:top w:val="nil"/>
              <w:left w:val="nil"/>
              <w:bottom w:val="single" w:sz="4" w:space="0" w:color="000000"/>
              <w:right w:val="single" w:sz="4" w:space="0" w:color="000000"/>
            </w:tcBorders>
            <w:shd w:val="clear" w:color="auto" w:fill="auto"/>
            <w:vAlign w:val="center"/>
            <w:hideMark/>
          </w:tcPr>
          <w:p w14:paraId="634BCB7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Gastos Legales</w:t>
            </w:r>
          </w:p>
        </w:tc>
        <w:tc>
          <w:tcPr>
            <w:tcW w:w="232" w:type="pct"/>
            <w:tcBorders>
              <w:top w:val="nil"/>
              <w:left w:val="nil"/>
              <w:bottom w:val="single" w:sz="4" w:space="0" w:color="000000"/>
              <w:right w:val="single" w:sz="4" w:space="0" w:color="000000"/>
            </w:tcBorders>
            <w:shd w:val="clear" w:color="auto" w:fill="auto"/>
            <w:vAlign w:val="center"/>
            <w:hideMark/>
          </w:tcPr>
          <w:p w14:paraId="6DC8A70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148</w:t>
            </w:r>
          </w:p>
        </w:tc>
        <w:tc>
          <w:tcPr>
            <w:tcW w:w="2636" w:type="pct"/>
            <w:tcBorders>
              <w:top w:val="nil"/>
              <w:left w:val="nil"/>
              <w:bottom w:val="single" w:sz="4" w:space="0" w:color="000000"/>
              <w:right w:val="single" w:sz="4" w:space="0" w:color="000000"/>
            </w:tcBorders>
            <w:shd w:val="clear" w:color="auto" w:fill="auto"/>
            <w:vAlign w:val="center"/>
            <w:hideMark/>
          </w:tcPr>
          <w:p w14:paraId="45BDD1B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Contratos de capitación-Complementario</w:t>
            </w:r>
          </w:p>
        </w:tc>
      </w:tr>
      <w:tr w:rsidR="00731CF5" w:rsidRPr="00676199" w14:paraId="3D9834EF"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236172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67</w:t>
            </w:r>
          </w:p>
        </w:tc>
        <w:tc>
          <w:tcPr>
            <w:tcW w:w="1860" w:type="pct"/>
            <w:tcBorders>
              <w:top w:val="nil"/>
              <w:left w:val="nil"/>
              <w:bottom w:val="single" w:sz="4" w:space="0" w:color="000000"/>
              <w:right w:val="single" w:sz="4" w:space="0" w:color="000000"/>
            </w:tcBorders>
            <w:shd w:val="clear" w:color="auto" w:fill="auto"/>
            <w:vAlign w:val="center"/>
            <w:hideMark/>
          </w:tcPr>
          <w:p w14:paraId="6022C91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Multas y Sanciones</w:t>
            </w:r>
          </w:p>
        </w:tc>
        <w:tc>
          <w:tcPr>
            <w:tcW w:w="232" w:type="pct"/>
            <w:tcBorders>
              <w:top w:val="nil"/>
              <w:left w:val="nil"/>
              <w:bottom w:val="single" w:sz="4" w:space="0" w:color="000000"/>
              <w:right w:val="single" w:sz="4" w:space="0" w:color="000000"/>
            </w:tcBorders>
            <w:shd w:val="clear" w:color="auto" w:fill="auto"/>
            <w:vAlign w:val="center"/>
            <w:hideMark/>
          </w:tcPr>
          <w:p w14:paraId="318A8C9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149</w:t>
            </w:r>
          </w:p>
        </w:tc>
        <w:tc>
          <w:tcPr>
            <w:tcW w:w="2636" w:type="pct"/>
            <w:tcBorders>
              <w:top w:val="nil"/>
              <w:left w:val="nil"/>
              <w:bottom w:val="single" w:sz="4" w:space="0" w:color="000000"/>
              <w:right w:val="single" w:sz="4" w:space="0" w:color="000000"/>
            </w:tcBorders>
            <w:shd w:val="clear" w:color="auto" w:fill="auto"/>
            <w:vAlign w:val="center"/>
            <w:hideMark/>
          </w:tcPr>
          <w:p w14:paraId="2B3F7C8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Promoción y prevención-Complem</w:t>
            </w:r>
          </w:p>
        </w:tc>
      </w:tr>
      <w:tr w:rsidR="00731CF5" w:rsidRPr="00676199" w14:paraId="01FC5DD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1333870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68</w:t>
            </w:r>
          </w:p>
        </w:tc>
        <w:tc>
          <w:tcPr>
            <w:tcW w:w="1860" w:type="pct"/>
            <w:tcBorders>
              <w:top w:val="nil"/>
              <w:left w:val="nil"/>
              <w:bottom w:val="single" w:sz="4" w:space="0" w:color="000000"/>
              <w:right w:val="single" w:sz="4" w:space="0" w:color="000000"/>
            </w:tcBorders>
            <w:shd w:val="clear" w:color="auto" w:fill="auto"/>
            <w:vAlign w:val="center"/>
            <w:hideMark/>
          </w:tcPr>
          <w:p w14:paraId="3ACFAE9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a Escuelas Industriales e Institutos Técnicos</w:t>
            </w:r>
          </w:p>
        </w:tc>
        <w:tc>
          <w:tcPr>
            <w:tcW w:w="232" w:type="pct"/>
            <w:tcBorders>
              <w:top w:val="nil"/>
              <w:left w:val="nil"/>
              <w:bottom w:val="single" w:sz="4" w:space="0" w:color="000000"/>
              <w:right w:val="single" w:sz="4" w:space="0" w:color="000000"/>
            </w:tcBorders>
            <w:shd w:val="clear" w:color="auto" w:fill="auto"/>
            <w:vAlign w:val="center"/>
            <w:hideMark/>
          </w:tcPr>
          <w:p w14:paraId="4C6AE18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150</w:t>
            </w:r>
          </w:p>
        </w:tc>
        <w:tc>
          <w:tcPr>
            <w:tcW w:w="2636" w:type="pct"/>
            <w:tcBorders>
              <w:top w:val="nil"/>
              <w:left w:val="nil"/>
              <w:bottom w:val="single" w:sz="4" w:space="0" w:color="000000"/>
              <w:right w:val="single" w:sz="4" w:space="0" w:color="000000"/>
            </w:tcBorders>
            <w:shd w:val="clear" w:color="auto" w:fill="auto"/>
            <w:vAlign w:val="center"/>
            <w:hideMark/>
          </w:tcPr>
          <w:p w14:paraId="3B59E03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 xml:space="preserve">Promoción y </w:t>
            </w:r>
            <w:r w:rsidR="00D95115" w:rsidRPr="00676199">
              <w:rPr>
                <w:rFonts w:ascii="Calibri" w:hAnsi="Calibri"/>
                <w:color w:val="000000"/>
                <w:sz w:val="14"/>
                <w:szCs w:val="14"/>
                <w:lang w:val="es-CO" w:eastAsia="es-CO"/>
              </w:rPr>
              <w:t>prevención</w:t>
            </w:r>
            <w:r w:rsidRPr="00676199">
              <w:rPr>
                <w:rFonts w:ascii="Calibri" w:hAnsi="Calibri"/>
                <w:color w:val="000000"/>
                <w:sz w:val="14"/>
                <w:szCs w:val="14"/>
                <w:lang w:val="es-CO" w:eastAsia="es-CO"/>
              </w:rPr>
              <w:t xml:space="preserve"> - contributivo</w:t>
            </w:r>
          </w:p>
        </w:tc>
      </w:tr>
      <w:tr w:rsidR="00731CF5" w:rsidRPr="00676199" w14:paraId="1AAE5193"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9A937E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69</w:t>
            </w:r>
          </w:p>
        </w:tc>
        <w:tc>
          <w:tcPr>
            <w:tcW w:w="1860" w:type="pct"/>
            <w:tcBorders>
              <w:top w:val="nil"/>
              <w:left w:val="nil"/>
              <w:bottom w:val="single" w:sz="4" w:space="0" w:color="000000"/>
              <w:right w:val="single" w:sz="4" w:space="0" w:color="000000"/>
            </w:tcBorders>
            <w:shd w:val="clear" w:color="auto" w:fill="auto"/>
            <w:vAlign w:val="center"/>
            <w:hideMark/>
          </w:tcPr>
          <w:p w14:paraId="7BD3871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a la ESAP</w:t>
            </w:r>
          </w:p>
        </w:tc>
        <w:tc>
          <w:tcPr>
            <w:tcW w:w="232" w:type="pct"/>
            <w:tcBorders>
              <w:top w:val="nil"/>
              <w:left w:val="nil"/>
              <w:bottom w:val="single" w:sz="4" w:space="0" w:color="000000"/>
              <w:right w:val="single" w:sz="4" w:space="0" w:color="000000"/>
            </w:tcBorders>
            <w:shd w:val="clear" w:color="auto" w:fill="auto"/>
            <w:vAlign w:val="center"/>
            <w:hideMark/>
          </w:tcPr>
          <w:p w14:paraId="7CF2883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151</w:t>
            </w:r>
          </w:p>
        </w:tc>
        <w:tc>
          <w:tcPr>
            <w:tcW w:w="2636" w:type="pct"/>
            <w:tcBorders>
              <w:top w:val="nil"/>
              <w:left w:val="nil"/>
              <w:bottom w:val="single" w:sz="4" w:space="0" w:color="000000"/>
              <w:right w:val="single" w:sz="4" w:space="0" w:color="000000"/>
            </w:tcBorders>
            <w:shd w:val="clear" w:color="auto" w:fill="auto"/>
            <w:vAlign w:val="center"/>
            <w:hideMark/>
          </w:tcPr>
          <w:p w14:paraId="7F5FD65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Adquisición de Bienes y Servicios Nacionales -Inversión</w:t>
            </w:r>
          </w:p>
        </w:tc>
      </w:tr>
      <w:tr w:rsidR="00731CF5" w:rsidRPr="00676199" w14:paraId="09E160A7"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C7C2E06"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70</w:t>
            </w:r>
          </w:p>
        </w:tc>
        <w:tc>
          <w:tcPr>
            <w:tcW w:w="1860" w:type="pct"/>
            <w:tcBorders>
              <w:top w:val="nil"/>
              <w:left w:val="nil"/>
              <w:bottom w:val="single" w:sz="4" w:space="0" w:color="000000"/>
              <w:right w:val="single" w:sz="4" w:space="0" w:color="000000"/>
            </w:tcBorders>
            <w:shd w:val="clear" w:color="auto" w:fill="auto"/>
            <w:vAlign w:val="center"/>
            <w:hideMark/>
          </w:tcPr>
          <w:p w14:paraId="32FE69C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al ICBF</w:t>
            </w:r>
          </w:p>
        </w:tc>
        <w:tc>
          <w:tcPr>
            <w:tcW w:w="232" w:type="pct"/>
            <w:tcBorders>
              <w:top w:val="nil"/>
              <w:left w:val="nil"/>
              <w:bottom w:val="single" w:sz="4" w:space="0" w:color="000000"/>
              <w:right w:val="single" w:sz="4" w:space="0" w:color="000000"/>
            </w:tcBorders>
            <w:shd w:val="clear" w:color="auto" w:fill="auto"/>
            <w:vAlign w:val="center"/>
            <w:hideMark/>
          </w:tcPr>
          <w:p w14:paraId="652DE49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152</w:t>
            </w:r>
          </w:p>
        </w:tc>
        <w:tc>
          <w:tcPr>
            <w:tcW w:w="2636" w:type="pct"/>
            <w:tcBorders>
              <w:top w:val="nil"/>
              <w:left w:val="nil"/>
              <w:bottom w:val="single" w:sz="4" w:space="0" w:color="000000"/>
              <w:right w:val="single" w:sz="4" w:space="0" w:color="000000"/>
            </w:tcBorders>
            <w:shd w:val="clear" w:color="auto" w:fill="auto"/>
            <w:vAlign w:val="center"/>
            <w:hideMark/>
          </w:tcPr>
          <w:p w14:paraId="2CA67B9F"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Sistema General de Seguridad Social en Salud -Inversión</w:t>
            </w:r>
          </w:p>
        </w:tc>
      </w:tr>
      <w:tr w:rsidR="00731CF5" w:rsidRPr="00676199" w14:paraId="533DE48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26458AA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71</w:t>
            </w:r>
          </w:p>
        </w:tc>
        <w:tc>
          <w:tcPr>
            <w:tcW w:w="1860" w:type="pct"/>
            <w:tcBorders>
              <w:top w:val="nil"/>
              <w:left w:val="nil"/>
              <w:bottom w:val="single" w:sz="4" w:space="0" w:color="000000"/>
              <w:right w:val="single" w:sz="4" w:space="0" w:color="000000"/>
            </w:tcBorders>
            <w:shd w:val="clear" w:color="auto" w:fill="auto"/>
            <w:vAlign w:val="center"/>
            <w:hideMark/>
          </w:tcPr>
          <w:p w14:paraId="54E449E2"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Aportes al SENA</w:t>
            </w:r>
          </w:p>
        </w:tc>
        <w:tc>
          <w:tcPr>
            <w:tcW w:w="232" w:type="pct"/>
            <w:tcBorders>
              <w:top w:val="nil"/>
              <w:left w:val="nil"/>
              <w:bottom w:val="single" w:sz="4" w:space="0" w:color="000000"/>
              <w:right w:val="single" w:sz="4" w:space="0" w:color="000000"/>
            </w:tcBorders>
            <w:shd w:val="clear" w:color="auto" w:fill="auto"/>
            <w:vAlign w:val="center"/>
            <w:hideMark/>
          </w:tcPr>
          <w:p w14:paraId="54F3458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153</w:t>
            </w:r>
          </w:p>
        </w:tc>
        <w:tc>
          <w:tcPr>
            <w:tcW w:w="2636" w:type="pct"/>
            <w:tcBorders>
              <w:top w:val="nil"/>
              <w:left w:val="nil"/>
              <w:bottom w:val="single" w:sz="4" w:space="0" w:color="000000"/>
              <w:right w:val="single" w:sz="4" w:space="0" w:color="000000"/>
            </w:tcBorders>
            <w:shd w:val="clear" w:color="auto" w:fill="auto"/>
            <w:vAlign w:val="center"/>
            <w:hideMark/>
          </w:tcPr>
          <w:p w14:paraId="13C04C5A"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Otras Transferencias -Inversión</w:t>
            </w:r>
          </w:p>
        </w:tc>
      </w:tr>
      <w:tr w:rsidR="00731CF5" w:rsidRPr="00676199" w14:paraId="2B3D45C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874BBA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72</w:t>
            </w:r>
          </w:p>
        </w:tc>
        <w:tc>
          <w:tcPr>
            <w:tcW w:w="1860" w:type="pct"/>
            <w:tcBorders>
              <w:top w:val="nil"/>
              <w:left w:val="nil"/>
              <w:bottom w:val="single" w:sz="4" w:space="0" w:color="000000"/>
              <w:right w:val="single" w:sz="4" w:space="0" w:color="000000"/>
            </w:tcBorders>
            <w:shd w:val="clear" w:color="auto" w:fill="auto"/>
            <w:vAlign w:val="center"/>
            <w:hideMark/>
          </w:tcPr>
          <w:p w14:paraId="014EC5E4"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Servicios Públicos</w:t>
            </w:r>
          </w:p>
        </w:tc>
        <w:tc>
          <w:tcPr>
            <w:tcW w:w="232" w:type="pct"/>
            <w:tcBorders>
              <w:top w:val="nil"/>
              <w:left w:val="nil"/>
              <w:bottom w:val="single" w:sz="4" w:space="0" w:color="000000"/>
              <w:right w:val="single" w:sz="4" w:space="0" w:color="000000"/>
            </w:tcBorders>
            <w:shd w:val="clear" w:color="auto" w:fill="auto"/>
            <w:vAlign w:val="center"/>
            <w:hideMark/>
          </w:tcPr>
          <w:p w14:paraId="460A6A5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154</w:t>
            </w:r>
          </w:p>
        </w:tc>
        <w:tc>
          <w:tcPr>
            <w:tcW w:w="2636" w:type="pct"/>
            <w:tcBorders>
              <w:top w:val="nil"/>
              <w:left w:val="nil"/>
              <w:bottom w:val="single" w:sz="4" w:space="0" w:color="000000"/>
              <w:right w:val="single" w:sz="4" w:space="0" w:color="000000"/>
            </w:tcBorders>
            <w:shd w:val="clear" w:color="auto" w:fill="auto"/>
            <w:vAlign w:val="center"/>
            <w:hideMark/>
          </w:tcPr>
          <w:p w14:paraId="189F1D8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Sentencias -Inversión</w:t>
            </w:r>
          </w:p>
        </w:tc>
      </w:tr>
      <w:tr w:rsidR="00731CF5" w:rsidRPr="00676199" w14:paraId="6137C890"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68AB76F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73</w:t>
            </w:r>
          </w:p>
        </w:tc>
        <w:tc>
          <w:tcPr>
            <w:tcW w:w="1860" w:type="pct"/>
            <w:tcBorders>
              <w:top w:val="nil"/>
              <w:left w:val="nil"/>
              <w:bottom w:val="single" w:sz="4" w:space="0" w:color="000000"/>
              <w:right w:val="single" w:sz="4" w:space="0" w:color="000000"/>
            </w:tcBorders>
            <w:shd w:val="clear" w:color="auto" w:fill="auto"/>
            <w:vAlign w:val="center"/>
            <w:hideMark/>
          </w:tcPr>
          <w:p w14:paraId="14FF524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Comisiones</w:t>
            </w:r>
          </w:p>
        </w:tc>
        <w:tc>
          <w:tcPr>
            <w:tcW w:w="232" w:type="pct"/>
            <w:tcBorders>
              <w:top w:val="nil"/>
              <w:left w:val="nil"/>
              <w:bottom w:val="single" w:sz="4" w:space="0" w:color="000000"/>
              <w:right w:val="single" w:sz="4" w:space="0" w:color="000000"/>
            </w:tcBorders>
            <w:shd w:val="clear" w:color="auto" w:fill="auto"/>
            <w:vAlign w:val="center"/>
            <w:hideMark/>
          </w:tcPr>
          <w:p w14:paraId="2204F76A"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155</w:t>
            </w:r>
          </w:p>
        </w:tc>
        <w:tc>
          <w:tcPr>
            <w:tcW w:w="2636" w:type="pct"/>
            <w:tcBorders>
              <w:top w:val="nil"/>
              <w:left w:val="nil"/>
              <w:bottom w:val="single" w:sz="4" w:space="0" w:color="000000"/>
              <w:right w:val="single" w:sz="4" w:space="0" w:color="000000"/>
            </w:tcBorders>
            <w:shd w:val="clear" w:color="auto" w:fill="auto"/>
            <w:vAlign w:val="center"/>
            <w:hideMark/>
          </w:tcPr>
          <w:p w14:paraId="3394742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Suscripción de Acciones o Participaciones - Inversión</w:t>
            </w:r>
          </w:p>
        </w:tc>
      </w:tr>
      <w:tr w:rsidR="00731CF5" w:rsidRPr="00676199" w14:paraId="170BB94C"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4162D7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74</w:t>
            </w:r>
          </w:p>
        </w:tc>
        <w:tc>
          <w:tcPr>
            <w:tcW w:w="1860" w:type="pct"/>
            <w:tcBorders>
              <w:top w:val="nil"/>
              <w:left w:val="nil"/>
              <w:bottom w:val="single" w:sz="4" w:space="0" w:color="000000"/>
              <w:right w:val="single" w:sz="4" w:space="0" w:color="000000"/>
            </w:tcBorders>
            <w:shd w:val="clear" w:color="auto" w:fill="auto"/>
            <w:vAlign w:val="center"/>
            <w:hideMark/>
          </w:tcPr>
          <w:p w14:paraId="51DA9F9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Honorarios</w:t>
            </w:r>
          </w:p>
        </w:tc>
        <w:tc>
          <w:tcPr>
            <w:tcW w:w="232" w:type="pct"/>
            <w:tcBorders>
              <w:top w:val="nil"/>
              <w:left w:val="nil"/>
              <w:bottom w:val="single" w:sz="4" w:space="0" w:color="000000"/>
              <w:right w:val="single" w:sz="4" w:space="0" w:color="000000"/>
            </w:tcBorders>
            <w:shd w:val="clear" w:color="auto" w:fill="auto"/>
            <w:vAlign w:val="center"/>
            <w:hideMark/>
          </w:tcPr>
          <w:p w14:paraId="4B2A607E"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156</w:t>
            </w:r>
          </w:p>
        </w:tc>
        <w:tc>
          <w:tcPr>
            <w:tcW w:w="2636" w:type="pct"/>
            <w:tcBorders>
              <w:top w:val="nil"/>
              <w:left w:val="nil"/>
              <w:bottom w:val="single" w:sz="4" w:space="0" w:color="000000"/>
              <w:right w:val="single" w:sz="4" w:space="0" w:color="000000"/>
            </w:tcBorders>
            <w:shd w:val="clear" w:color="auto" w:fill="auto"/>
            <w:vAlign w:val="center"/>
            <w:hideMark/>
          </w:tcPr>
          <w:p w14:paraId="33C4916C"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Comisiones - Inversión</w:t>
            </w:r>
          </w:p>
        </w:tc>
      </w:tr>
      <w:tr w:rsidR="00731CF5" w:rsidRPr="00676199" w14:paraId="0A00B5BA"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7D0630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75</w:t>
            </w:r>
          </w:p>
        </w:tc>
        <w:tc>
          <w:tcPr>
            <w:tcW w:w="1860" w:type="pct"/>
            <w:tcBorders>
              <w:top w:val="nil"/>
              <w:left w:val="nil"/>
              <w:bottom w:val="single" w:sz="4" w:space="0" w:color="000000"/>
              <w:right w:val="single" w:sz="4" w:space="0" w:color="000000"/>
            </w:tcBorders>
            <w:shd w:val="clear" w:color="auto" w:fill="auto"/>
            <w:vAlign w:val="center"/>
            <w:hideMark/>
          </w:tcPr>
          <w:p w14:paraId="5073521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Servicios</w:t>
            </w:r>
          </w:p>
        </w:tc>
        <w:tc>
          <w:tcPr>
            <w:tcW w:w="232" w:type="pct"/>
            <w:tcBorders>
              <w:top w:val="nil"/>
              <w:left w:val="nil"/>
              <w:bottom w:val="single" w:sz="4" w:space="0" w:color="000000"/>
              <w:right w:val="single" w:sz="4" w:space="0" w:color="000000"/>
            </w:tcBorders>
            <w:shd w:val="clear" w:color="auto" w:fill="auto"/>
            <w:vAlign w:val="center"/>
            <w:hideMark/>
          </w:tcPr>
          <w:p w14:paraId="73211AB0"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157</w:t>
            </w:r>
          </w:p>
        </w:tc>
        <w:tc>
          <w:tcPr>
            <w:tcW w:w="2636" w:type="pct"/>
            <w:tcBorders>
              <w:top w:val="nil"/>
              <w:left w:val="nil"/>
              <w:bottom w:val="single" w:sz="4" w:space="0" w:color="000000"/>
              <w:right w:val="single" w:sz="4" w:space="0" w:color="000000"/>
            </w:tcBorders>
            <w:shd w:val="clear" w:color="auto" w:fill="auto"/>
            <w:vAlign w:val="center"/>
            <w:hideMark/>
          </w:tcPr>
          <w:p w14:paraId="5809C61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Cesantías -Inversión</w:t>
            </w:r>
          </w:p>
        </w:tc>
      </w:tr>
      <w:tr w:rsidR="00731CF5" w:rsidRPr="00676199" w14:paraId="44F97AB5"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5848467C"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76</w:t>
            </w:r>
          </w:p>
        </w:tc>
        <w:tc>
          <w:tcPr>
            <w:tcW w:w="1860" w:type="pct"/>
            <w:tcBorders>
              <w:top w:val="nil"/>
              <w:left w:val="nil"/>
              <w:bottom w:val="single" w:sz="4" w:space="0" w:color="000000"/>
              <w:right w:val="single" w:sz="4" w:space="0" w:color="000000"/>
            </w:tcBorders>
            <w:shd w:val="clear" w:color="auto" w:fill="auto"/>
            <w:vAlign w:val="center"/>
            <w:hideMark/>
          </w:tcPr>
          <w:p w14:paraId="67C4D97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Excedentes Financieros</w:t>
            </w:r>
          </w:p>
        </w:tc>
        <w:tc>
          <w:tcPr>
            <w:tcW w:w="232" w:type="pct"/>
            <w:tcBorders>
              <w:top w:val="nil"/>
              <w:left w:val="nil"/>
              <w:bottom w:val="single" w:sz="4" w:space="0" w:color="000000"/>
              <w:right w:val="single" w:sz="4" w:space="0" w:color="000000"/>
            </w:tcBorders>
            <w:shd w:val="clear" w:color="auto" w:fill="auto"/>
            <w:vAlign w:val="center"/>
            <w:hideMark/>
          </w:tcPr>
          <w:p w14:paraId="05D6881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158</w:t>
            </w:r>
          </w:p>
        </w:tc>
        <w:tc>
          <w:tcPr>
            <w:tcW w:w="2636" w:type="pct"/>
            <w:tcBorders>
              <w:top w:val="nil"/>
              <w:left w:val="nil"/>
              <w:bottom w:val="single" w:sz="4" w:space="0" w:color="000000"/>
              <w:right w:val="single" w:sz="4" w:space="0" w:color="000000"/>
            </w:tcBorders>
            <w:shd w:val="clear" w:color="auto" w:fill="auto"/>
            <w:vAlign w:val="center"/>
            <w:hideMark/>
          </w:tcPr>
          <w:p w14:paraId="122F8B23"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Otras Primas -Inversión</w:t>
            </w:r>
          </w:p>
        </w:tc>
      </w:tr>
      <w:tr w:rsidR="00731CF5" w:rsidRPr="00676199" w14:paraId="3272EC7D"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1E5460D"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77</w:t>
            </w:r>
          </w:p>
        </w:tc>
        <w:tc>
          <w:tcPr>
            <w:tcW w:w="1860" w:type="pct"/>
            <w:tcBorders>
              <w:top w:val="nil"/>
              <w:left w:val="nil"/>
              <w:bottom w:val="single" w:sz="4" w:space="0" w:color="000000"/>
              <w:right w:val="single" w:sz="4" w:space="0" w:color="000000"/>
            </w:tcBorders>
            <w:shd w:val="clear" w:color="auto" w:fill="auto"/>
            <w:vAlign w:val="center"/>
            <w:hideMark/>
          </w:tcPr>
          <w:p w14:paraId="43BD2176"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C.P-Nómina por Pagar</w:t>
            </w:r>
          </w:p>
        </w:tc>
        <w:tc>
          <w:tcPr>
            <w:tcW w:w="232" w:type="pct"/>
            <w:tcBorders>
              <w:top w:val="nil"/>
              <w:left w:val="nil"/>
              <w:bottom w:val="single" w:sz="4" w:space="0" w:color="000000"/>
              <w:right w:val="single" w:sz="4" w:space="0" w:color="000000"/>
            </w:tcBorders>
            <w:shd w:val="clear" w:color="auto" w:fill="auto"/>
            <w:vAlign w:val="center"/>
            <w:hideMark/>
          </w:tcPr>
          <w:p w14:paraId="49B9834F"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159</w:t>
            </w:r>
          </w:p>
        </w:tc>
        <w:tc>
          <w:tcPr>
            <w:tcW w:w="2636" w:type="pct"/>
            <w:tcBorders>
              <w:top w:val="nil"/>
              <w:left w:val="nil"/>
              <w:bottom w:val="single" w:sz="4" w:space="0" w:color="000000"/>
              <w:right w:val="single" w:sz="4" w:space="0" w:color="000000"/>
            </w:tcBorders>
            <w:shd w:val="clear" w:color="auto" w:fill="auto"/>
            <w:vAlign w:val="center"/>
            <w:hideMark/>
          </w:tcPr>
          <w:p w14:paraId="6CEF4690"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Pensiones de Jubilación Patronales -Inversión</w:t>
            </w:r>
          </w:p>
        </w:tc>
      </w:tr>
      <w:tr w:rsidR="00731CF5" w:rsidRPr="00676199" w14:paraId="22963A16"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DE739B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78</w:t>
            </w:r>
          </w:p>
        </w:tc>
        <w:tc>
          <w:tcPr>
            <w:tcW w:w="1860" w:type="pct"/>
            <w:tcBorders>
              <w:top w:val="nil"/>
              <w:left w:val="nil"/>
              <w:bottom w:val="single" w:sz="4" w:space="0" w:color="000000"/>
              <w:right w:val="single" w:sz="4" w:space="0" w:color="000000"/>
            </w:tcBorders>
            <w:shd w:val="clear" w:color="auto" w:fill="auto"/>
            <w:vAlign w:val="center"/>
            <w:hideMark/>
          </w:tcPr>
          <w:p w14:paraId="2A9E3E8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Cesantías</w:t>
            </w:r>
          </w:p>
        </w:tc>
        <w:tc>
          <w:tcPr>
            <w:tcW w:w="232" w:type="pct"/>
            <w:tcBorders>
              <w:top w:val="nil"/>
              <w:left w:val="nil"/>
              <w:bottom w:val="single" w:sz="4" w:space="0" w:color="000000"/>
              <w:right w:val="single" w:sz="4" w:space="0" w:color="000000"/>
            </w:tcBorders>
            <w:shd w:val="clear" w:color="auto" w:fill="auto"/>
            <w:vAlign w:val="center"/>
            <w:hideMark/>
          </w:tcPr>
          <w:p w14:paraId="13D1B675"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160</w:t>
            </w:r>
          </w:p>
        </w:tc>
        <w:tc>
          <w:tcPr>
            <w:tcW w:w="2636" w:type="pct"/>
            <w:tcBorders>
              <w:top w:val="nil"/>
              <w:left w:val="nil"/>
              <w:bottom w:val="single" w:sz="4" w:space="0" w:color="000000"/>
              <w:right w:val="single" w:sz="4" w:space="0" w:color="000000"/>
            </w:tcBorders>
            <w:shd w:val="clear" w:color="auto" w:fill="auto"/>
            <w:vAlign w:val="center"/>
            <w:hideMark/>
          </w:tcPr>
          <w:p w14:paraId="6F51722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Posempleo- Cuotas Partes de Pensiones -Inversión</w:t>
            </w:r>
          </w:p>
        </w:tc>
      </w:tr>
      <w:tr w:rsidR="00731CF5" w:rsidRPr="00676199" w14:paraId="39170B04"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783F1CB4"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79</w:t>
            </w:r>
          </w:p>
        </w:tc>
        <w:tc>
          <w:tcPr>
            <w:tcW w:w="1860" w:type="pct"/>
            <w:tcBorders>
              <w:top w:val="nil"/>
              <w:left w:val="nil"/>
              <w:bottom w:val="single" w:sz="4" w:space="0" w:color="000000"/>
              <w:right w:val="single" w:sz="4" w:space="0" w:color="000000"/>
            </w:tcBorders>
            <w:shd w:val="clear" w:color="auto" w:fill="auto"/>
            <w:vAlign w:val="center"/>
            <w:hideMark/>
          </w:tcPr>
          <w:p w14:paraId="283D26DE"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Intereses sobre Cesantías</w:t>
            </w:r>
          </w:p>
        </w:tc>
        <w:tc>
          <w:tcPr>
            <w:tcW w:w="232" w:type="pct"/>
            <w:tcBorders>
              <w:top w:val="nil"/>
              <w:left w:val="nil"/>
              <w:bottom w:val="single" w:sz="4" w:space="0" w:color="000000"/>
              <w:right w:val="single" w:sz="4" w:space="0" w:color="000000"/>
            </w:tcBorders>
            <w:shd w:val="clear" w:color="auto" w:fill="auto"/>
            <w:vAlign w:val="center"/>
            <w:hideMark/>
          </w:tcPr>
          <w:p w14:paraId="4D08E7B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161</w:t>
            </w:r>
          </w:p>
        </w:tc>
        <w:tc>
          <w:tcPr>
            <w:tcW w:w="2636" w:type="pct"/>
            <w:tcBorders>
              <w:top w:val="nil"/>
              <w:left w:val="nil"/>
              <w:bottom w:val="single" w:sz="4" w:space="0" w:color="000000"/>
              <w:right w:val="single" w:sz="4" w:space="0" w:color="000000"/>
            </w:tcBorders>
            <w:shd w:val="clear" w:color="auto" w:fill="auto"/>
            <w:vAlign w:val="center"/>
            <w:hideMark/>
          </w:tcPr>
          <w:p w14:paraId="69AD515B"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Pasivos para Liquidar - Entidades en Liquidación</w:t>
            </w:r>
          </w:p>
        </w:tc>
      </w:tr>
      <w:tr w:rsidR="00731CF5" w:rsidRPr="00676199" w14:paraId="6C40AB52"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440E7511"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80</w:t>
            </w:r>
          </w:p>
        </w:tc>
        <w:tc>
          <w:tcPr>
            <w:tcW w:w="1860" w:type="pct"/>
            <w:tcBorders>
              <w:top w:val="nil"/>
              <w:left w:val="nil"/>
              <w:bottom w:val="single" w:sz="4" w:space="0" w:color="000000"/>
              <w:right w:val="single" w:sz="4" w:space="0" w:color="000000"/>
            </w:tcBorders>
            <w:shd w:val="clear" w:color="auto" w:fill="auto"/>
            <w:vAlign w:val="center"/>
            <w:hideMark/>
          </w:tcPr>
          <w:p w14:paraId="79ADD42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Vacaciones</w:t>
            </w:r>
          </w:p>
        </w:tc>
        <w:tc>
          <w:tcPr>
            <w:tcW w:w="232" w:type="pct"/>
            <w:tcBorders>
              <w:top w:val="nil"/>
              <w:left w:val="nil"/>
              <w:bottom w:val="single" w:sz="4" w:space="0" w:color="000000"/>
              <w:right w:val="single" w:sz="4" w:space="0" w:color="000000"/>
            </w:tcBorders>
            <w:shd w:val="clear" w:color="auto" w:fill="auto"/>
            <w:vAlign w:val="center"/>
            <w:hideMark/>
          </w:tcPr>
          <w:p w14:paraId="1CAFF6B8"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162</w:t>
            </w:r>
          </w:p>
        </w:tc>
        <w:tc>
          <w:tcPr>
            <w:tcW w:w="2636" w:type="pct"/>
            <w:tcBorders>
              <w:top w:val="nil"/>
              <w:left w:val="nil"/>
              <w:bottom w:val="single" w:sz="4" w:space="0" w:color="000000"/>
              <w:right w:val="single" w:sz="4" w:space="0" w:color="000000"/>
            </w:tcBorders>
            <w:shd w:val="clear" w:color="auto" w:fill="auto"/>
            <w:vAlign w:val="center"/>
            <w:hideMark/>
          </w:tcPr>
          <w:p w14:paraId="2598A6B8"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interno-Otros préstamos-Costo efectivo-Intereses</w:t>
            </w:r>
          </w:p>
        </w:tc>
      </w:tr>
      <w:tr w:rsidR="00731CF5" w:rsidRPr="00676199" w14:paraId="79BC0978"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07F957C3"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81</w:t>
            </w:r>
          </w:p>
        </w:tc>
        <w:tc>
          <w:tcPr>
            <w:tcW w:w="1860" w:type="pct"/>
            <w:tcBorders>
              <w:top w:val="nil"/>
              <w:left w:val="nil"/>
              <w:bottom w:val="single" w:sz="4" w:space="0" w:color="000000"/>
              <w:right w:val="single" w:sz="4" w:space="0" w:color="000000"/>
            </w:tcBorders>
            <w:shd w:val="clear" w:color="auto" w:fill="auto"/>
            <w:vAlign w:val="center"/>
            <w:hideMark/>
          </w:tcPr>
          <w:p w14:paraId="03A887C5"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Prima de Vacaciones</w:t>
            </w:r>
          </w:p>
        </w:tc>
        <w:tc>
          <w:tcPr>
            <w:tcW w:w="232" w:type="pct"/>
            <w:tcBorders>
              <w:top w:val="nil"/>
              <w:left w:val="nil"/>
              <w:bottom w:val="single" w:sz="4" w:space="0" w:color="000000"/>
              <w:right w:val="single" w:sz="4" w:space="0" w:color="000000"/>
            </w:tcBorders>
            <w:shd w:val="clear" w:color="auto" w:fill="auto"/>
            <w:vAlign w:val="center"/>
            <w:hideMark/>
          </w:tcPr>
          <w:p w14:paraId="736D3F5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163</w:t>
            </w:r>
          </w:p>
        </w:tc>
        <w:tc>
          <w:tcPr>
            <w:tcW w:w="2636" w:type="pct"/>
            <w:tcBorders>
              <w:top w:val="nil"/>
              <w:left w:val="nil"/>
              <w:bottom w:val="single" w:sz="4" w:space="0" w:color="000000"/>
              <w:right w:val="single" w:sz="4" w:space="0" w:color="000000"/>
            </w:tcBorders>
            <w:shd w:val="clear" w:color="auto" w:fill="auto"/>
            <w:vAlign w:val="center"/>
            <w:hideMark/>
          </w:tcPr>
          <w:p w14:paraId="412313D1"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Deuda Pública - Gastos por Comisiones</w:t>
            </w:r>
          </w:p>
        </w:tc>
      </w:tr>
      <w:tr w:rsidR="00731CF5" w:rsidRPr="00676199" w14:paraId="28897C77" w14:textId="77777777" w:rsidTr="00731CF5">
        <w:trPr>
          <w:trHeight w:val="57"/>
        </w:trPr>
        <w:tc>
          <w:tcPr>
            <w:tcW w:w="272" w:type="pct"/>
            <w:tcBorders>
              <w:top w:val="nil"/>
              <w:left w:val="single" w:sz="4" w:space="0" w:color="000000"/>
              <w:bottom w:val="single" w:sz="4" w:space="0" w:color="000000"/>
              <w:right w:val="single" w:sz="4" w:space="0" w:color="000000"/>
            </w:tcBorders>
            <w:shd w:val="clear" w:color="auto" w:fill="auto"/>
            <w:vAlign w:val="center"/>
            <w:hideMark/>
          </w:tcPr>
          <w:p w14:paraId="3DC44AE9"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82</w:t>
            </w:r>
          </w:p>
        </w:tc>
        <w:tc>
          <w:tcPr>
            <w:tcW w:w="1860" w:type="pct"/>
            <w:tcBorders>
              <w:top w:val="nil"/>
              <w:left w:val="nil"/>
              <w:bottom w:val="single" w:sz="4" w:space="0" w:color="000000"/>
              <w:right w:val="single" w:sz="4" w:space="0" w:color="000000"/>
            </w:tcBorders>
            <w:shd w:val="clear" w:color="auto" w:fill="auto"/>
            <w:vAlign w:val="center"/>
            <w:hideMark/>
          </w:tcPr>
          <w:p w14:paraId="2E7AB279"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Beneficios Empleados C.P- Prima de Servicios</w:t>
            </w:r>
          </w:p>
        </w:tc>
        <w:tc>
          <w:tcPr>
            <w:tcW w:w="232" w:type="pct"/>
            <w:tcBorders>
              <w:top w:val="nil"/>
              <w:left w:val="nil"/>
              <w:bottom w:val="single" w:sz="4" w:space="0" w:color="000000"/>
              <w:right w:val="single" w:sz="4" w:space="0" w:color="000000"/>
            </w:tcBorders>
            <w:shd w:val="clear" w:color="auto" w:fill="auto"/>
            <w:vAlign w:val="center"/>
            <w:hideMark/>
          </w:tcPr>
          <w:p w14:paraId="341DA007"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164</w:t>
            </w:r>
          </w:p>
        </w:tc>
        <w:tc>
          <w:tcPr>
            <w:tcW w:w="2636" w:type="pct"/>
            <w:tcBorders>
              <w:top w:val="nil"/>
              <w:left w:val="nil"/>
              <w:bottom w:val="single" w:sz="4" w:space="0" w:color="000000"/>
              <w:right w:val="single" w:sz="4" w:space="0" w:color="000000"/>
            </w:tcBorders>
            <w:shd w:val="clear" w:color="auto" w:fill="auto"/>
            <w:vAlign w:val="center"/>
            <w:hideMark/>
          </w:tcPr>
          <w:p w14:paraId="6F90FEBD"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Financiamiento Interno Proveedores-capital</w:t>
            </w:r>
          </w:p>
        </w:tc>
      </w:tr>
      <w:tr w:rsidR="00731CF5" w:rsidRPr="00676199" w14:paraId="44D1B810" w14:textId="77777777" w:rsidTr="00731CF5">
        <w:trPr>
          <w:trHeight w:val="57"/>
        </w:trPr>
        <w:tc>
          <w:tcPr>
            <w:tcW w:w="272" w:type="pct"/>
            <w:tcBorders>
              <w:top w:val="nil"/>
              <w:left w:val="nil"/>
              <w:bottom w:val="nil"/>
              <w:right w:val="nil"/>
            </w:tcBorders>
            <w:shd w:val="clear" w:color="auto" w:fill="auto"/>
            <w:noWrap/>
            <w:vAlign w:val="center"/>
            <w:hideMark/>
          </w:tcPr>
          <w:p w14:paraId="3D78B8F9" w14:textId="77777777" w:rsidR="0068376F" w:rsidRPr="00676199" w:rsidRDefault="0068376F" w:rsidP="0068376F">
            <w:pPr>
              <w:rPr>
                <w:rFonts w:ascii="Calibri" w:hAnsi="Calibri"/>
                <w:color w:val="000000"/>
                <w:sz w:val="14"/>
                <w:szCs w:val="14"/>
                <w:lang w:val="es-CO" w:eastAsia="es-CO"/>
              </w:rPr>
            </w:pPr>
          </w:p>
        </w:tc>
        <w:tc>
          <w:tcPr>
            <w:tcW w:w="1860" w:type="pct"/>
            <w:tcBorders>
              <w:top w:val="nil"/>
              <w:left w:val="nil"/>
              <w:bottom w:val="nil"/>
              <w:right w:val="nil"/>
            </w:tcBorders>
            <w:shd w:val="clear" w:color="auto" w:fill="auto"/>
            <w:noWrap/>
            <w:vAlign w:val="center"/>
            <w:hideMark/>
          </w:tcPr>
          <w:p w14:paraId="5B5CF6D5" w14:textId="77777777" w:rsidR="0068376F" w:rsidRPr="00676199" w:rsidRDefault="0068376F" w:rsidP="0068376F">
            <w:pPr>
              <w:rPr>
                <w:rFonts w:ascii="Calibri" w:hAnsi="Calibri"/>
                <w:sz w:val="14"/>
                <w:szCs w:val="14"/>
                <w:lang w:val="es-CO" w:eastAsia="es-CO"/>
              </w:rPr>
            </w:pPr>
          </w:p>
        </w:tc>
        <w:tc>
          <w:tcPr>
            <w:tcW w:w="232" w:type="pct"/>
            <w:tcBorders>
              <w:top w:val="nil"/>
              <w:left w:val="single" w:sz="4" w:space="0" w:color="000000"/>
              <w:bottom w:val="single" w:sz="4" w:space="0" w:color="000000"/>
              <w:right w:val="single" w:sz="4" w:space="0" w:color="000000"/>
            </w:tcBorders>
            <w:shd w:val="clear" w:color="auto" w:fill="auto"/>
            <w:vAlign w:val="center"/>
            <w:hideMark/>
          </w:tcPr>
          <w:p w14:paraId="18762312" w14:textId="77777777" w:rsidR="0068376F" w:rsidRPr="00676199" w:rsidRDefault="0068376F" w:rsidP="0068376F">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165</w:t>
            </w:r>
          </w:p>
        </w:tc>
        <w:tc>
          <w:tcPr>
            <w:tcW w:w="2636" w:type="pct"/>
            <w:tcBorders>
              <w:top w:val="nil"/>
              <w:left w:val="nil"/>
              <w:bottom w:val="single" w:sz="4" w:space="0" w:color="000000"/>
              <w:right w:val="single" w:sz="4" w:space="0" w:color="000000"/>
            </w:tcBorders>
            <w:shd w:val="clear" w:color="auto" w:fill="auto"/>
            <w:vAlign w:val="center"/>
            <w:hideMark/>
          </w:tcPr>
          <w:p w14:paraId="072C2D47" w14:textId="77777777" w:rsidR="0068376F" w:rsidRPr="00676199" w:rsidRDefault="0068376F" w:rsidP="00731CF5">
            <w:pPr>
              <w:jc w:val="both"/>
              <w:rPr>
                <w:rFonts w:ascii="Calibri" w:hAnsi="Calibri"/>
                <w:color w:val="000000"/>
                <w:sz w:val="14"/>
                <w:szCs w:val="14"/>
                <w:lang w:val="es-CO" w:eastAsia="es-CO"/>
              </w:rPr>
            </w:pPr>
            <w:r w:rsidRPr="00676199">
              <w:rPr>
                <w:rFonts w:ascii="Calibri" w:hAnsi="Calibri"/>
                <w:color w:val="000000"/>
                <w:sz w:val="14"/>
                <w:szCs w:val="14"/>
                <w:lang w:val="es-CO" w:eastAsia="es-CO"/>
              </w:rPr>
              <w:t>Financiamiento Interno Proveedores-intereses</w:t>
            </w:r>
          </w:p>
        </w:tc>
      </w:tr>
    </w:tbl>
    <w:p w14:paraId="3C8F0B4A" w14:textId="77777777" w:rsidR="0068376F" w:rsidRDefault="0068376F" w:rsidP="00E02C7B">
      <w:pPr>
        <w:pStyle w:val="unico"/>
        <w:spacing w:before="0" w:beforeAutospacing="0" w:after="0" w:afterAutospacing="0" w:line="288" w:lineRule="auto"/>
        <w:jc w:val="both"/>
        <w:rPr>
          <w:rFonts w:ascii="Arial" w:hAnsi="Arial" w:cs="Arial"/>
          <w:color w:val="000000"/>
          <w:sz w:val="22"/>
          <w:szCs w:val="22"/>
        </w:rPr>
      </w:pPr>
    </w:p>
    <w:p w14:paraId="56B0E8AD" w14:textId="77777777" w:rsidR="00E02C7B" w:rsidRDefault="00E02C7B" w:rsidP="00A0134B">
      <w:pPr>
        <w:pStyle w:val="unico"/>
        <w:tabs>
          <w:tab w:val="left" w:pos="142"/>
        </w:tabs>
        <w:spacing w:before="0" w:beforeAutospacing="0" w:after="0" w:afterAutospacing="0" w:line="288" w:lineRule="auto"/>
        <w:jc w:val="both"/>
        <w:rPr>
          <w:rFonts w:ascii="Arial" w:hAnsi="Arial" w:cs="Arial"/>
          <w:color w:val="000000"/>
          <w:sz w:val="22"/>
          <w:szCs w:val="22"/>
        </w:rPr>
      </w:pPr>
      <w:r w:rsidRPr="006672D7">
        <w:rPr>
          <w:rFonts w:ascii="Arial" w:hAnsi="Arial" w:cs="Arial"/>
          <w:b/>
          <w:color w:val="000000"/>
          <w:sz w:val="22"/>
          <w:szCs w:val="22"/>
        </w:rPr>
        <w:t xml:space="preserve">Tipo de gasto: </w:t>
      </w:r>
      <w:r w:rsidRPr="00BB157A">
        <w:rPr>
          <w:rFonts w:ascii="Arial" w:hAnsi="Arial" w:cs="Arial"/>
          <w:color w:val="000000"/>
          <w:sz w:val="22"/>
          <w:szCs w:val="22"/>
        </w:rPr>
        <w:t xml:space="preserve">Define el registro contable débito y </w:t>
      </w:r>
      <w:proofErr w:type="gramStart"/>
      <w:r w:rsidRPr="00BB157A">
        <w:rPr>
          <w:rFonts w:ascii="Arial" w:hAnsi="Arial" w:cs="Arial"/>
          <w:color w:val="000000"/>
          <w:sz w:val="22"/>
          <w:szCs w:val="22"/>
        </w:rPr>
        <w:t>le</w:t>
      </w:r>
      <w:proofErr w:type="gramEnd"/>
      <w:r w:rsidRPr="00BB157A">
        <w:rPr>
          <w:rFonts w:ascii="Arial" w:hAnsi="Arial" w:cs="Arial"/>
          <w:color w:val="000000"/>
          <w:sz w:val="22"/>
          <w:szCs w:val="22"/>
        </w:rPr>
        <w:t xml:space="preserve"> aplica a los rubros que tienen asociado el tipo de operación con matriz directa. Corresponde a </w:t>
      </w:r>
      <w:r w:rsidR="00BB6D9D">
        <w:rPr>
          <w:rFonts w:ascii="Arial" w:hAnsi="Arial" w:cs="Arial"/>
          <w:color w:val="000000"/>
          <w:sz w:val="22"/>
          <w:szCs w:val="22"/>
        </w:rPr>
        <w:t>gastos de administración y operación</w:t>
      </w:r>
      <w:r w:rsidRPr="00BB157A">
        <w:rPr>
          <w:rFonts w:ascii="Arial" w:hAnsi="Arial" w:cs="Arial"/>
          <w:color w:val="000000"/>
          <w:sz w:val="22"/>
          <w:szCs w:val="22"/>
        </w:rPr>
        <w:t>, costos y ga</w:t>
      </w:r>
      <w:r w:rsidR="00BB6D9D">
        <w:rPr>
          <w:rFonts w:ascii="Arial" w:hAnsi="Arial" w:cs="Arial"/>
          <w:color w:val="000000"/>
          <w:sz w:val="22"/>
          <w:szCs w:val="22"/>
        </w:rPr>
        <w:t xml:space="preserve">stos por distribuir para bienes, </w:t>
      </w:r>
      <w:r w:rsidRPr="00BB157A">
        <w:rPr>
          <w:rFonts w:ascii="Arial" w:hAnsi="Arial" w:cs="Arial"/>
          <w:color w:val="000000"/>
          <w:sz w:val="22"/>
          <w:szCs w:val="22"/>
        </w:rPr>
        <w:t xml:space="preserve">costos y gastos por distribuir para servicios, </w:t>
      </w:r>
      <w:r w:rsidR="00BB6D9D">
        <w:rPr>
          <w:rFonts w:ascii="Arial" w:hAnsi="Arial" w:cs="Arial"/>
          <w:color w:val="000000"/>
          <w:sz w:val="22"/>
          <w:szCs w:val="22"/>
        </w:rPr>
        <w:t>entre otros</w:t>
      </w:r>
      <w:r w:rsidRPr="00BB157A">
        <w:rPr>
          <w:rFonts w:ascii="Arial" w:hAnsi="Arial" w:cs="Arial"/>
          <w:color w:val="000000"/>
          <w:sz w:val="22"/>
          <w:szCs w:val="22"/>
        </w:rPr>
        <w:t>, con los siguientes criterios:</w:t>
      </w:r>
    </w:p>
    <w:p w14:paraId="5BDB2A09" w14:textId="77777777" w:rsidR="006672D7" w:rsidRPr="00BB157A" w:rsidRDefault="006672D7" w:rsidP="00A0134B">
      <w:pPr>
        <w:pStyle w:val="unico"/>
        <w:spacing w:before="0" w:beforeAutospacing="0" w:after="0" w:afterAutospacing="0" w:line="288" w:lineRule="auto"/>
        <w:jc w:val="both"/>
        <w:rPr>
          <w:rFonts w:ascii="Arial" w:hAnsi="Arial" w:cs="Arial"/>
          <w:color w:val="000000"/>
          <w:sz w:val="22"/>
          <w:szCs w:val="22"/>
        </w:rPr>
      </w:pPr>
    </w:p>
    <w:p w14:paraId="01E87869" w14:textId="77777777" w:rsidR="002B0AE4" w:rsidRDefault="00BB6D9D" w:rsidP="00343ECE">
      <w:pPr>
        <w:pStyle w:val="unico"/>
        <w:numPr>
          <w:ilvl w:val="0"/>
          <w:numId w:val="16"/>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BB6D9D">
        <w:rPr>
          <w:rFonts w:ascii="Arial" w:hAnsi="Arial" w:cs="Arial"/>
          <w:b/>
          <w:color w:val="000000"/>
          <w:sz w:val="22"/>
          <w:szCs w:val="22"/>
        </w:rPr>
        <w:t>Gastos de administración y operación</w:t>
      </w:r>
      <w:r w:rsidR="00E02C7B" w:rsidRPr="00BB6D9D">
        <w:rPr>
          <w:rFonts w:ascii="Arial" w:hAnsi="Arial" w:cs="Arial"/>
          <w:b/>
          <w:color w:val="000000"/>
          <w:sz w:val="22"/>
          <w:szCs w:val="22"/>
        </w:rPr>
        <w:t>:</w:t>
      </w:r>
      <w:r w:rsidR="00E02C7B" w:rsidRPr="00BB6D9D">
        <w:rPr>
          <w:rFonts w:ascii="Arial" w:hAnsi="Arial" w:cs="Arial"/>
          <w:color w:val="000000"/>
          <w:sz w:val="22"/>
          <w:szCs w:val="22"/>
        </w:rPr>
        <w:t xml:space="preserve"> Se refiere a los gastos asociados con actividades de </w:t>
      </w:r>
      <w:r w:rsidRPr="00BB6D9D">
        <w:rPr>
          <w:rFonts w:ascii="Arial" w:hAnsi="Arial" w:cs="Arial"/>
          <w:color w:val="000000"/>
          <w:sz w:val="22"/>
          <w:szCs w:val="22"/>
        </w:rPr>
        <w:t>planificación, organización, dirección, control</w:t>
      </w:r>
      <w:r w:rsidR="00E02C7B" w:rsidRPr="00BB6D9D">
        <w:rPr>
          <w:rFonts w:ascii="Arial" w:hAnsi="Arial" w:cs="Arial"/>
          <w:color w:val="000000"/>
          <w:sz w:val="22"/>
          <w:szCs w:val="22"/>
        </w:rPr>
        <w:t xml:space="preserve"> y apoyo logístico</w:t>
      </w:r>
      <w:r w:rsidRPr="00BB6D9D">
        <w:rPr>
          <w:rFonts w:ascii="Arial" w:hAnsi="Arial" w:cs="Arial"/>
          <w:color w:val="000000"/>
          <w:sz w:val="22"/>
          <w:szCs w:val="22"/>
        </w:rPr>
        <w:t>;</w:t>
      </w:r>
      <w:r w:rsidR="00E02C7B" w:rsidRPr="00BB6D9D">
        <w:rPr>
          <w:rFonts w:ascii="Arial" w:hAnsi="Arial" w:cs="Arial"/>
          <w:color w:val="000000"/>
          <w:sz w:val="22"/>
          <w:szCs w:val="22"/>
        </w:rPr>
        <w:t xml:space="preserve"> </w:t>
      </w:r>
      <w:r w:rsidRPr="00BB6D9D">
        <w:rPr>
          <w:rFonts w:ascii="Arial" w:hAnsi="Arial" w:cs="Arial"/>
          <w:sz w:val="22"/>
          <w:szCs w:val="22"/>
        </w:rPr>
        <w:t xml:space="preserve">así como los gastos originados en el desarrollo de la operación básica o principal de la entidad, que no deban ser registrados como gasto público social o como costos </w:t>
      </w:r>
      <w:r w:rsidR="00E02C7B" w:rsidRPr="00BB6D9D">
        <w:rPr>
          <w:rFonts w:ascii="Arial" w:hAnsi="Arial" w:cs="Arial"/>
          <w:color w:val="000000"/>
          <w:sz w:val="22"/>
          <w:szCs w:val="22"/>
        </w:rPr>
        <w:t>(grupo 51: sueldos y salarios, contribuciones imputadas y efectivas, aportes de la nómina, generales e impuestos).</w:t>
      </w:r>
    </w:p>
    <w:p w14:paraId="4E5FFF27" w14:textId="77777777" w:rsidR="002B0AE4" w:rsidRPr="002B0AE4" w:rsidRDefault="002B0AE4" w:rsidP="006E2028">
      <w:pPr>
        <w:pStyle w:val="unico"/>
        <w:tabs>
          <w:tab w:val="left" w:pos="851"/>
        </w:tabs>
        <w:spacing w:before="0" w:beforeAutospacing="0" w:after="0" w:afterAutospacing="0" w:line="288" w:lineRule="auto"/>
        <w:ind w:left="142" w:hanging="142"/>
        <w:jc w:val="both"/>
        <w:rPr>
          <w:rFonts w:ascii="Arial" w:hAnsi="Arial" w:cs="Arial"/>
          <w:color w:val="000000"/>
          <w:sz w:val="22"/>
          <w:szCs w:val="22"/>
        </w:rPr>
      </w:pPr>
    </w:p>
    <w:p w14:paraId="53CC5F0D" w14:textId="77777777" w:rsidR="002B0AE4" w:rsidRDefault="00E02C7B" w:rsidP="00343ECE">
      <w:pPr>
        <w:pStyle w:val="unico"/>
        <w:numPr>
          <w:ilvl w:val="0"/>
          <w:numId w:val="16"/>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2B0AE4">
        <w:rPr>
          <w:rFonts w:ascii="Arial" w:hAnsi="Arial" w:cs="Arial"/>
          <w:b/>
          <w:color w:val="000000"/>
          <w:sz w:val="22"/>
          <w:szCs w:val="22"/>
        </w:rPr>
        <w:t>Otros:</w:t>
      </w:r>
      <w:r w:rsidRPr="002B0AE4">
        <w:rPr>
          <w:rFonts w:ascii="Arial" w:hAnsi="Arial" w:cs="Arial"/>
          <w:color w:val="000000"/>
          <w:sz w:val="22"/>
          <w:szCs w:val="22"/>
        </w:rPr>
        <w:t xml:space="preserve"> Corresponden</w:t>
      </w:r>
      <w:r w:rsidR="008B7862" w:rsidRPr="002B0AE4">
        <w:rPr>
          <w:rFonts w:ascii="Arial" w:hAnsi="Arial" w:cs="Arial"/>
          <w:color w:val="000000"/>
          <w:sz w:val="22"/>
          <w:szCs w:val="22"/>
        </w:rPr>
        <w:t xml:space="preserve">, entre otros, </w:t>
      </w:r>
      <w:r w:rsidRPr="002B0AE4">
        <w:rPr>
          <w:rFonts w:ascii="Arial" w:hAnsi="Arial" w:cs="Arial"/>
          <w:color w:val="000000"/>
          <w:sz w:val="22"/>
          <w:szCs w:val="22"/>
        </w:rPr>
        <w:t xml:space="preserve">a la compra de inventario (grupo 15), de propiedades, planta y equipo (grupo 16), transferencias (grupo 54), </w:t>
      </w:r>
      <w:r w:rsidR="00FD02C0" w:rsidRPr="002B0AE4">
        <w:rPr>
          <w:rFonts w:ascii="Arial" w:hAnsi="Arial" w:cs="Arial"/>
          <w:color w:val="000000"/>
          <w:sz w:val="22"/>
          <w:szCs w:val="22"/>
        </w:rPr>
        <w:t xml:space="preserve">emisión y colocación de títulos de deuda </w:t>
      </w:r>
      <w:r w:rsidRPr="002B0AE4">
        <w:rPr>
          <w:rFonts w:ascii="Arial" w:hAnsi="Arial" w:cs="Arial"/>
          <w:color w:val="000000"/>
          <w:sz w:val="22"/>
          <w:szCs w:val="22"/>
        </w:rPr>
        <w:t xml:space="preserve">(grupo 22), </w:t>
      </w:r>
      <w:r w:rsidR="00FD02C0" w:rsidRPr="002B0AE4">
        <w:rPr>
          <w:rFonts w:ascii="Arial" w:hAnsi="Arial" w:cs="Arial"/>
          <w:color w:val="000000"/>
          <w:sz w:val="22"/>
          <w:szCs w:val="22"/>
        </w:rPr>
        <w:t xml:space="preserve">préstamos por pagar grupo 23), </w:t>
      </w:r>
      <w:r w:rsidRPr="002B0AE4">
        <w:rPr>
          <w:rFonts w:ascii="Arial" w:hAnsi="Arial" w:cs="Arial"/>
          <w:color w:val="000000"/>
          <w:sz w:val="22"/>
          <w:szCs w:val="22"/>
        </w:rPr>
        <w:t>ga</w:t>
      </w:r>
      <w:r w:rsidR="00FD02C0" w:rsidRPr="002B0AE4">
        <w:rPr>
          <w:rFonts w:ascii="Arial" w:hAnsi="Arial" w:cs="Arial"/>
          <w:color w:val="000000"/>
          <w:sz w:val="22"/>
          <w:szCs w:val="22"/>
        </w:rPr>
        <w:t xml:space="preserve">sto público social (grupo 55) y </w:t>
      </w:r>
      <w:r w:rsidRPr="002B0AE4">
        <w:rPr>
          <w:rFonts w:ascii="Arial" w:hAnsi="Arial" w:cs="Arial"/>
          <w:color w:val="000000"/>
          <w:sz w:val="22"/>
          <w:szCs w:val="22"/>
        </w:rPr>
        <w:t>otros gastos (grupo 58).</w:t>
      </w:r>
    </w:p>
    <w:p w14:paraId="62674512" w14:textId="77777777" w:rsidR="002B0AE4" w:rsidRDefault="002B0AE4" w:rsidP="006E2028">
      <w:pPr>
        <w:pStyle w:val="Prrafodelista"/>
        <w:spacing w:line="288" w:lineRule="auto"/>
        <w:ind w:left="142" w:hanging="142"/>
        <w:rPr>
          <w:rFonts w:ascii="Arial" w:hAnsi="Arial" w:cs="Arial"/>
          <w:b/>
          <w:color w:val="000000"/>
          <w:sz w:val="22"/>
          <w:szCs w:val="22"/>
        </w:rPr>
      </w:pPr>
    </w:p>
    <w:p w14:paraId="2ED1AB17" w14:textId="77777777" w:rsidR="002B0AE4" w:rsidRDefault="00E02C7B" w:rsidP="00343ECE">
      <w:pPr>
        <w:pStyle w:val="unico"/>
        <w:numPr>
          <w:ilvl w:val="0"/>
          <w:numId w:val="16"/>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2B0AE4">
        <w:rPr>
          <w:rFonts w:ascii="Arial" w:hAnsi="Arial" w:cs="Arial"/>
          <w:b/>
          <w:color w:val="000000"/>
          <w:sz w:val="22"/>
          <w:szCs w:val="22"/>
        </w:rPr>
        <w:t>Costos y gastos por distribuir para bienes:</w:t>
      </w:r>
      <w:r w:rsidRPr="002B0AE4">
        <w:rPr>
          <w:rFonts w:ascii="Arial" w:hAnsi="Arial" w:cs="Arial"/>
          <w:color w:val="000000"/>
          <w:sz w:val="22"/>
          <w:szCs w:val="22"/>
        </w:rPr>
        <w:t xml:space="preserve"> Corresponden a la utilización de la subcuenta 589701 bienes producidos, que </w:t>
      </w:r>
      <w:r w:rsidRPr="00C74A64">
        <w:rPr>
          <w:rFonts w:ascii="Arial" w:hAnsi="Arial" w:cs="Arial"/>
          <w:i/>
          <w:iCs/>
          <w:color w:val="000000"/>
          <w:sz w:val="22"/>
          <w:szCs w:val="22"/>
        </w:rPr>
        <w:t xml:space="preserve">“(...) representa el valor de los costos y gastos </w:t>
      </w:r>
      <w:r w:rsidRPr="00C74A64">
        <w:rPr>
          <w:rFonts w:ascii="Arial" w:hAnsi="Arial" w:cs="Arial"/>
          <w:i/>
          <w:iCs/>
          <w:color w:val="000000"/>
          <w:sz w:val="22"/>
          <w:szCs w:val="22"/>
        </w:rPr>
        <w:lastRenderedPageBreak/>
        <w:t>incurridos por la entidad que no pueden identificarse directamente con un centro de costos productivo o administrativo, para lo cual debe adelantarse un proceso de distribución</w:t>
      </w:r>
      <w:r w:rsidR="0021270F" w:rsidRPr="00C74A64">
        <w:rPr>
          <w:rFonts w:ascii="Arial" w:hAnsi="Arial" w:cs="Arial"/>
          <w:i/>
          <w:iCs/>
          <w:color w:val="000000"/>
          <w:sz w:val="22"/>
          <w:szCs w:val="22"/>
        </w:rPr>
        <w:t xml:space="preserve"> de los mismos</w:t>
      </w:r>
      <w:r w:rsidRPr="00C74A64">
        <w:rPr>
          <w:rFonts w:ascii="Arial" w:hAnsi="Arial" w:cs="Arial"/>
          <w:i/>
          <w:iCs/>
          <w:color w:val="000000"/>
          <w:sz w:val="22"/>
          <w:szCs w:val="22"/>
        </w:rPr>
        <w:t>. Este proceso debe efectuarse como mínimo al finalizar el mes, momento en el cual el saldo de la cuenta debe ser igual a cero”</w:t>
      </w:r>
      <w:r w:rsidRPr="002B0AE4">
        <w:rPr>
          <w:rFonts w:ascii="Arial" w:hAnsi="Arial" w:cs="Arial"/>
          <w:color w:val="000000"/>
          <w:sz w:val="22"/>
          <w:szCs w:val="22"/>
        </w:rPr>
        <w:t>.</w:t>
      </w:r>
    </w:p>
    <w:p w14:paraId="3C9D6C3E" w14:textId="77777777" w:rsidR="002B0AE4" w:rsidRDefault="002B0AE4" w:rsidP="006E2028">
      <w:pPr>
        <w:pStyle w:val="Prrafodelista"/>
        <w:spacing w:line="288" w:lineRule="auto"/>
        <w:ind w:left="142" w:hanging="142"/>
        <w:rPr>
          <w:rFonts w:ascii="Arial" w:hAnsi="Arial" w:cs="Arial"/>
          <w:b/>
          <w:color w:val="000000"/>
          <w:sz w:val="22"/>
          <w:szCs w:val="22"/>
        </w:rPr>
      </w:pPr>
    </w:p>
    <w:p w14:paraId="7E4E6D06" w14:textId="77777777" w:rsidR="00E02C7B" w:rsidRPr="002B0AE4" w:rsidRDefault="00E02C7B" w:rsidP="00343ECE">
      <w:pPr>
        <w:pStyle w:val="unico"/>
        <w:numPr>
          <w:ilvl w:val="0"/>
          <w:numId w:val="16"/>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2B0AE4">
        <w:rPr>
          <w:rFonts w:ascii="Arial" w:hAnsi="Arial" w:cs="Arial"/>
          <w:b/>
          <w:color w:val="000000"/>
          <w:sz w:val="22"/>
          <w:szCs w:val="22"/>
        </w:rPr>
        <w:t>Costos y gastos por distribuir para servicios:</w:t>
      </w:r>
      <w:r w:rsidRPr="002B0AE4">
        <w:rPr>
          <w:rFonts w:ascii="Arial" w:hAnsi="Arial" w:cs="Arial"/>
          <w:color w:val="000000"/>
          <w:sz w:val="22"/>
          <w:szCs w:val="22"/>
        </w:rPr>
        <w:t xml:space="preserve"> Corresponde a la utilización de la subcuenta 589723 servicios, que </w:t>
      </w:r>
      <w:r w:rsidR="0021270F" w:rsidRPr="00C74A64">
        <w:rPr>
          <w:rFonts w:ascii="Arial" w:hAnsi="Arial" w:cs="Arial"/>
          <w:i/>
          <w:iCs/>
          <w:color w:val="000000"/>
          <w:sz w:val="22"/>
          <w:szCs w:val="22"/>
        </w:rPr>
        <w:t>“(...) representa el valor de los costos y gastos incurridos por la entidad que no pueden identificarse directamente con un centro de costos productivo o administrativo, para lo cual debe adelantarse un proceso de distribución de los mismos. Este proceso debe efectuarse como mínimo al finalizar el mes, momento en el cual el saldo de la cuenta debe ser igual a cero”.</w:t>
      </w:r>
    </w:p>
    <w:p w14:paraId="21B96B9A" w14:textId="77777777" w:rsidR="00E02C7B" w:rsidRPr="00BB157A" w:rsidRDefault="00E02C7B" w:rsidP="00A0134B">
      <w:pPr>
        <w:pStyle w:val="unico"/>
        <w:spacing w:before="0" w:beforeAutospacing="0" w:after="0" w:afterAutospacing="0" w:line="288" w:lineRule="auto"/>
        <w:jc w:val="both"/>
        <w:rPr>
          <w:rFonts w:ascii="Arial" w:hAnsi="Arial" w:cs="Arial"/>
          <w:color w:val="000000"/>
          <w:sz w:val="22"/>
          <w:szCs w:val="22"/>
        </w:rPr>
      </w:pPr>
    </w:p>
    <w:p w14:paraId="6161C67D" w14:textId="77777777" w:rsidR="00E02C7B" w:rsidRDefault="00E02C7B" w:rsidP="00A0134B">
      <w:pPr>
        <w:pStyle w:val="unico"/>
        <w:spacing w:before="0" w:beforeAutospacing="0" w:after="0" w:afterAutospacing="0" w:line="288" w:lineRule="auto"/>
        <w:jc w:val="both"/>
        <w:rPr>
          <w:rFonts w:ascii="Arial" w:hAnsi="Arial" w:cs="Arial"/>
          <w:color w:val="000000"/>
          <w:sz w:val="22"/>
          <w:szCs w:val="22"/>
        </w:rPr>
      </w:pPr>
      <w:r w:rsidRPr="0021270F">
        <w:rPr>
          <w:rFonts w:ascii="Arial" w:hAnsi="Arial" w:cs="Arial"/>
          <w:b/>
          <w:color w:val="000000"/>
          <w:sz w:val="22"/>
          <w:szCs w:val="22"/>
        </w:rPr>
        <w:t>Usos contables:</w:t>
      </w:r>
      <w:r w:rsidRPr="00BB157A">
        <w:rPr>
          <w:rFonts w:ascii="Arial" w:hAnsi="Arial" w:cs="Arial"/>
          <w:color w:val="000000"/>
          <w:sz w:val="22"/>
          <w:szCs w:val="22"/>
        </w:rPr>
        <w:t xml:space="preserve"> Define el registro contable débito y aplica a los rubros que tienen asociado el tipo de operación con usos. Permite la selección de un concepto de uso en una lista, para definir uno o varios códigos contables débito por cada ítem de afectación de gasto cuando los hechos económicos tienen más de una alternativa para el registro contable.</w:t>
      </w:r>
    </w:p>
    <w:p w14:paraId="7F08978D" w14:textId="77777777" w:rsidR="0021270F" w:rsidRPr="00BB157A" w:rsidRDefault="0021270F" w:rsidP="00A0134B">
      <w:pPr>
        <w:pStyle w:val="unico"/>
        <w:spacing w:before="0" w:beforeAutospacing="0" w:after="0" w:afterAutospacing="0" w:line="288" w:lineRule="auto"/>
        <w:jc w:val="both"/>
        <w:rPr>
          <w:rFonts w:ascii="Arial" w:hAnsi="Arial" w:cs="Arial"/>
          <w:color w:val="000000"/>
          <w:sz w:val="22"/>
          <w:szCs w:val="22"/>
        </w:rPr>
      </w:pPr>
    </w:p>
    <w:p w14:paraId="07AAFCE1" w14:textId="77777777" w:rsidR="00E02C7B" w:rsidRDefault="00E02C7B" w:rsidP="00A0134B">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Este insumo se utiliza en la parametrización de los rubros presupuestales de transferencias para funcionamiento, inversión, otros impuestos y vigencias expiradas, considerando que el usuario, con los soportes de la transacción, puede definir la subcuenta del gasto que corresponda.</w:t>
      </w:r>
    </w:p>
    <w:p w14:paraId="45B3F292" w14:textId="77777777" w:rsidR="009C3D52" w:rsidRPr="00BB157A" w:rsidRDefault="009C3D52" w:rsidP="00A0134B">
      <w:pPr>
        <w:pStyle w:val="unico"/>
        <w:spacing w:before="0" w:beforeAutospacing="0" w:after="0" w:afterAutospacing="0" w:line="288" w:lineRule="auto"/>
        <w:jc w:val="both"/>
        <w:rPr>
          <w:rFonts w:ascii="Arial" w:hAnsi="Arial" w:cs="Arial"/>
          <w:color w:val="000000"/>
          <w:sz w:val="22"/>
          <w:szCs w:val="22"/>
        </w:rPr>
      </w:pPr>
    </w:p>
    <w:p w14:paraId="236D92AC" w14:textId="31851635" w:rsidR="00E02C7B" w:rsidRDefault="00E02C7B" w:rsidP="00A0134B">
      <w:pPr>
        <w:pStyle w:val="unico"/>
        <w:spacing w:before="0" w:beforeAutospacing="0" w:after="0" w:afterAutospacing="0" w:line="288" w:lineRule="auto"/>
        <w:jc w:val="both"/>
        <w:rPr>
          <w:rFonts w:ascii="Arial" w:hAnsi="Arial" w:cs="Arial"/>
          <w:color w:val="000000"/>
          <w:sz w:val="22"/>
          <w:szCs w:val="22"/>
        </w:rPr>
      </w:pPr>
      <w:r w:rsidRPr="009C3D52">
        <w:rPr>
          <w:rFonts w:ascii="Arial" w:hAnsi="Arial" w:cs="Arial"/>
          <w:b/>
          <w:color w:val="000000"/>
          <w:sz w:val="22"/>
          <w:szCs w:val="22"/>
        </w:rPr>
        <w:t>Atributo contable:</w:t>
      </w:r>
      <w:r w:rsidRPr="00BB157A">
        <w:rPr>
          <w:rFonts w:ascii="Arial" w:hAnsi="Arial" w:cs="Arial"/>
          <w:color w:val="000000"/>
          <w:sz w:val="22"/>
          <w:szCs w:val="22"/>
        </w:rPr>
        <w:t xml:space="preserve"> Permite definir si la obligación presupuestal tiene o no efecto contable, diferenciando las operaciones que registran recursos originados en contratos de encargo fiduciario a favor de la entidad y los originados en la administración de recursos celebrados con entidades distintas a las entidades fiduciarias. Así mismo, corresponde a los valores entregados en forma anticipada para la obtención de bienes o servicios, además de los entregados para viáticos, gastos de viaje y pagos anticipados para la adquisición de bienes y servicios, que por ser operaciones de flujo se registran en el pago. De otra </w:t>
      </w:r>
      <w:r w:rsidR="00AE3131" w:rsidRPr="00BB157A">
        <w:rPr>
          <w:rFonts w:ascii="Arial" w:hAnsi="Arial" w:cs="Arial"/>
          <w:color w:val="000000"/>
          <w:sz w:val="22"/>
          <w:szCs w:val="22"/>
        </w:rPr>
        <w:t>parte,</w:t>
      </w:r>
      <w:r w:rsidRPr="00BB157A">
        <w:rPr>
          <w:rFonts w:ascii="Arial" w:hAnsi="Arial" w:cs="Arial"/>
          <w:color w:val="000000"/>
          <w:sz w:val="22"/>
          <w:szCs w:val="22"/>
        </w:rPr>
        <w:t xml:space="preserve"> el atributo </w:t>
      </w:r>
      <w:r w:rsidRPr="00C74A64">
        <w:rPr>
          <w:rFonts w:ascii="Arial" w:hAnsi="Arial" w:cs="Arial"/>
          <w:i/>
          <w:iCs/>
          <w:color w:val="000000"/>
          <w:sz w:val="22"/>
          <w:szCs w:val="22"/>
        </w:rPr>
        <w:t>“ninguno”</w:t>
      </w:r>
      <w:r w:rsidRPr="00BB157A">
        <w:rPr>
          <w:rFonts w:ascii="Arial" w:hAnsi="Arial" w:cs="Arial"/>
          <w:color w:val="000000"/>
          <w:sz w:val="22"/>
          <w:szCs w:val="22"/>
        </w:rPr>
        <w:t xml:space="preserve"> registra en la obligación.</w:t>
      </w:r>
    </w:p>
    <w:p w14:paraId="3DA09CD6" w14:textId="77777777" w:rsidR="009C3D52" w:rsidRPr="00BB157A" w:rsidRDefault="009C3D52" w:rsidP="00A0134B">
      <w:pPr>
        <w:pStyle w:val="unico"/>
        <w:spacing w:before="0" w:beforeAutospacing="0" w:after="0" w:afterAutospacing="0" w:line="288" w:lineRule="auto"/>
        <w:jc w:val="both"/>
        <w:rPr>
          <w:rFonts w:ascii="Arial" w:hAnsi="Arial" w:cs="Arial"/>
          <w:color w:val="000000"/>
          <w:sz w:val="22"/>
          <w:szCs w:val="22"/>
        </w:rPr>
      </w:pPr>
    </w:p>
    <w:p w14:paraId="55AD9B1A" w14:textId="77777777" w:rsidR="00E02C7B" w:rsidRDefault="00E02C7B" w:rsidP="00A0134B">
      <w:pPr>
        <w:pStyle w:val="unico"/>
        <w:spacing w:before="0" w:beforeAutospacing="0" w:after="0" w:afterAutospacing="0" w:line="288" w:lineRule="auto"/>
        <w:jc w:val="both"/>
        <w:rPr>
          <w:rFonts w:ascii="Arial" w:hAnsi="Arial" w:cs="Arial"/>
          <w:color w:val="000000"/>
          <w:sz w:val="22"/>
          <w:szCs w:val="22"/>
        </w:rPr>
      </w:pPr>
      <w:r w:rsidRPr="00BB157A">
        <w:rPr>
          <w:rFonts w:ascii="Arial" w:hAnsi="Arial" w:cs="Arial"/>
          <w:color w:val="000000"/>
          <w:sz w:val="22"/>
          <w:szCs w:val="22"/>
        </w:rPr>
        <w:t xml:space="preserve">La lista de conceptos que no tienen efecto contable en la obligación, por corresponder a operaciones de flujo con la marca </w:t>
      </w:r>
      <w:r w:rsidRPr="00C74A64">
        <w:rPr>
          <w:rFonts w:ascii="Arial" w:hAnsi="Arial" w:cs="Arial"/>
          <w:i/>
          <w:iCs/>
          <w:color w:val="000000"/>
          <w:sz w:val="22"/>
          <w:szCs w:val="22"/>
        </w:rPr>
        <w:t>“atributo contable”</w:t>
      </w:r>
      <w:r w:rsidRPr="00BB157A">
        <w:rPr>
          <w:rFonts w:ascii="Arial" w:hAnsi="Arial" w:cs="Arial"/>
          <w:color w:val="000000"/>
          <w:sz w:val="22"/>
          <w:szCs w:val="22"/>
        </w:rPr>
        <w:t>, son:</w:t>
      </w:r>
    </w:p>
    <w:p w14:paraId="042202BA" w14:textId="77777777" w:rsidR="00731CF5" w:rsidRDefault="00731CF5" w:rsidP="00E02C7B">
      <w:pPr>
        <w:pStyle w:val="unico"/>
        <w:spacing w:before="0" w:beforeAutospacing="0" w:after="0" w:afterAutospacing="0" w:line="288" w:lineRule="auto"/>
        <w:jc w:val="both"/>
        <w:rPr>
          <w:rFonts w:ascii="Arial" w:hAnsi="Arial" w:cs="Arial"/>
          <w:color w:val="000000"/>
          <w:sz w:val="22"/>
          <w:szCs w:val="22"/>
        </w:rPr>
      </w:pPr>
    </w:p>
    <w:tbl>
      <w:tblPr>
        <w:tblW w:w="0" w:type="auto"/>
        <w:jc w:val="center"/>
        <w:tblCellMar>
          <w:left w:w="70" w:type="dxa"/>
          <w:right w:w="70" w:type="dxa"/>
        </w:tblCellMar>
        <w:tblLook w:val="04A0" w:firstRow="1" w:lastRow="0" w:firstColumn="1" w:lastColumn="0" w:noHBand="0" w:noVBand="1"/>
      </w:tblPr>
      <w:tblGrid>
        <w:gridCol w:w="541"/>
        <w:gridCol w:w="2260"/>
        <w:gridCol w:w="786"/>
        <w:gridCol w:w="589"/>
        <w:gridCol w:w="146"/>
        <w:gridCol w:w="541"/>
        <w:gridCol w:w="2592"/>
        <w:gridCol w:w="786"/>
        <w:gridCol w:w="589"/>
      </w:tblGrid>
      <w:tr w:rsidR="007B563F" w:rsidRPr="001D3F74" w14:paraId="04298CDC" w14:textId="77777777" w:rsidTr="0068376F">
        <w:trPr>
          <w:trHeight w:val="5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2F5395"/>
            <w:vAlign w:val="center"/>
            <w:hideMark/>
          </w:tcPr>
          <w:p w14:paraId="27CF530B" w14:textId="77777777" w:rsidR="007B563F" w:rsidRPr="001D3F74" w:rsidRDefault="00DD70A7"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Código</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57B19B0E" w14:textId="77777777" w:rsidR="007B563F" w:rsidRPr="001D3F74" w:rsidRDefault="00DD70A7"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Descripción</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53965BBD" w14:textId="77777777" w:rsidR="007B563F" w:rsidRPr="001D3F74" w:rsidRDefault="007B563F"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Contabiliza</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4A4A362E" w14:textId="77777777" w:rsidR="007B563F" w:rsidRPr="001D3F74" w:rsidRDefault="007B563F"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Vigente</w:t>
            </w:r>
          </w:p>
        </w:tc>
        <w:tc>
          <w:tcPr>
            <w:tcW w:w="0" w:type="auto"/>
            <w:tcBorders>
              <w:top w:val="nil"/>
              <w:left w:val="nil"/>
              <w:bottom w:val="nil"/>
              <w:right w:val="nil"/>
            </w:tcBorders>
            <w:shd w:val="clear" w:color="auto" w:fill="auto"/>
            <w:noWrap/>
            <w:vAlign w:val="center"/>
            <w:hideMark/>
          </w:tcPr>
          <w:p w14:paraId="1C0D585B" w14:textId="77777777" w:rsidR="007B563F" w:rsidRPr="001D3F74" w:rsidRDefault="007B563F" w:rsidP="007B563F">
            <w:pPr>
              <w:jc w:val="center"/>
              <w:rPr>
                <w:rFonts w:ascii="Calibri" w:hAnsi="Calibri"/>
                <w:b/>
                <w:bCs/>
                <w:color w:val="FFFFFF"/>
                <w:sz w:val="14"/>
                <w:szCs w:val="14"/>
                <w:lang w:val="es-CO" w:eastAsia="es-CO"/>
              </w:rPr>
            </w:pPr>
          </w:p>
        </w:tc>
        <w:tc>
          <w:tcPr>
            <w:tcW w:w="0" w:type="auto"/>
            <w:tcBorders>
              <w:top w:val="single" w:sz="4" w:space="0" w:color="000000"/>
              <w:left w:val="single" w:sz="4" w:space="0" w:color="000000"/>
              <w:bottom w:val="single" w:sz="4" w:space="0" w:color="000000"/>
              <w:right w:val="single" w:sz="4" w:space="0" w:color="000000"/>
            </w:tcBorders>
            <w:shd w:val="clear" w:color="000000" w:fill="2F5395"/>
            <w:vAlign w:val="center"/>
            <w:hideMark/>
          </w:tcPr>
          <w:p w14:paraId="47036623" w14:textId="77777777" w:rsidR="007B563F" w:rsidRPr="001D3F74" w:rsidRDefault="00DD70A7"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Código</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687226B4" w14:textId="77777777" w:rsidR="007B563F" w:rsidRPr="001D3F74" w:rsidRDefault="00DD70A7"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Descripción</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7E43A6FF" w14:textId="77777777" w:rsidR="007B563F" w:rsidRPr="001D3F74" w:rsidRDefault="007B563F"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Contabiliza</w:t>
            </w:r>
          </w:p>
        </w:tc>
        <w:tc>
          <w:tcPr>
            <w:tcW w:w="0" w:type="auto"/>
            <w:tcBorders>
              <w:top w:val="single" w:sz="4" w:space="0" w:color="000000"/>
              <w:left w:val="nil"/>
              <w:bottom w:val="single" w:sz="4" w:space="0" w:color="000000"/>
              <w:right w:val="single" w:sz="4" w:space="0" w:color="000000"/>
            </w:tcBorders>
            <w:shd w:val="clear" w:color="000000" w:fill="2F5395"/>
            <w:vAlign w:val="center"/>
            <w:hideMark/>
          </w:tcPr>
          <w:p w14:paraId="046A7C27" w14:textId="77777777" w:rsidR="007B563F" w:rsidRPr="001D3F74" w:rsidRDefault="007B563F" w:rsidP="007B563F">
            <w:pPr>
              <w:jc w:val="center"/>
              <w:rPr>
                <w:rFonts w:ascii="Calibri" w:hAnsi="Calibri"/>
                <w:b/>
                <w:bCs/>
                <w:color w:val="FFFFFF"/>
                <w:sz w:val="14"/>
                <w:szCs w:val="14"/>
                <w:lang w:val="es-CO" w:eastAsia="es-CO"/>
              </w:rPr>
            </w:pPr>
            <w:r w:rsidRPr="001D3F74">
              <w:rPr>
                <w:rFonts w:ascii="Calibri" w:hAnsi="Calibri"/>
                <w:b/>
                <w:bCs/>
                <w:color w:val="FFFFFF"/>
                <w:sz w:val="14"/>
                <w:szCs w:val="14"/>
                <w:lang w:val="es-CO" w:eastAsia="es-CO"/>
              </w:rPr>
              <w:t>Vigente</w:t>
            </w:r>
          </w:p>
        </w:tc>
      </w:tr>
      <w:tr w:rsidR="007B563F" w:rsidRPr="001D3F74" w14:paraId="64CF54E6"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90D793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w:t>
            </w:r>
          </w:p>
        </w:tc>
        <w:tc>
          <w:tcPr>
            <w:tcW w:w="0" w:type="auto"/>
            <w:tcBorders>
              <w:top w:val="nil"/>
              <w:left w:val="nil"/>
              <w:bottom w:val="single" w:sz="4" w:space="0" w:color="000000"/>
              <w:right w:val="single" w:sz="4" w:space="0" w:color="000000"/>
            </w:tcBorders>
            <w:shd w:val="clear" w:color="auto" w:fill="auto"/>
            <w:vAlign w:val="center"/>
            <w:hideMark/>
          </w:tcPr>
          <w:p w14:paraId="24F0DE2C"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Anticipo adquisición bienes y servicios</w:t>
            </w:r>
          </w:p>
        </w:tc>
        <w:tc>
          <w:tcPr>
            <w:tcW w:w="0" w:type="auto"/>
            <w:tcBorders>
              <w:top w:val="nil"/>
              <w:left w:val="nil"/>
              <w:bottom w:val="single" w:sz="4" w:space="0" w:color="000000"/>
              <w:right w:val="single" w:sz="4" w:space="0" w:color="000000"/>
            </w:tcBorders>
            <w:shd w:val="clear" w:color="auto" w:fill="auto"/>
            <w:vAlign w:val="center"/>
            <w:hideMark/>
          </w:tcPr>
          <w:p w14:paraId="4787FCA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6F35A4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00DAE23C"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25D11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25</w:t>
            </w:r>
          </w:p>
        </w:tc>
        <w:tc>
          <w:tcPr>
            <w:tcW w:w="0" w:type="auto"/>
            <w:tcBorders>
              <w:top w:val="nil"/>
              <w:left w:val="nil"/>
              <w:bottom w:val="single" w:sz="4" w:space="0" w:color="000000"/>
              <w:right w:val="single" w:sz="4" w:space="0" w:color="000000"/>
            </w:tcBorders>
            <w:shd w:val="clear" w:color="auto" w:fill="auto"/>
            <w:vAlign w:val="center"/>
            <w:hideMark/>
          </w:tcPr>
          <w:p w14:paraId="0DD44405"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Depósitos recibidos en administración</w:t>
            </w:r>
          </w:p>
        </w:tc>
        <w:tc>
          <w:tcPr>
            <w:tcW w:w="0" w:type="auto"/>
            <w:tcBorders>
              <w:top w:val="nil"/>
              <w:left w:val="nil"/>
              <w:bottom w:val="single" w:sz="4" w:space="0" w:color="000000"/>
              <w:right w:val="single" w:sz="4" w:space="0" w:color="000000"/>
            </w:tcBorders>
            <w:shd w:val="clear" w:color="auto" w:fill="auto"/>
            <w:vAlign w:val="center"/>
            <w:hideMark/>
          </w:tcPr>
          <w:p w14:paraId="234223C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3B631FF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4DD4573B"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F8DE8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667E0595"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bienes y servicios</w:t>
            </w:r>
          </w:p>
        </w:tc>
        <w:tc>
          <w:tcPr>
            <w:tcW w:w="0" w:type="auto"/>
            <w:tcBorders>
              <w:top w:val="nil"/>
              <w:left w:val="nil"/>
              <w:bottom w:val="single" w:sz="4" w:space="0" w:color="000000"/>
              <w:right w:val="single" w:sz="4" w:space="0" w:color="000000"/>
            </w:tcBorders>
            <w:shd w:val="clear" w:color="auto" w:fill="auto"/>
            <w:vAlign w:val="center"/>
            <w:hideMark/>
          </w:tcPr>
          <w:p w14:paraId="0BA920D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725D92C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0AD49864"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E6DB8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26</w:t>
            </w:r>
          </w:p>
        </w:tc>
        <w:tc>
          <w:tcPr>
            <w:tcW w:w="0" w:type="auto"/>
            <w:tcBorders>
              <w:top w:val="nil"/>
              <w:left w:val="nil"/>
              <w:bottom w:val="single" w:sz="4" w:space="0" w:color="000000"/>
              <w:right w:val="single" w:sz="4" w:space="0" w:color="000000"/>
            </w:tcBorders>
            <w:shd w:val="clear" w:color="auto" w:fill="auto"/>
            <w:vAlign w:val="center"/>
            <w:hideMark/>
          </w:tcPr>
          <w:p w14:paraId="6B8030B7"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Préstamos concedidos al gobierno general</w:t>
            </w:r>
          </w:p>
        </w:tc>
        <w:tc>
          <w:tcPr>
            <w:tcW w:w="0" w:type="auto"/>
            <w:tcBorders>
              <w:top w:val="nil"/>
              <w:left w:val="nil"/>
              <w:bottom w:val="single" w:sz="4" w:space="0" w:color="000000"/>
              <w:right w:val="single" w:sz="4" w:space="0" w:color="000000"/>
            </w:tcBorders>
            <w:shd w:val="clear" w:color="auto" w:fill="auto"/>
            <w:vAlign w:val="center"/>
            <w:hideMark/>
          </w:tcPr>
          <w:p w14:paraId="2FD9CD8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1AF517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AF18C26"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2363F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w:t>
            </w:r>
          </w:p>
        </w:tc>
        <w:tc>
          <w:tcPr>
            <w:tcW w:w="0" w:type="auto"/>
            <w:tcBorders>
              <w:top w:val="nil"/>
              <w:left w:val="nil"/>
              <w:bottom w:val="single" w:sz="4" w:space="0" w:color="000000"/>
              <w:right w:val="single" w:sz="4" w:space="0" w:color="000000"/>
            </w:tcBorders>
            <w:shd w:val="clear" w:color="auto" w:fill="auto"/>
            <w:vAlign w:val="center"/>
            <w:hideMark/>
          </w:tcPr>
          <w:p w14:paraId="76BE423B"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Encargo fiduciario</w:t>
            </w:r>
          </w:p>
        </w:tc>
        <w:tc>
          <w:tcPr>
            <w:tcW w:w="0" w:type="auto"/>
            <w:tcBorders>
              <w:top w:val="nil"/>
              <w:left w:val="nil"/>
              <w:bottom w:val="single" w:sz="4" w:space="0" w:color="000000"/>
              <w:right w:val="single" w:sz="4" w:space="0" w:color="000000"/>
            </w:tcBorders>
            <w:shd w:val="clear" w:color="auto" w:fill="auto"/>
            <w:vAlign w:val="center"/>
            <w:hideMark/>
          </w:tcPr>
          <w:p w14:paraId="7BFFD34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059691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21227666"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24DA0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27</w:t>
            </w:r>
          </w:p>
        </w:tc>
        <w:tc>
          <w:tcPr>
            <w:tcW w:w="0" w:type="auto"/>
            <w:tcBorders>
              <w:top w:val="nil"/>
              <w:left w:val="nil"/>
              <w:bottom w:val="single" w:sz="4" w:space="0" w:color="000000"/>
              <w:right w:val="single" w:sz="4" w:space="0" w:color="000000"/>
            </w:tcBorders>
            <w:shd w:val="clear" w:color="auto" w:fill="auto"/>
            <w:vAlign w:val="center"/>
            <w:hideMark/>
          </w:tcPr>
          <w:p w14:paraId="1ACC45FC"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Préstamos concedidos a las empresas no financieras</w:t>
            </w:r>
          </w:p>
        </w:tc>
        <w:tc>
          <w:tcPr>
            <w:tcW w:w="0" w:type="auto"/>
            <w:tcBorders>
              <w:top w:val="nil"/>
              <w:left w:val="nil"/>
              <w:bottom w:val="single" w:sz="4" w:space="0" w:color="000000"/>
              <w:right w:val="single" w:sz="4" w:space="0" w:color="000000"/>
            </w:tcBorders>
            <w:shd w:val="clear" w:color="auto" w:fill="auto"/>
            <w:vAlign w:val="center"/>
            <w:hideMark/>
          </w:tcPr>
          <w:p w14:paraId="29A5A46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2A18ED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390A8639"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F9A509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w:t>
            </w:r>
          </w:p>
        </w:tc>
        <w:tc>
          <w:tcPr>
            <w:tcW w:w="0" w:type="auto"/>
            <w:tcBorders>
              <w:top w:val="nil"/>
              <w:left w:val="nil"/>
              <w:bottom w:val="single" w:sz="4" w:space="0" w:color="000000"/>
              <w:right w:val="single" w:sz="4" w:space="0" w:color="000000"/>
            </w:tcBorders>
            <w:shd w:val="clear" w:color="auto" w:fill="auto"/>
            <w:vAlign w:val="center"/>
            <w:hideMark/>
          </w:tcPr>
          <w:p w14:paraId="1E119E73"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Fondos administrados</w:t>
            </w:r>
          </w:p>
        </w:tc>
        <w:tc>
          <w:tcPr>
            <w:tcW w:w="0" w:type="auto"/>
            <w:tcBorders>
              <w:top w:val="nil"/>
              <w:left w:val="nil"/>
              <w:bottom w:val="single" w:sz="4" w:space="0" w:color="000000"/>
              <w:right w:val="single" w:sz="4" w:space="0" w:color="000000"/>
            </w:tcBorders>
            <w:shd w:val="clear" w:color="auto" w:fill="auto"/>
            <w:vAlign w:val="center"/>
            <w:hideMark/>
          </w:tcPr>
          <w:p w14:paraId="24F8581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658AB5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72B331C0"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88959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28</w:t>
            </w:r>
          </w:p>
        </w:tc>
        <w:tc>
          <w:tcPr>
            <w:tcW w:w="0" w:type="auto"/>
            <w:tcBorders>
              <w:top w:val="nil"/>
              <w:left w:val="nil"/>
              <w:bottom w:val="single" w:sz="4" w:space="0" w:color="000000"/>
              <w:right w:val="single" w:sz="4" w:space="0" w:color="000000"/>
            </w:tcBorders>
            <w:shd w:val="clear" w:color="auto" w:fill="auto"/>
            <w:vAlign w:val="center"/>
            <w:hideMark/>
          </w:tcPr>
          <w:p w14:paraId="15DF07F0"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Depósitos recibidos en garantía - servicios</w:t>
            </w:r>
          </w:p>
        </w:tc>
        <w:tc>
          <w:tcPr>
            <w:tcW w:w="0" w:type="auto"/>
            <w:tcBorders>
              <w:top w:val="nil"/>
              <w:left w:val="nil"/>
              <w:bottom w:val="single" w:sz="4" w:space="0" w:color="000000"/>
              <w:right w:val="single" w:sz="4" w:space="0" w:color="000000"/>
            </w:tcBorders>
            <w:shd w:val="clear" w:color="auto" w:fill="auto"/>
            <w:vAlign w:val="center"/>
            <w:hideMark/>
          </w:tcPr>
          <w:p w14:paraId="28404C5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5BE853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3BF45941"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3CC055B" w14:textId="77777777" w:rsidR="007B563F" w:rsidRPr="001D3F74" w:rsidRDefault="007B563F" w:rsidP="007B563F">
            <w:pPr>
              <w:jc w:val="center"/>
              <w:rPr>
                <w:rFonts w:ascii="Calibri" w:hAnsi="Calibri"/>
                <w:b/>
                <w:color w:val="000000"/>
                <w:sz w:val="14"/>
                <w:szCs w:val="14"/>
                <w:lang w:val="es-CO" w:eastAsia="es-CO"/>
              </w:rPr>
            </w:pPr>
            <w:r w:rsidRPr="001D3F74">
              <w:rPr>
                <w:rFonts w:ascii="Calibri" w:hAnsi="Calibri"/>
                <w:b/>
                <w:color w:val="000000"/>
                <w:sz w:val="14"/>
                <w:szCs w:val="14"/>
                <w:lang w:val="es-CO" w:eastAsia="es-CO"/>
              </w:rPr>
              <w:t>5</w:t>
            </w:r>
          </w:p>
        </w:tc>
        <w:tc>
          <w:tcPr>
            <w:tcW w:w="0" w:type="auto"/>
            <w:tcBorders>
              <w:top w:val="nil"/>
              <w:left w:val="nil"/>
              <w:bottom w:val="single" w:sz="4" w:space="0" w:color="000000"/>
              <w:right w:val="single" w:sz="4" w:space="0" w:color="000000"/>
            </w:tcBorders>
            <w:shd w:val="clear" w:color="auto" w:fill="auto"/>
            <w:vAlign w:val="center"/>
            <w:hideMark/>
          </w:tcPr>
          <w:p w14:paraId="24F66D4B" w14:textId="77777777" w:rsidR="007B563F" w:rsidRPr="001D3F74" w:rsidRDefault="007B563F" w:rsidP="007B563F">
            <w:pPr>
              <w:jc w:val="both"/>
              <w:rPr>
                <w:rFonts w:ascii="Calibri" w:hAnsi="Calibri"/>
                <w:b/>
                <w:color w:val="000000"/>
                <w:sz w:val="14"/>
                <w:szCs w:val="14"/>
                <w:lang w:val="es-CO" w:eastAsia="es-CO"/>
              </w:rPr>
            </w:pPr>
            <w:r w:rsidRPr="001D3F74">
              <w:rPr>
                <w:rFonts w:ascii="Calibri" w:hAnsi="Calibri"/>
                <w:b/>
                <w:color w:val="000000"/>
                <w:sz w:val="14"/>
                <w:szCs w:val="14"/>
                <w:lang w:val="es-CO" w:eastAsia="es-CO"/>
              </w:rPr>
              <w:t>Ninguno</w:t>
            </w:r>
          </w:p>
        </w:tc>
        <w:tc>
          <w:tcPr>
            <w:tcW w:w="0" w:type="auto"/>
            <w:tcBorders>
              <w:top w:val="nil"/>
              <w:left w:val="nil"/>
              <w:bottom w:val="single" w:sz="4" w:space="0" w:color="000000"/>
              <w:right w:val="single" w:sz="4" w:space="0" w:color="000000"/>
            </w:tcBorders>
            <w:shd w:val="clear" w:color="auto" w:fill="auto"/>
            <w:vAlign w:val="center"/>
            <w:hideMark/>
          </w:tcPr>
          <w:p w14:paraId="1CCBAC0B" w14:textId="77777777" w:rsidR="007B563F" w:rsidRPr="001D3F74" w:rsidRDefault="007B563F" w:rsidP="007B563F">
            <w:pPr>
              <w:jc w:val="center"/>
              <w:rPr>
                <w:rFonts w:ascii="Calibri" w:hAnsi="Calibri"/>
                <w:b/>
                <w:color w:val="000000"/>
                <w:sz w:val="14"/>
                <w:szCs w:val="14"/>
                <w:lang w:val="es-CO" w:eastAsia="es-CO"/>
              </w:rPr>
            </w:pPr>
            <w:r w:rsidRPr="001D3F74">
              <w:rPr>
                <w:rFonts w:ascii="Calibri" w:hAnsi="Calibri"/>
                <w:b/>
                <w:color w:val="000000"/>
                <w:sz w:val="14"/>
                <w:szCs w:val="14"/>
                <w:lang w:val="es-CO" w:eastAsia="es-CO"/>
              </w:rPr>
              <w:t>SI</w:t>
            </w:r>
          </w:p>
        </w:tc>
        <w:tc>
          <w:tcPr>
            <w:tcW w:w="0" w:type="auto"/>
            <w:tcBorders>
              <w:top w:val="nil"/>
              <w:left w:val="nil"/>
              <w:bottom w:val="single" w:sz="4" w:space="0" w:color="000000"/>
              <w:right w:val="single" w:sz="4" w:space="0" w:color="000000"/>
            </w:tcBorders>
            <w:shd w:val="clear" w:color="auto" w:fill="auto"/>
            <w:vAlign w:val="center"/>
            <w:hideMark/>
          </w:tcPr>
          <w:p w14:paraId="4C93D4A6" w14:textId="77777777" w:rsidR="007B563F" w:rsidRPr="001D3F74" w:rsidRDefault="007B563F" w:rsidP="007B563F">
            <w:pPr>
              <w:jc w:val="center"/>
              <w:rPr>
                <w:rFonts w:ascii="Calibri" w:hAnsi="Calibri"/>
                <w:b/>
                <w:color w:val="000000"/>
                <w:sz w:val="14"/>
                <w:szCs w:val="14"/>
                <w:lang w:val="es-CO" w:eastAsia="es-CO"/>
              </w:rPr>
            </w:pPr>
            <w:r w:rsidRPr="001D3F74">
              <w:rPr>
                <w:rFonts w:ascii="Calibri" w:hAnsi="Calibri"/>
                <w:b/>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5E51B60D"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FC1F11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29</w:t>
            </w:r>
          </w:p>
        </w:tc>
        <w:tc>
          <w:tcPr>
            <w:tcW w:w="0" w:type="auto"/>
            <w:tcBorders>
              <w:top w:val="nil"/>
              <w:left w:val="nil"/>
              <w:bottom w:val="single" w:sz="4" w:space="0" w:color="000000"/>
              <w:right w:val="single" w:sz="4" w:space="0" w:color="000000"/>
            </w:tcBorders>
            <w:shd w:val="clear" w:color="auto" w:fill="auto"/>
            <w:vAlign w:val="center"/>
            <w:hideMark/>
          </w:tcPr>
          <w:p w14:paraId="4E4A7CBC"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Excedentes financieros</w:t>
            </w:r>
          </w:p>
        </w:tc>
        <w:tc>
          <w:tcPr>
            <w:tcW w:w="0" w:type="auto"/>
            <w:tcBorders>
              <w:top w:val="nil"/>
              <w:left w:val="nil"/>
              <w:bottom w:val="single" w:sz="4" w:space="0" w:color="000000"/>
              <w:right w:val="single" w:sz="4" w:space="0" w:color="000000"/>
            </w:tcBorders>
            <w:shd w:val="clear" w:color="auto" w:fill="auto"/>
            <w:vAlign w:val="center"/>
            <w:hideMark/>
          </w:tcPr>
          <w:p w14:paraId="1AA0048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07D971E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608EE9D3"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10E96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6</w:t>
            </w:r>
          </w:p>
        </w:tc>
        <w:tc>
          <w:tcPr>
            <w:tcW w:w="0" w:type="auto"/>
            <w:tcBorders>
              <w:top w:val="nil"/>
              <w:left w:val="nil"/>
              <w:bottom w:val="single" w:sz="4" w:space="0" w:color="000000"/>
              <w:right w:val="single" w:sz="4" w:space="0" w:color="000000"/>
            </w:tcBorders>
            <w:shd w:val="clear" w:color="auto" w:fill="auto"/>
            <w:vAlign w:val="center"/>
            <w:hideMark/>
          </w:tcPr>
          <w:p w14:paraId="2BD6151E"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Fideicomiso</w:t>
            </w:r>
          </w:p>
        </w:tc>
        <w:tc>
          <w:tcPr>
            <w:tcW w:w="0" w:type="auto"/>
            <w:tcBorders>
              <w:top w:val="nil"/>
              <w:left w:val="nil"/>
              <w:bottom w:val="single" w:sz="4" w:space="0" w:color="000000"/>
              <w:right w:val="single" w:sz="4" w:space="0" w:color="000000"/>
            </w:tcBorders>
            <w:shd w:val="clear" w:color="auto" w:fill="auto"/>
            <w:vAlign w:val="center"/>
            <w:hideMark/>
          </w:tcPr>
          <w:p w14:paraId="4EF4E26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39FA18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3E058746"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23553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30</w:t>
            </w:r>
          </w:p>
        </w:tc>
        <w:tc>
          <w:tcPr>
            <w:tcW w:w="0" w:type="auto"/>
            <w:tcBorders>
              <w:top w:val="nil"/>
              <w:left w:val="nil"/>
              <w:bottom w:val="single" w:sz="4" w:space="0" w:color="000000"/>
              <w:right w:val="single" w:sz="4" w:space="0" w:color="000000"/>
            </w:tcBorders>
            <w:shd w:val="clear" w:color="auto" w:fill="auto"/>
            <w:vAlign w:val="center"/>
            <w:hideMark/>
          </w:tcPr>
          <w:p w14:paraId="6789993D"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Gastos pagados por anticipado-sueldos y salarios</w:t>
            </w:r>
          </w:p>
        </w:tc>
        <w:tc>
          <w:tcPr>
            <w:tcW w:w="0" w:type="auto"/>
            <w:tcBorders>
              <w:top w:val="nil"/>
              <w:left w:val="nil"/>
              <w:bottom w:val="single" w:sz="4" w:space="0" w:color="000000"/>
              <w:right w:val="single" w:sz="4" w:space="0" w:color="000000"/>
            </w:tcBorders>
            <w:shd w:val="clear" w:color="auto" w:fill="auto"/>
            <w:vAlign w:val="center"/>
            <w:hideMark/>
          </w:tcPr>
          <w:p w14:paraId="24C8AD1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1A48BAB"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6B24AE7E"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AD212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lastRenderedPageBreak/>
              <w:t>7</w:t>
            </w:r>
          </w:p>
        </w:tc>
        <w:tc>
          <w:tcPr>
            <w:tcW w:w="0" w:type="auto"/>
            <w:tcBorders>
              <w:top w:val="nil"/>
              <w:left w:val="nil"/>
              <w:bottom w:val="single" w:sz="4" w:space="0" w:color="000000"/>
              <w:right w:val="single" w:sz="4" w:space="0" w:color="000000"/>
            </w:tcBorders>
            <w:shd w:val="clear" w:color="auto" w:fill="auto"/>
            <w:vAlign w:val="center"/>
            <w:hideMark/>
          </w:tcPr>
          <w:p w14:paraId="3DDE161C"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Caja menor</w:t>
            </w:r>
          </w:p>
        </w:tc>
        <w:tc>
          <w:tcPr>
            <w:tcW w:w="0" w:type="auto"/>
            <w:tcBorders>
              <w:top w:val="nil"/>
              <w:left w:val="nil"/>
              <w:bottom w:val="single" w:sz="4" w:space="0" w:color="000000"/>
              <w:right w:val="single" w:sz="4" w:space="0" w:color="000000"/>
            </w:tcBorders>
            <w:shd w:val="clear" w:color="auto" w:fill="auto"/>
            <w:vAlign w:val="center"/>
            <w:hideMark/>
          </w:tcPr>
          <w:p w14:paraId="0C02FF7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A0E98F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4D104DA5"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57F991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31</w:t>
            </w:r>
          </w:p>
        </w:tc>
        <w:tc>
          <w:tcPr>
            <w:tcW w:w="0" w:type="auto"/>
            <w:tcBorders>
              <w:top w:val="nil"/>
              <w:left w:val="nil"/>
              <w:bottom w:val="single" w:sz="4" w:space="0" w:color="000000"/>
              <w:right w:val="single" w:sz="4" w:space="0" w:color="000000"/>
            </w:tcBorders>
            <w:shd w:val="clear" w:color="auto" w:fill="auto"/>
            <w:vAlign w:val="center"/>
            <w:hideMark/>
          </w:tcPr>
          <w:p w14:paraId="0B20111F"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Cesantías</w:t>
            </w:r>
          </w:p>
        </w:tc>
        <w:tc>
          <w:tcPr>
            <w:tcW w:w="0" w:type="auto"/>
            <w:tcBorders>
              <w:top w:val="nil"/>
              <w:left w:val="nil"/>
              <w:bottom w:val="single" w:sz="4" w:space="0" w:color="000000"/>
              <w:right w:val="single" w:sz="4" w:space="0" w:color="000000"/>
            </w:tcBorders>
            <w:shd w:val="clear" w:color="auto" w:fill="auto"/>
            <w:vAlign w:val="center"/>
            <w:hideMark/>
          </w:tcPr>
          <w:p w14:paraId="683D93F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1D629CC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FC45329"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4706D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8</w:t>
            </w:r>
          </w:p>
        </w:tc>
        <w:tc>
          <w:tcPr>
            <w:tcW w:w="0" w:type="auto"/>
            <w:tcBorders>
              <w:top w:val="nil"/>
              <w:left w:val="nil"/>
              <w:bottom w:val="single" w:sz="4" w:space="0" w:color="000000"/>
              <w:right w:val="single" w:sz="4" w:space="0" w:color="000000"/>
            </w:tcBorders>
            <w:shd w:val="clear" w:color="auto" w:fill="auto"/>
            <w:vAlign w:val="center"/>
            <w:hideMark/>
          </w:tcPr>
          <w:p w14:paraId="34DD6142"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Prestamos</w:t>
            </w:r>
          </w:p>
        </w:tc>
        <w:tc>
          <w:tcPr>
            <w:tcW w:w="0" w:type="auto"/>
            <w:tcBorders>
              <w:top w:val="nil"/>
              <w:left w:val="nil"/>
              <w:bottom w:val="single" w:sz="4" w:space="0" w:color="000000"/>
              <w:right w:val="single" w:sz="4" w:space="0" w:color="000000"/>
            </w:tcBorders>
            <w:shd w:val="clear" w:color="auto" w:fill="auto"/>
            <w:vAlign w:val="center"/>
            <w:hideMark/>
          </w:tcPr>
          <w:p w14:paraId="2BE8F90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3A5F8B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3142DA99"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C8E4D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32</w:t>
            </w:r>
          </w:p>
        </w:tc>
        <w:tc>
          <w:tcPr>
            <w:tcW w:w="0" w:type="auto"/>
            <w:tcBorders>
              <w:top w:val="nil"/>
              <w:left w:val="nil"/>
              <w:bottom w:val="single" w:sz="4" w:space="0" w:color="000000"/>
              <w:right w:val="single" w:sz="4" w:space="0" w:color="000000"/>
            </w:tcBorders>
            <w:shd w:val="clear" w:color="auto" w:fill="auto"/>
            <w:vAlign w:val="center"/>
            <w:hideMark/>
          </w:tcPr>
          <w:p w14:paraId="71FEF978"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Vacaciones</w:t>
            </w:r>
          </w:p>
        </w:tc>
        <w:tc>
          <w:tcPr>
            <w:tcW w:w="0" w:type="auto"/>
            <w:tcBorders>
              <w:top w:val="nil"/>
              <w:left w:val="nil"/>
              <w:bottom w:val="single" w:sz="4" w:space="0" w:color="000000"/>
              <w:right w:val="single" w:sz="4" w:space="0" w:color="000000"/>
            </w:tcBorders>
            <w:shd w:val="clear" w:color="auto" w:fill="auto"/>
            <w:vAlign w:val="center"/>
            <w:hideMark/>
          </w:tcPr>
          <w:p w14:paraId="5DB55ED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120332E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326997C7"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9B708D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9</w:t>
            </w:r>
          </w:p>
        </w:tc>
        <w:tc>
          <w:tcPr>
            <w:tcW w:w="0" w:type="auto"/>
            <w:tcBorders>
              <w:top w:val="nil"/>
              <w:left w:val="nil"/>
              <w:bottom w:val="single" w:sz="4" w:space="0" w:color="000000"/>
              <w:right w:val="single" w:sz="4" w:space="0" w:color="000000"/>
            </w:tcBorders>
            <w:shd w:val="clear" w:color="auto" w:fill="auto"/>
            <w:vAlign w:val="center"/>
            <w:hideMark/>
          </w:tcPr>
          <w:p w14:paraId="0DD9E0E4"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Reembolso caja menor</w:t>
            </w:r>
          </w:p>
        </w:tc>
        <w:tc>
          <w:tcPr>
            <w:tcW w:w="0" w:type="auto"/>
            <w:tcBorders>
              <w:top w:val="nil"/>
              <w:left w:val="nil"/>
              <w:bottom w:val="single" w:sz="4" w:space="0" w:color="000000"/>
              <w:right w:val="single" w:sz="4" w:space="0" w:color="000000"/>
            </w:tcBorders>
            <w:shd w:val="clear" w:color="auto" w:fill="auto"/>
            <w:vAlign w:val="center"/>
            <w:hideMark/>
          </w:tcPr>
          <w:p w14:paraId="7A954FA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D1EEA0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360404E7"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3CD1E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33</w:t>
            </w:r>
          </w:p>
        </w:tc>
        <w:tc>
          <w:tcPr>
            <w:tcW w:w="0" w:type="auto"/>
            <w:tcBorders>
              <w:top w:val="nil"/>
              <w:left w:val="nil"/>
              <w:bottom w:val="single" w:sz="4" w:space="0" w:color="000000"/>
              <w:right w:val="single" w:sz="4" w:space="0" w:color="000000"/>
            </w:tcBorders>
            <w:shd w:val="clear" w:color="auto" w:fill="auto"/>
            <w:vAlign w:val="center"/>
            <w:hideMark/>
          </w:tcPr>
          <w:p w14:paraId="5F4D8FC4"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Prima de vacaciones</w:t>
            </w:r>
          </w:p>
        </w:tc>
        <w:tc>
          <w:tcPr>
            <w:tcW w:w="0" w:type="auto"/>
            <w:tcBorders>
              <w:top w:val="nil"/>
              <w:left w:val="nil"/>
              <w:bottom w:val="single" w:sz="4" w:space="0" w:color="000000"/>
              <w:right w:val="single" w:sz="4" w:space="0" w:color="000000"/>
            </w:tcBorders>
            <w:shd w:val="clear" w:color="auto" w:fill="auto"/>
            <w:vAlign w:val="center"/>
            <w:hideMark/>
          </w:tcPr>
          <w:p w14:paraId="3D912DE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059B507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7A1E86B3"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F084E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10</w:t>
            </w:r>
          </w:p>
        </w:tc>
        <w:tc>
          <w:tcPr>
            <w:tcW w:w="0" w:type="auto"/>
            <w:tcBorders>
              <w:top w:val="nil"/>
              <w:left w:val="nil"/>
              <w:bottom w:val="single" w:sz="4" w:space="0" w:color="000000"/>
              <w:right w:val="single" w:sz="4" w:space="0" w:color="000000"/>
            </w:tcBorders>
            <w:shd w:val="clear" w:color="auto" w:fill="auto"/>
            <w:vAlign w:val="center"/>
            <w:hideMark/>
          </w:tcPr>
          <w:p w14:paraId="0126B8E8"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Anticipo para proyectos de inversión</w:t>
            </w:r>
          </w:p>
        </w:tc>
        <w:tc>
          <w:tcPr>
            <w:tcW w:w="0" w:type="auto"/>
            <w:tcBorders>
              <w:top w:val="nil"/>
              <w:left w:val="nil"/>
              <w:bottom w:val="single" w:sz="4" w:space="0" w:color="000000"/>
              <w:right w:val="single" w:sz="4" w:space="0" w:color="000000"/>
            </w:tcBorders>
            <w:shd w:val="clear" w:color="auto" w:fill="auto"/>
            <w:vAlign w:val="center"/>
            <w:hideMark/>
          </w:tcPr>
          <w:p w14:paraId="459057D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D87092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nil"/>
              <w:right w:val="nil"/>
            </w:tcBorders>
            <w:shd w:val="clear" w:color="auto" w:fill="auto"/>
            <w:noWrap/>
            <w:vAlign w:val="center"/>
            <w:hideMark/>
          </w:tcPr>
          <w:p w14:paraId="50781DD9"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1DFC8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34</w:t>
            </w:r>
          </w:p>
        </w:tc>
        <w:tc>
          <w:tcPr>
            <w:tcW w:w="0" w:type="auto"/>
            <w:tcBorders>
              <w:top w:val="nil"/>
              <w:left w:val="nil"/>
              <w:bottom w:val="single" w:sz="4" w:space="0" w:color="000000"/>
              <w:right w:val="single" w:sz="4" w:space="0" w:color="000000"/>
            </w:tcBorders>
            <w:shd w:val="clear" w:color="auto" w:fill="auto"/>
            <w:vAlign w:val="center"/>
            <w:hideMark/>
          </w:tcPr>
          <w:p w14:paraId="386C9F34"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Prima de servicios</w:t>
            </w:r>
          </w:p>
        </w:tc>
        <w:tc>
          <w:tcPr>
            <w:tcW w:w="0" w:type="auto"/>
            <w:tcBorders>
              <w:top w:val="nil"/>
              <w:left w:val="nil"/>
              <w:bottom w:val="single" w:sz="4" w:space="0" w:color="000000"/>
              <w:right w:val="single" w:sz="4" w:space="0" w:color="000000"/>
            </w:tcBorders>
            <w:shd w:val="clear" w:color="auto" w:fill="auto"/>
            <w:vAlign w:val="center"/>
            <w:hideMark/>
          </w:tcPr>
          <w:p w14:paraId="3A246C8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2643A5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069851DD"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22673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11</w:t>
            </w:r>
          </w:p>
        </w:tc>
        <w:tc>
          <w:tcPr>
            <w:tcW w:w="0" w:type="auto"/>
            <w:tcBorders>
              <w:top w:val="nil"/>
              <w:left w:val="nil"/>
              <w:bottom w:val="single" w:sz="4" w:space="0" w:color="000000"/>
              <w:right w:val="single" w:sz="4" w:space="0" w:color="000000"/>
            </w:tcBorders>
            <w:shd w:val="clear" w:color="auto" w:fill="auto"/>
            <w:vAlign w:val="center"/>
            <w:hideMark/>
          </w:tcPr>
          <w:p w14:paraId="42DF12FB"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 xml:space="preserve">Recursos </w:t>
            </w:r>
            <w:proofErr w:type="spellStart"/>
            <w:r w:rsidRPr="001D3F74">
              <w:rPr>
                <w:rFonts w:ascii="Calibri" w:hAnsi="Calibri"/>
                <w:color w:val="000000"/>
                <w:sz w:val="14"/>
                <w:szCs w:val="14"/>
                <w:lang w:val="es-CO" w:eastAsia="es-CO"/>
              </w:rPr>
              <w:t>fonpet</w:t>
            </w:r>
            <w:proofErr w:type="spellEnd"/>
            <w:r w:rsidRPr="001D3F74">
              <w:rPr>
                <w:rFonts w:ascii="Calibri" w:hAnsi="Calibri"/>
                <w:color w:val="000000"/>
                <w:sz w:val="14"/>
                <w:szCs w:val="14"/>
                <w:lang w:val="es-CO" w:eastAsia="es-CO"/>
              </w:rPr>
              <w:t xml:space="preserve"> por distribuir</w:t>
            </w:r>
          </w:p>
        </w:tc>
        <w:tc>
          <w:tcPr>
            <w:tcW w:w="0" w:type="auto"/>
            <w:tcBorders>
              <w:top w:val="nil"/>
              <w:left w:val="nil"/>
              <w:bottom w:val="single" w:sz="4" w:space="0" w:color="000000"/>
              <w:right w:val="single" w:sz="4" w:space="0" w:color="000000"/>
            </w:tcBorders>
            <w:shd w:val="clear" w:color="auto" w:fill="auto"/>
            <w:vAlign w:val="center"/>
            <w:hideMark/>
          </w:tcPr>
          <w:p w14:paraId="02E80B2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1B0031C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718286FE"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81BE1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35</w:t>
            </w:r>
          </w:p>
        </w:tc>
        <w:tc>
          <w:tcPr>
            <w:tcW w:w="0" w:type="auto"/>
            <w:tcBorders>
              <w:top w:val="nil"/>
              <w:left w:val="nil"/>
              <w:bottom w:val="single" w:sz="4" w:space="0" w:color="000000"/>
              <w:right w:val="single" w:sz="4" w:space="0" w:color="000000"/>
            </w:tcBorders>
            <w:shd w:val="clear" w:color="auto" w:fill="auto"/>
            <w:vAlign w:val="center"/>
            <w:hideMark/>
          </w:tcPr>
          <w:p w14:paraId="0766C0CB"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Crédito a empleados</w:t>
            </w:r>
          </w:p>
        </w:tc>
        <w:tc>
          <w:tcPr>
            <w:tcW w:w="0" w:type="auto"/>
            <w:tcBorders>
              <w:top w:val="nil"/>
              <w:left w:val="nil"/>
              <w:bottom w:val="single" w:sz="4" w:space="0" w:color="000000"/>
              <w:right w:val="single" w:sz="4" w:space="0" w:color="000000"/>
            </w:tcBorders>
            <w:shd w:val="clear" w:color="auto" w:fill="auto"/>
            <w:vAlign w:val="center"/>
            <w:hideMark/>
          </w:tcPr>
          <w:p w14:paraId="0BFEDAF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B2286C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5FD8441E"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89442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12</w:t>
            </w:r>
          </w:p>
        </w:tc>
        <w:tc>
          <w:tcPr>
            <w:tcW w:w="0" w:type="auto"/>
            <w:tcBorders>
              <w:top w:val="nil"/>
              <w:left w:val="nil"/>
              <w:bottom w:val="single" w:sz="4" w:space="0" w:color="000000"/>
              <w:right w:val="single" w:sz="4" w:space="0" w:color="000000"/>
            </w:tcBorders>
            <w:shd w:val="clear" w:color="auto" w:fill="auto"/>
            <w:vAlign w:val="center"/>
            <w:hideMark/>
          </w:tcPr>
          <w:p w14:paraId="59088733"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Cuotas partes de bonos pensionales</w:t>
            </w:r>
          </w:p>
        </w:tc>
        <w:tc>
          <w:tcPr>
            <w:tcW w:w="0" w:type="auto"/>
            <w:tcBorders>
              <w:top w:val="nil"/>
              <w:left w:val="nil"/>
              <w:bottom w:val="single" w:sz="4" w:space="0" w:color="000000"/>
              <w:right w:val="single" w:sz="4" w:space="0" w:color="000000"/>
            </w:tcBorders>
            <w:shd w:val="clear" w:color="auto" w:fill="auto"/>
            <w:vAlign w:val="center"/>
            <w:hideMark/>
          </w:tcPr>
          <w:p w14:paraId="3737931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A135C0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03BD9378"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CF14C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36</w:t>
            </w:r>
          </w:p>
        </w:tc>
        <w:tc>
          <w:tcPr>
            <w:tcW w:w="0" w:type="auto"/>
            <w:tcBorders>
              <w:top w:val="nil"/>
              <w:left w:val="nil"/>
              <w:bottom w:val="single" w:sz="4" w:space="0" w:color="000000"/>
              <w:right w:val="single" w:sz="4" w:space="0" w:color="000000"/>
            </w:tcBorders>
            <w:shd w:val="clear" w:color="auto" w:fill="auto"/>
            <w:vAlign w:val="center"/>
            <w:hideMark/>
          </w:tcPr>
          <w:p w14:paraId="155DA46A"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Gmf</w:t>
            </w:r>
            <w:proofErr w:type="spellEnd"/>
            <w:r w:rsidRPr="001D3F74">
              <w:rPr>
                <w:rFonts w:ascii="Calibri" w:hAnsi="Calibri"/>
                <w:color w:val="000000"/>
                <w:sz w:val="14"/>
                <w:szCs w:val="14"/>
                <w:lang w:val="es-CO" w:eastAsia="es-CO"/>
              </w:rPr>
              <w:t>-gravamen movimientos financieros-</w:t>
            </w:r>
            <w:proofErr w:type="spellStart"/>
            <w:r w:rsidRPr="001D3F74">
              <w:rPr>
                <w:rFonts w:ascii="Calibri" w:hAnsi="Calibri"/>
                <w:color w:val="000000"/>
                <w:sz w:val="14"/>
                <w:szCs w:val="14"/>
                <w:lang w:val="es-CO" w:eastAsia="es-CO"/>
              </w:rPr>
              <w:t>gtos</w:t>
            </w:r>
            <w:proofErr w:type="spellEnd"/>
            <w:r w:rsidRPr="001D3F74">
              <w:rPr>
                <w:rFonts w:ascii="Calibri" w:hAnsi="Calibri"/>
                <w:color w:val="000000"/>
                <w:sz w:val="14"/>
                <w:szCs w:val="14"/>
                <w:lang w:val="es-CO" w:eastAsia="es-CO"/>
              </w:rPr>
              <w:t xml:space="preserve"> administración y operación</w:t>
            </w:r>
          </w:p>
        </w:tc>
        <w:tc>
          <w:tcPr>
            <w:tcW w:w="0" w:type="auto"/>
            <w:tcBorders>
              <w:top w:val="nil"/>
              <w:left w:val="nil"/>
              <w:bottom w:val="single" w:sz="4" w:space="0" w:color="000000"/>
              <w:right w:val="single" w:sz="4" w:space="0" w:color="000000"/>
            </w:tcBorders>
            <w:shd w:val="clear" w:color="auto" w:fill="auto"/>
            <w:vAlign w:val="center"/>
            <w:hideMark/>
          </w:tcPr>
          <w:p w14:paraId="447922D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763B668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566113A"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BA2A6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13</w:t>
            </w:r>
          </w:p>
        </w:tc>
        <w:tc>
          <w:tcPr>
            <w:tcW w:w="0" w:type="auto"/>
            <w:tcBorders>
              <w:top w:val="nil"/>
              <w:left w:val="nil"/>
              <w:bottom w:val="single" w:sz="4" w:space="0" w:color="000000"/>
              <w:right w:val="single" w:sz="4" w:space="0" w:color="000000"/>
            </w:tcBorders>
            <w:shd w:val="clear" w:color="auto" w:fill="auto"/>
            <w:vAlign w:val="center"/>
            <w:hideMark/>
          </w:tcPr>
          <w:p w14:paraId="2EF9CD1F"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seguros</w:t>
            </w:r>
          </w:p>
        </w:tc>
        <w:tc>
          <w:tcPr>
            <w:tcW w:w="0" w:type="auto"/>
            <w:tcBorders>
              <w:top w:val="nil"/>
              <w:left w:val="nil"/>
              <w:bottom w:val="single" w:sz="4" w:space="0" w:color="000000"/>
              <w:right w:val="single" w:sz="4" w:space="0" w:color="000000"/>
            </w:tcBorders>
            <w:shd w:val="clear" w:color="auto" w:fill="auto"/>
            <w:vAlign w:val="center"/>
            <w:hideMark/>
          </w:tcPr>
          <w:p w14:paraId="403EE2F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796339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6845E61E"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9A0AE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37</w:t>
            </w:r>
          </w:p>
        </w:tc>
        <w:tc>
          <w:tcPr>
            <w:tcW w:w="0" w:type="auto"/>
            <w:tcBorders>
              <w:top w:val="nil"/>
              <w:left w:val="nil"/>
              <w:bottom w:val="single" w:sz="4" w:space="0" w:color="000000"/>
              <w:right w:val="single" w:sz="4" w:space="0" w:color="000000"/>
            </w:tcBorders>
            <w:shd w:val="clear" w:color="auto" w:fill="auto"/>
            <w:vAlign w:val="center"/>
            <w:hideMark/>
          </w:tcPr>
          <w:p w14:paraId="1CA213DF"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Gmf</w:t>
            </w:r>
            <w:proofErr w:type="spellEnd"/>
            <w:r w:rsidRPr="001D3F74">
              <w:rPr>
                <w:rFonts w:ascii="Calibri" w:hAnsi="Calibri"/>
                <w:color w:val="000000"/>
                <w:sz w:val="14"/>
                <w:szCs w:val="14"/>
                <w:lang w:val="es-CO" w:eastAsia="es-CO"/>
              </w:rPr>
              <w:t>-gravamen movimientos financieros-</w:t>
            </w:r>
            <w:proofErr w:type="spellStart"/>
            <w:r w:rsidRPr="001D3F74">
              <w:rPr>
                <w:rFonts w:ascii="Calibri" w:hAnsi="Calibri"/>
                <w:color w:val="000000"/>
                <w:sz w:val="14"/>
                <w:szCs w:val="14"/>
                <w:lang w:val="es-CO" w:eastAsia="es-CO"/>
              </w:rPr>
              <w:t>gtos</w:t>
            </w:r>
            <w:proofErr w:type="spellEnd"/>
            <w:r w:rsidRPr="001D3F74">
              <w:rPr>
                <w:rFonts w:ascii="Calibri" w:hAnsi="Calibri"/>
                <w:color w:val="000000"/>
                <w:sz w:val="14"/>
                <w:szCs w:val="14"/>
                <w:lang w:val="es-CO" w:eastAsia="es-CO"/>
              </w:rPr>
              <w:t xml:space="preserve"> operación</w:t>
            </w:r>
          </w:p>
        </w:tc>
        <w:tc>
          <w:tcPr>
            <w:tcW w:w="0" w:type="auto"/>
            <w:tcBorders>
              <w:top w:val="nil"/>
              <w:left w:val="nil"/>
              <w:bottom w:val="single" w:sz="4" w:space="0" w:color="000000"/>
              <w:right w:val="single" w:sz="4" w:space="0" w:color="000000"/>
            </w:tcBorders>
            <w:shd w:val="clear" w:color="auto" w:fill="auto"/>
            <w:vAlign w:val="center"/>
            <w:hideMark/>
          </w:tcPr>
          <w:p w14:paraId="10E1097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434B73B"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r>
      <w:tr w:rsidR="007B563F" w:rsidRPr="001D3F74" w14:paraId="1860DC95"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AF99CB"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14</w:t>
            </w:r>
          </w:p>
        </w:tc>
        <w:tc>
          <w:tcPr>
            <w:tcW w:w="0" w:type="auto"/>
            <w:tcBorders>
              <w:top w:val="nil"/>
              <w:left w:val="nil"/>
              <w:bottom w:val="single" w:sz="4" w:space="0" w:color="000000"/>
              <w:right w:val="single" w:sz="4" w:space="0" w:color="000000"/>
            </w:tcBorders>
            <w:shd w:val="clear" w:color="auto" w:fill="auto"/>
            <w:vAlign w:val="center"/>
            <w:hideMark/>
          </w:tcPr>
          <w:p w14:paraId="76ABAB4D"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arrendamientos</w:t>
            </w:r>
          </w:p>
        </w:tc>
        <w:tc>
          <w:tcPr>
            <w:tcW w:w="0" w:type="auto"/>
            <w:tcBorders>
              <w:top w:val="nil"/>
              <w:left w:val="nil"/>
              <w:bottom w:val="single" w:sz="4" w:space="0" w:color="000000"/>
              <w:right w:val="single" w:sz="4" w:space="0" w:color="000000"/>
            </w:tcBorders>
            <w:shd w:val="clear" w:color="auto" w:fill="auto"/>
            <w:vAlign w:val="center"/>
            <w:hideMark/>
          </w:tcPr>
          <w:p w14:paraId="32D7AFC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177EE9B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7AD8E074"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27AD3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38</w:t>
            </w:r>
          </w:p>
        </w:tc>
        <w:tc>
          <w:tcPr>
            <w:tcW w:w="0" w:type="auto"/>
            <w:tcBorders>
              <w:top w:val="nil"/>
              <w:left w:val="nil"/>
              <w:bottom w:val="single" w:sz="4" w:space="0" w:color="000000"/>
              <w:right w:val="single" w:sz="4" w:space="0" w:color="000000"/>
            </w:tcBorders>
            <w:shd w:val="clear" w:color="auto" w:fill="auto"/>
            <w:vAlign w:val="center"/>
            <w:hideMark/>
          </w:tcPr>
          <w:p w14:paraId="262CE030"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Estampilla pro universidad nacional y universidades estatales</w:t>
            </w:r>
          </w:p>
        </w:tc>
        <w:tc>
          <w:tcPr>
            <w:tcW w:w="0" w:type="auto"/>
            <w:tcBorders>
              <w:top w:val="nil"/>
              <w:left w:val="nil"/>
              <w:bottom w:val="single" w:sz="4" w:space="0" w:color="000000"/>
              <w:right w:val="single" w:sz="4" w:space="0" w:color="000000"/>
            </w:tcBorders>
            <w:shd w:val="clear" w:color="auto" w:fill="auto"/>
            <w:vAlign w:val="center"/>
            <w:hideMark/>
          </w:tcPr>
          <w:p w14:paraId="22A156C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289B7E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290C5B7F"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FAF46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747FF18E"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impresos, suscripciones, afiliaciones...</w:t>
            </w:r>
          </w:p>
        </w:tc>
        <w:tc>
          <w:tcPr>
            <w:tcW w:w="0" w:type="auto"/>
            <w:tcBorders>
              <w:top w:val="nil"/>
              <w:left w:val="nil"/>
              <w:bottom w:val="single" w:sz="4" w:space="0" w:color="000000"/>
              <w:right w:val="single" w:sz="4" w:space="0" w:color="000000"/>
            </w:tcBorders>
            <w:shd w:val="clear" w:color="auto" w:fill="auto"/>
            <w:vAlign w:val="center"/>
            <w:hideMark/>
          </w:tcPr>
          <w:p w14:paraId="6B62CD5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86D87D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2D01CE60"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570F5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39</w:t>
            </w:r>
          </w:p>
        </w:tc>
        <w:tc>
          <w:tcPr>
            <w:tcW w:w="0" w:type="auto"/>
            <w:tcBorders>
              <w:top w:val="nil"/>
              <w:left w:val="nil"/>
              <w:bottom w:val="single" w:sz="4" w:space="0" w:color="000000"/>
              <w:right w:val="single" w:sz="4" w:space="0" w:color="000000"/>
            </w:tcBorders>
            <w:shd w:val="clear" w:color="auto" w:fill="auto"/>
            <w:vAlign w:val="center"/>
            <w:hideMark/>
          </w:tcPr>
          <w:p w14:paraId="5BF46DF8"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Devolución ahorro voluntario SENA</w:t>
            </w:r>
          </w:p>
        </w:tc>
        <w:tc>
          <w:tcPr>
            <w:tcW w:w="0" w:type="auto"/>
            <w:tcBorders>
              <w:top w:val="nil"/>
              <w:left w:val="nil"/>
              <w:bottom w:val="single" w:sz="4" w:space="0" w:color="000000"/>
              <w:right w:val="single" w:sz="4" w:space="0" w:color="000000"/>
            </w:tcBorders>
            <w:shd w:val="clear" w:color="auto" w:fill="auto"/>
            <w:vAlign w:val="center"/>
            <w:hideMark/>
          </w:tcPr>
          <w:p w14:paraId="4B2BBC7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7EA780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190B063"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1EE9A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16</w:t>
            </w:r>
          </w:p>
        </w:tc>
        <w:tc>
          <w:tcPr>
            <w:tcW w:w="0" w:type="auto"/>
            <w:tcBorders>
              <w:top w:val="nil"/>
              <w:left w:val="nil"/>
              <w:bottom w:val="single" w:sz="4" w:space="0" w:color="000000"/>
              <w:right w:val="single" w:sz="4" w:space="0" w:color="000000"/>
            </w:tcBorders>
            <w:shd w:val="clear" w:color="auto" w:fill="auto"/>
            <w:vAlign w:val="center"/>
            <w:hideMark/>
          </w:tcPr>
          <w:p w14:paraId="6EF5C52A"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honorarios</w:t>
            </w:r>
          </w:p>
        </w:tc>
        <w:tc>
          <w:tcPr>
            <w:tcW w:w="0" w:type="auto"/>
            <w:tcBorders>
              <w:top w:val="nil"/>
              <w:left w:val="nil"/>
              <w:bottom w:val="single" w:sz="4" w:space="0" w:color="000000"/>
              <w:right w:val="single" w:sz="4" w:space="0" w:color="000000"/>
            </w:tcBorders>
            <w:shd w:val="clear" w:color="auto" w:fill="auto"/>
            <w:vAlign w:val="center"/>
            <w:hideMark/>
          </w:tcPr>
          <w:p w14:paraId="6599C9E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7E28CB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293C0E83"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05718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40</w:t>
            </w:r>
          </w:p>
        </w:tc>
        <w:tc>
          <w:tcPr>
            <w:tcW w:w="0" w:type="auto"/>
            <w:tcBorders>
              <w:top w:val="nil"/>
              <w:left w:val="nil"/>
              <w:bottom w:val="single" w:sz="4" w:space="0" w:color="000000"/>
              <w:right w:val="single" w:sz="4" w:space="0" w:color="000000"/>
            </w:tcBorders>
            <w:shd w:val="clear" w:color="auto" w:fill="auto"/>
            <w:vAlign w:val="center"/>
            <w:hideMark/>
          </w:tcPr>
          <w:p w14:paraId="6BE071B9"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Bienes, servicios, impuestos y transferencias causados</w:t>
            </w:r>
          </w:p>
        </w:tc>
        <w:tc>
          <w:tcPr>
            <w:tcW w:w="0" w:type="auto"/>
            <w:tcBorders>
              <w:top w:val="nil"/>
              <w:left w:val="nil"/>
              <w:bottom w:val="single" w:sz="4" w:space="0" w:color="000000"/>
              <w:right w:val="single" w:sz="4" w:space="0" w:color="000000"/>
            </w:tcBorders>
            <w:shd w:val="clear" w:color="auto" w:fill="auto"/>
            <w:vAlign w:val="center"/>
            <w:hideMark/>
          </w:tcPr>
          <w:p w14:paraId="1C77BCD3"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38939A3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EB04CEE"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CB8F7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17</w:t>
            </w:r>
          </w:p>
        </w:tc>
        <w:tc>
          <w:tcPr>
            <w:tcW w:w="0" w:type="auto"/>
            <w:tcBorders>
              <w:top w:val="nil"/>
              <w:left w:val="nil"/>
              <w:bottom w:val="single" w:sz="4" w:space="0" w:color="000000"/>
              <w:right w:val="single" w:sz="4" w:space="0" w:color="000000"/>
            </w:tcBorders>
            <w:shd w:val="clear" w:color="auto" w:fill="auto"/>
            <w:vAlign w:val="center"/>
            <w:hideMark/>
          </w:tcPr>
          <w:p w14:paraId="7A4BCFB3"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w:t>
            </w:r>
            <w:proofErr w:type="spellStart"/>
            <w:r w:rsidRPr="001D3F74">
              <w:rPr>
                <w:rFonts w:ascii="Calibri" w:hAnsi="Calibri"/>
                <w:color w:val="000000"/>
                <w:sz w:val="14"/>
                <w:szCs w:val="14"/>
                <w:lang w:val="es-CO" w:eastAsia="es-CO"/>
              </w:rPr>
              <w:t>admon</w:t>
            </w:r>
            <w:proofErr w:type="spellEnd"/>
            <w:r w:rsidRPr="001D3F74">
              <w:rPr>
                <w:rFonts w:ascii="Calibri" w:hAnsi="Calibri"/>
                <w:color w:val="000000"/>
                <w:sz w:val="14"/>
                <w:szCs w:val="14"/>
                <w:lang w:val="es-CO" w:eastAsia="es-CO"/>
              </w:rPr>
              <w:t xml:space="preserve"> y </w:t>
            </w:r>
            <w:r w:rsidR="00D95115" w:rsidRPr="001D3F74">
              <w:rPr>
                <w:rFonts w:ascii="Calibri" w:hAnsi="Calibri"/>
                <w:color w:val="000000"/>
                <w:sz w:val="14"/>
                <w:szCs w:val="14"/>
                <w:lang w:val="es-CO" w:eastAsia="es-CO"/>
              </w:rPr>
              <w:t>emisión</w:t>
            </w:r>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tit</w:t>
            </w:r>
            <w:proofErr w:type="spellEnd"/>
            <w:r w:rsidRPr="001D3F74">
              <w:rPr>
                <w:rFonts w:ascii="Calibri" w:hAnsi="Calibri"/>
                <w:color w:val="000000"/>
                <w:sz w:val="14"/>
                <w:szCs w:val="14"/>
                <w:lang w:val="es-CO" w:eastAsia="es-CO"/>
              </w:rPr>
              <w:t xml:space="preserve"> valores</w:t>
            </w:r>
          </w:p>
        </w:tc>
        <w:tc>
          <w:tcPr>
            <w:tcW w:w="0" w:type="auto"/>
            <w:tcBorders>
              <w:top w:val="nil"/>
              <w:left w:val="nil"/>
              <w:bottom w:val="single" w:sz="4" w:space="0" w:color="000000"/>
              <w:right w:val="single" w:sz="4" w:space="0" w:color="000000"/>
            </w:tcBorders>
            <w:shd w:val="clear" w:color="auto" w:fill="auto"/>
            <w:vAlign w:val="center"/>
            <w:hideMark/>
          </w:tcPr>
          <w:p w14:paraId="496BEF7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CCDFE7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15A9214F"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6F9F0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41</w:t>
            </w:r>
          </w:p>
        </w:tc>
        <w:tc>
          <w:tcPr>
            <w:tcW w:w="0" w:type="auto"/>
            <w:tcBorders>
              <w:top w:val="nil"/>
              <w:left w:val="nil"/>
              <w:bottom w:val="single" w:sz="4" w:space="0" w:color="000000"/>
              <w:right w:val="single" w:sz="4" w:space="0" w:color="000000"/>
            </w:tcBorders>
            <w:shd w:val="clear" w:color="auto" w:fill="auto"/>
            <w:vAlign w:val="center"/>
            <w:hideMark/>
          </w:tcPr>
          <w:p w14:paraId="1933B1E6"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Ejecución rezago presupuestal sin flujo</w:t>
            </w:r>
          </w:p>
        </w:tc>
        <w:tc>
          <w:tcPr>
            <w:tcW w:w="0" w:type="auto"/>
            <w:tcBorders>
              <w:top w:val="nil"/>
              <w:left w:val="nil"/>
              <w:bottom w:val="single" w:sz="4" w:space="0" w:color="000000"/>
              <w:right w:val="single" w:sz="4" w:space="0" w:color="000000"/>
            </w:tcBorders>
            <w:shd w:val="clear" w:color="auto" w:fill="auto"/>
            <w:vAlign w:val="center"/>
            <w:hideMark/>
          </w:tcPr>
          <w:p w14:paraId="6F3C716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7CD8A7F5"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62A42D31"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8401B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18</w:t>
            </w:r>
          </w:p>
        </w:tc>
        <w:tc>
          <w:tcPr>
            <w:tcW w:w="0" w:type="auto"/>
            <w:tcBorders>
              <w:top w:val="nil"/>
              <w:left w:val="nil"/>
              <w:bottom w:val="single" w:sz="4" w:space="0" w:color="000000"/>
              <w:right w:val="single" w:sz="4" w:space="0" w:color="000000"/>
            </w:tcBorders>
            <w:shd w:val="clear" w:color="auto" w:fill="auto"/>
            <w:vAlign w:val="center"/>
            <w:hideMark/>
          </w:tcPr>
          <w:p w14:paraId="1F433069"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intereses</w:t>
            </w:r>
          </w:p>
        </w:tc>
        <w:tc>
          <w:tcPr>
            <w:tcW w:w="0" w:type="auto"/>
            <w:tcBorders>
              <w:top w:val="nil"/>
              <w:left w:val="nil"/>
              <w:bottom w:val="single" w:sz="4" w:space="0" w:color="000000"/>
              <w:right w:val="single" w:sz="4" w:space="0" w:color="000000"/>
            </w:tcBorders>
            <w:shd w:val="clear" w:color="auto" w:fill="auto"/>
            <w:vAlign w:val="center"/>
            <w:hideMark/>
          </w:tcPr>
          <w:p w14:paraId="6FA4FF1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7DAF21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15873DF2"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60269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42</w:t>
            </w:r>
          </w:p>
        </w:tc>
        <w:tc>
          <w:tcPr>
            <w:tcW w:w="0" w:type="auto"/>
            <w:tcBorders>
              <w:top w:val="nil"/>
              <w:left w:val="nil"/>
              <w:bottom w:val="single" w:sz="4" w:space="0" w:color="000000"/>
              <w:right w:val="single" w:sz="4" w:space="0" w:color="000000"/>
            </w:tcBorders>
            <w:shd w:val="clear" w:color="auto" w:fill="auto"/>
            <w:vAlign w:val="center"/>
            <w:hideMark/>
          </w:tcPr>
          <w:p w14:paraId="03B60345"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Corto plazo</w:t>
            </w:r>
          </w:p>
        </w:tc>
        <w:tc>
          <w:tcPr>
            <w:tcW w:w="0" w:type="auto"/>
            <w:tcBorders>
              <w:top w:val="nil"/>
              <w:left w:val="nil"/>
              <w:bottom w:val="single" w:sz="4" w:space="0" w:color="000000"/>
              <w:right w:val="single" w:sz="4" w:space="0" w:color="000000"/>
            </w:tcBorders>
            <w:shd w:val="clear" w:color="auto" w:fill="auto"/>
            <w:vAlign w:val="center"/>
            <w:hideMark/>
          </w:tcPr>
          <w:p w14:paraId="78A8245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5860CC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2B25FAD6"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668BE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19</w:t>
            </w:r>
          </w:p>
        </w:tc>
        <w:tc>
          <w:tcPr>
            <w:tcW w:w="0" w:type="auto"/>
            <w:tcBorders>
              <w:top w:val="nil"/>
              <w:left w:val="nil"/>
              <w:bottom w:val="single" w:sz="4" w:space="0" w:color="000000"/>
              <w:right w:val="single" w:sz="4" w:space="0" w:color="000000"/>
            </w:tcBorders>
            <w:shd w:val="clear" w:color="auto" w:fill="auto"/>
            <w:vAlign w:val="center"/>
            <w:hideMark/>
          </w:tcPr>
          <w:p w14:paraId="2C12650E"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comisiones</w:t>
            </w:r>
          </w:p>
        </w:tc>
        <w:tc>
          <w:tcPr>
            <w:tcW w:w="0" w:type="auto"/>
            <w:tcBorders>
              <w:top w:val="nil"/>
              <w:left w:val="nil"/>
              <w:bottom w:val="single" w:sz="4" w:space="0" w:color="000000"/>
              <w:right w:val="single" w:sz="4" w:space="0" w:color="000000"/>
            </w:tcBorders>
            <w:shd w:val="clear" w:color="auto" w:fill="auto"/>
            <w:vAlign w:val="center"/>
            <w:hideMark/>
          </w:tcPr>
          <w:p w14:paraId="58BB83C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CBB644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2C01C7DD"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5D303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43</w:t>
            </w:r>
          </w:p>
        </w:tc>
        <w:tc>
          <w:tcPr>
            <w:tcW w:w="0" w:type="auto"/>
            <w:tcBorders>
              <w:top w:val="nil"/>
              <w:left w:val="nil"/>
              <w:bottom w:val="single" w:sz="4" w:space="0" w:color="000000"/>
              <w:right w:val="single" w:sz="4" w:space="0" w:color="000000"/>
            </w:tcBorders>
            <w:shd w:val="clear" w:color="auto" w:fill="auto"/>
            <w:vAlign w:val="center"/>
            <w:hideMark/>
          </w:tcPr>
          <w:p w14:paraId="211094E4"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Largo plazo</w:t>
            </w:r>
          </w:p>
        </w:tc>
        <w:tc>
          <w:tcPr>
            <w:tcW w:w="0" w:type="auto"/>
            <w:tcBorders>
              <w:top w:val="nil"/>
              <w:left w:val="nil"/>
              <w:bottom w:val="single" w:sz="4" w:space="0" w:color="000000"/>
              <w:right w:val="single" w:sz="4" w:space="0" w:color="000000"/>
            </w:tcBorders>
            <w:shd w:val="clear" w:color="auto" w:fill="auto"/>
            <w:vAlign w:val="center"/>
            <w:hideMark/>
          </w:tcPr>
          <w:p w14:paraId="142CA48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0FB1982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61BB0CFA"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14BD34"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20</w:t>
            </w:r>
          </w:p>
        </w:tc>
        <w:tc>
          <w:tcPr>
            <w:tcW w:w="0" w:type="auto"/>
            <w:tcBorders>
              <w:top w:val="nil"/>
              <w:left w:val="nil"/>
              <w:bottom w:val="single" w:sz="4" w:space="0" w:color="000000"/>
              <w:right w:val="single" w:sz="4" w:space="0" w:color="000000"/>
            </w:tcBorders>
            <w:shd w:val="clear" w:color="auto" w:fill="auto"/>
            <w:vAlign w:val="center"/>
            <w:hideMark/>
          </w:tcPr>
          <w:p w14:paraId="15AB6F73"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mantenimiento</w:t>
            </w:r>
          </w:p>
        </w:tc>
        <w:tc>
          <w:tcPr>
            <w:tcW w:w="0" w:type="auto"/>
            <w:tcBorders>
              <w:top w:val="nil"/>
              <w:left w:val="nil"/>
              <w:bottom w:val="single" w:sz="4" w:space="0" w:color="000000"/>
              <w:right w:val="single" w:sz="4" w:space="0" w:color="000000"/>
            </w:tcBorders>
            <w:shd w:val="clear" w:color="auto" w:fill="auto"/>
            <w:vAlign w:val="center"/>
            <w:hideMark/>
          </w:tcPr>
          <w:p w14:paraId="6CDF567B"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F05A65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26CC3D64"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45BE59F"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44</w:t>
            </w:r>
          </w:p>
        </w:tc>
        <w:tc>
          <w:tcPr>
            <w:tcW w:w="0" w:type="auto"/>
            <w:tcBorders>
              <w:top w:val="nil"/>
              <w:left w:val="nil"/>
              <w:bottom w:val="single" w:sz="4" w:space="0" w:color="000000"/>
              <w:right w:val="single" w:sz="4" w:space="0" w:color="000000"/>
            </w:tcBorders>
            <w:shd w:val="clear" w:color="auto" w:fill="auto"/>
            <w:vAlign w:val="center"/>
            <w:hideMark/>
          </w:tcPr>
          <w:p w14:paraId="5484B264" w14:textId="77777777" w:rsidR="007B563F" w:rsidRPr="001D3F74" w:rsidRDefault="007B563F" w:rsidP="00DD70A7">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 xml:space="preserve">Financiamiento </w:t>
            </w:r>
            <w:r w:rsidR="00DD70A7" w:rsidRPr="001D3F74">
              <w:rPr>
                <w:rFonts w:ascii="Calibri" w:hAnsi="Calibri"/>
                <w:color w:val="000000"/>
                <w:sz w:val="14"/>
                <w:szCs w:val="14"/>
                <w:lang w:val="es-CO" w:eastAsia="es-CO"/>
              </w:rPr>
              <w:t>B</w:t>
            </w:r>
            <w:r w:rsidRPr="001D3F74">
              <w:rPr>
                <w:rFonts w:ascii="Calibri" w:hAnsi="Calibri"/>
                <w:color w:val="000000"/>
                <w:sz w:val="14"/>
                <w:szCs w:val="14"/>
                <w:lang w:val="es-CO" w:eastAsia="es-CO"/>
              </w:rPr>
              <w:t xml:space="preserve">anco de la </w:t>
            </w:r>
            <w:r w:rsidR="00DD70A7" w:rsidRPr="001D3F74">
              <w:rPr>
                <w:rFonts w:ascii="Calibri" w:hAnsi="Calibri"/>
                <w:color w:val="000000"/>
                <w:sz w:val="14"/>
                <w:szCs w:val="14"/>
                <w:lang w:val="es-CO" w:eastAsia="es-CO"/>
              </w:rPr>
              <w:t>Repú</w:t>
            </w:r>
            <w:r w:rsidRPr="001D3F74">
              <w:rPr>
                <w:rFonts w:ascii="Calibri" w:hAnsi="Calibri"/>
                <w:color w:val="000000"/>
                <w:sz w:val="14"/>
                <w:szCs w:val="14"/>
                <w:lang w:val="es-CO" w:eastAsia="es-CO"/>
              </w:rPr>
              <w:t>blica</w:t>
            </w:r>
          </w:p>
        </w:tc>
        <w:tc>
          <w:tcPr>
            <w:tcW w:w="0" w:type="auto"/>
            <w:tcBorders>
              <w:top w:val="nil"/>
              <w:left w:val="nil"/>
              <w:bottom w:val="single" w:sz="4" w:space="0" w:color="000000"/>
              <w:right w:val="single" w:sz="4" w:space="0" w:color="000000"/>
            </w:tcBorders>
            <w:shd w:val="clear" w:color="auto" w:fill="auto"/>
            <w:vAlign w:val="center"/>
            <w:hideMark/>
          </w:tcPr>
          <w:p w14:paraId="01BC97E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3B1CFA4C"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564686C0"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EDBBB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21</w:t>
            </w:r>
          </w:p>
        </w:tc>
        <w:tc>
          <w:tcPr>
            <w:tcW w:w="0" w:type="auto"/>
            <w:tcBorders>
              <w:top w:val="nil"/>
              <w:left w:val="nil"/>
              <w:bottom w:val="single" w:sz="4" w:space="0" w:color="000000"/>
              <w:right w:val="single" w:sz="4" w:space="0" w:color="000000"/>
            </w:tcBorders>
            <w:shd w:val="clear" w:color="auto" w:fill="auto"/>
            <w:vAlign w:val="center"/>
            <w:hideMark/>
          </w:tcPr>
          <w:p w14:paraId="3E476713"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contribuciones efectivas</w:t>
            </w:r>
          </w:p>
        </w:tc>
        <w:tc>
          <w:tcPr>
            <w:tcW w:w="0" w:type="auto"/>
            <w:tcBorders>
              <w:top w:val="nil"/>
              <w:left w:val="nil"/>
              <w:bottom w:val="single" w:sz="4" w:space="0" w:color="000000"/>
              <w:right w:val="single" w:sz="4" w:space="0" w:color="000000"/>
            </w:tcBorders>
            <w:shd w:val="clear" w:color="auto" w:fill="auto"/>
            <w:vAlign w:val="center"/>
            <w:hideMark/>
          </w:tcPr>
          <w:p w14:paraId="544A069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36EB9BA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07BF5CD8"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5971A8"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45</w:t>
            </w:r>
          </w:p>
        </w:tc>
        <w:tc>
          <w:tcPr>
            <w:tcW w:w="0" w:type="auto"/>
            <w:tcBorders>
              <w:top w:val="nil"/>
              <w:left w:val="nil"/>
              <w:bottom w:val="single" w:sz="4" w:space="0" w:color="000000"/>
              <w:right w:val="single" w:sz="4" w:space="0" w:color="000000"/>
            </w:tcBorders>
            <w:shd w:val="clear" w:color="auto" w:fill="auto"/>
            <w:vAlign w:val="center"/>
            <w:hideMark/>
          </w:tcPr>
          <w:p w14:paraId="296A13CC"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Otros beneficios a los empleados - corto plazo</w:t>
            </w:r>
          </w:p>
        </w:tc>
        <w:tc>
          <w:tcPr>
            <w:tcW w:w="0" w:type="auto"/>
            <w:tcBorders>
              <w:top w:val="nil"/>
              <w:left w:val="nil"/>
              <w:bottom w:val="single" w:sz="4" w:space="0" w:color="000000"/>
              <w:right w:val="single" w:sz="4" w:space="0" w:color="000000"/>
            </w:tcBorders>
            <w:shd w:val="clear" w:color="auto" w:fill="auto"/>
            <w:vAlign w:val="center"/>
            <w:hideMark/>
          </w:tcPr>
          <w:p w14:paraId="658643D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6AE4601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4E88C06A"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AC697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22</w:t>
            </w:r>
          </w:p>
        </w:tc>
        <w:tc>
          <w:tcPr>
            <w:tcW w:w="0" w:type="auto"/>
            <w:tcBorders>
              <w:top w:val="nil"/>
              <w:left w:val="nil"/>
              <w:bottom w:val="single" w:sz="4" w:space="0" w:color="000000"/>
              <w:right w:val="single" w:sz="4" w:space="0" w:color="000000"/>
            </w:tcBorders>
            <w:shd w:val="clear" w:color="auto" w:fill="auto"/>
            <w:vAlign w:val="center"/>
            <w:hideMark/>
          </w:tcPr>
          <w:p w14:paraId="7356BB6A" w14:textId="77777777" w:rsidR="007B563F" w:rsidRPr="001D3F74" w:rsidRDefault="007B563F" w:rsidP="007B563F">
            <w:pPr>
              <w:jc w:val="both"/>
              <w:rPr>
                <w:rFonts w:ascii="Calibri" w:hAnsi="Calibri"/>
                <w:color w:val="000000"/>
                <w:sz w:val="14"/>
                <w:szCs w:val="14"/>
                <w:lang w:val="es-CO" w:eastAsia="es-CO"/>
              </w:rPr>
            </w:pPr>
            <w:proofErr w:type="spellStart"/>
            <w:r w:rsidRPr="001D3F74">
              <w:rPr>
                <w:rFonts w:ascii="Calibri" w:hAnsi="Calibri"/>
                <w:color w:val="000000"/>
                <w:sz w:val="14"/>
                <w:szCs w:val="14"/>
                <w:lang w:val="es-CO" w:eastAsia="es-CO"/>
              </w:rPr>
              <w:t>Bys</w:t>
            </w:r>
            <w:proofErr w:type="spellEnd"/>
            <w:r w:rsidRPr="001D3F74">
              <w:rPr>
                <w:rFonts w:ascii="Calibri" w:hAnsi="Calibri"/>
                <w:color w:val="000000"/>
                <w:sz w:val="14"/>
                <w:szCs w:val="14"/>
                <w:lang w:val="es-CO" w:eastAsia="es-CO"/>
              </w:rPr>
              <w:t xml:space="preserve"> </w:t>
            </w:r>
            <w:proofErr w:type="spellStart"/>
            <w:r w:rsidRPr="001D3F74">
              <w:rPr>
                <w:rFonts w:ascii="Calibri" w:hAnsi="Calibri"/>
                <w:color w:val="000000"/>
                <w:sz w:val="14"/>
                <w:szCs w:val="14"/>
                <w:lang w:val="es-CO" w:eastAsia="es-CO"/>
              </w:rPr>
              <w:t>pag</w:t>
            </w:r>
            <w:proofErr w:type="spellEnd"/>
            <w:r w:rsidRPr="001D3F74">
              <w:rPr>
                <w:rFonts w:ascii="Calibri" w:hAnsi="Calibri"/>
                <w:color w:val="000000"/>
                <w:sz w:val="14"/>
                <w:szCs w:val="14"/>
                <w:lang w:val="es-CO" w:eastAsia="es-CO"/>
              </w:rPr>
              <w:t xml:space="preserve"> por </w:t>
            </w:r>
            <w:proofErr w:type="spellStart"/>
            <w:r w:rsidRPr="001D3F74">
              <w:rPr>
                <w:rFonts w:ascii="Calibri" w:hAnsi="Calibri"/>
                <w:color w:val="000000"/>
                <w:sz w:val="14"/>
                <w:szCs w:val="14"/>
                <w:lang w:val="es-CO" w:eastAsia="es-CO"/>
              </w:rPr>
              <w:t>antcpdo</w:t>
            </w:r>
            <w:proofErr w:type="spellEnd"/>
            <w:r w:rsidRPr="001D3F74">
              <w:rPr>
                <w:rFonts w:ascii="Calibri" w:hAnsi="Calibri"/>
                <w:color w:val="000000"/>
                <w:sz w:val="14"/>
                <w:szCs w:val="14"/>
                <w:lang w:val="es-CO" w:eastAsia="es-CO"/>
              </w:rPr>
              <w:t xml:space="preserve"> - estudios y proyectos</w:t>
            </w:r>
          </w:p>
        </w:tc>
        <w:tc>
          <w:tcPr>
            <w:tcW w:w="0" w:type="auto"/>
            <w:tcBorders>
              <w:top w:val="nil"/>
              <w:left w:val="nil"/>
              <w:bottom w:val="single" w:sz="4" w:space="0" w:color="000000"/>
              <w:right w:val="single" w:sz="4" w:space="0" w:color="000000"/>
            </w:tcBorders>
            <w:shd w:val="clear" w:color="auto" w:fill="auto"/>
            <w:vAlign w:val="center"/>
            <w:hideMark/>
          </w:tcPr>
          <w:p w14:paraId="6160D2C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A82430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52533D1D"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5C50E2"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46</w:t>
            </w:r>
          </w:p>
        </w:tc>
        <w:tc>
          <w:tcPr>
            <w:tcW w:w="0" w:type="auto"/>
            <w:tcBorders>
              <w:top w:val="nil"/>
              <w:left w:val="nil"/>
              <w:bottom w:val="single" w:sz="4" w:space="0" w:color="000000"/>
              <w:right w:val="single" w:sz="4" w:space="0" w:color="000000"/>
            </w:tcBorders>
            <w:shd w:val="clear" w:color="auto" w:fill="auto"/>
            <w:vAlign w:val="center"/>
            <w:hideMark/>
          </w:tcPr>
          <w:p w14:paraId="1697D5A8"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Beneficios a los empleados - largo plazo</w:t>
            </w:r>
          </w:p>
        </w:tc>
        <w:tc>
          <w:tcPr>
            <w:tcW w:w="0" w:type="auto"/>
            <w:tcBorders>
              <w:top w:val="nil"/>
              <w:left w:val="nil"/>
              <w:bottom w:val="single" w:sz="4" w:space="0" w:color="000000"/>
              <w:right w:val="single" w:sz="4" w:space="0" w:color="000000"/>
            </w:tcBorders>
            <w:shd w:val="clear" w:color="auto" w:fill="auto"/>
            <w:vAlign w:val="center"/>
            <w:hideMark/>
          </w:tcPr>
          <w:p w14:paraId="59EC428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7C2281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0DF9ACA6"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4A75F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23</w:t>
            </w:r>
          </w:p>
        </w:tc>
        <w:tc>
          <w:tcPr>
            <w:tcW w:w="0" w:type="auto"/>
            <w:tcBorders>
              <w:top w:val="nil"/>
              <w:left w:val="nil"/>
              <w:bottom w:val="single" w:sz="4" w:space="0" w:color="000000"/>
              <w:right w:val="single" w:sz="4" w:space="0" w:color="000000"/>
            </w:tcBorders>
            <w:shd w:val="clear" w:color="auto" w:fill="auto"/>
            <w:vAlign w:val="center"/>
            <w:hideMark/>
          </w:tcPr>
          <w:p w14:paraId="169CDF00"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Avances para viáticos y gastos de viaje</w:t>
            </w:r>
          </w:p>
        </w:tc>
        <w:tc>
          <w:tcPr>
            <w:tcW w:w="0" w:type="auto"/>
            <w:tcBorders>
              <w:top w:val="nil"/>
              <w:left w:val="nil"/>
              <w:bottom w:val="single" w:sz="4" w:space="0" w:color="000000"/>
              <w:right w:val="single" w:sz="4" w:space="0" w:color="000000"/>
            </w:tcBorders>
            <w:shd w:val="clear" w:color="auto" w:fill="auto"/>
            <w:vAlign w:val="center"/>
            <w:hideMark/>
          </w:tcPr>
          <w:p w14:paraId="1B23BB2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44CE6FF9"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3EAA89E2"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78888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47</w:t>
            </w:r>
          </w:p>
        </w:tc>
        <w:tc>
          <w:tcPr>
            <w:tcW w:w="0" w:type="auto"/>
            <w:tcBorders>
              <w:top w:val="nil"/>
              <w:left w:val="nil"/>
              <w:bottom w:val="single" w:sz="4" w:space="0" w:color="000000"/>
              <w:right w:val="single" w:sz="4" w:space="0" w:color="000000"/>
            </w:tcBorders>
            <w:shd w:val="clear" w:color="auto" w:fill="auto"/>
            <w:vAlign w:val="center"/>
            <w:hideMark/>
          </w:tcPr>
          <w:p w14:paraId="3E1B872D"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Fondo de contingencias de entidades estatales</w:t>
            </w:r>
          </w:p>
        </w:tc>
        <w:tc>
          <w:tcPr>
            <w:tcW w:w="0" w:type="auto"/>
            <w:tcBorders>
              <w:top w:val="nil"/>
              <w:left w:val="nil"/>
              <w:bottom w:val="single" w:sz="4" w:space="0" w:color="000000"/>
              <w:right w:val="single" w:sz="4" w:space="0" w:color="000000"/>
            </w:tcBorders>
            <w:shd w:val="clear" w:color="auto" w:fill="auto"/>
            <w:vAlign w:val="center"/>
            <w:hideMark/>
          </w:tcPr>
          <w:p w14:paraId="411DB026"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AFB83B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r w:rsidR="007B563F" w:rsidRPr="001D3F74" w14:paraId="1D46755B" w14:textId="77777777" w:rsidTr="0068376F">
        <w:trPr>
          <w:trHeight w:val="5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611E9E"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24</w:t>
            </w:r>
          </w:p>
        </w:tc>
        <w:tc>
          <w:tcPr>
            <w:tcW w:w="0" w:type="auto"/>
            <w:tcBorders>
              <w:top w:val="nil"/>
              <w:left w:val="nil"/>
              <w:bottom w:val="single" w:sz="4" w:space="0" w:color="000000"/>
              <w:right w:val="single" w:sz="4" w:space="0" w:color="000000"/>
            </w:tcBorders>
            <w:shd w:val="clear" w:color="auto" w:fill="auto"/>
            <w:vAlign w:val="center"/>
            <w:hideMark/>
          </w:tcPr>
          <w:p w14:paraId="2EE063B9"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 xml:space="preserve">Depósitos entregados en </w:t>
            </w:r>
            <w:r w:rsidR="00D95115" w:rsidRPr="001D3F74">
              <w:rPr>
                <w:rFonts w:ascii="Calibri" w:hAnsi="Calibri"/>
                <w:color w:val="000000"/>
                <w:sz w:val="14"/>
                <w:szCs w:val="14"/>
                <w:lang w:val="es-CO" w:eastAsia="es-CO"/>
              </w:rPr>
              <w:t>garantía</w:t>
            </w:r>
            <w:r w:rsidRPr="001D3F74">
              <w:rPr>
                <w:rFonts w:ascii="Calibri" w:hAnsi="Calibri"/>
                <w:color w:val="000000"/>
                <w:sz w:val="14"/>
                <w:szCs w:val="14"/>
                <w:lang w:val="es-CO" w:eastAsia="es-CO"/>
              </w:rPr>
              <w:t xml:space="preserve"> para inversiones</w:t>
            </w:r>
          </w:p>
        </w:tc>
        <w:tc>
          <w:tcPr>
            <w:tcW w:w="0" w:type="auto"/>
            <w:tcBorders>
              <w:top w:val="nil"/>
              <w:left w:val="nil"/>
              <w:bottom w:val="single" w:sz="4" w:space="0" w:color="000000"/>
              <w:right w:val="single" w:sz="4" w:space="0" w:color="000000"/>
            </w:tcBorders>
            <w:shd w:val="clear" w:color="auto" w:fill="auto"/>
            <w:vAlign w:val="center"/>
            <w:hideMark/>
          </w:tcPr>
          <w:p w14:paraId="715E7F41"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5144D2A7"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c>
          <w:tcPr>
            <w:tcW w:w="0" w:type="auto"/>
            <w:tcBorders>
              <w:top w:val="nil"/>
              <w:left w:val="nil"/>
              <w:bottom w:val="nil"/>
              <w:right w:val="nil"/>
            </w:tcBorders>
            <w:shd w:val="clear" w:color="auto" w:fill="auto"/>
            <w:noWrap/>
            <w:vAlign w:val="center"/>
            <w:hideMark/>
          </w:tcPr>
          <w:p w14:paraId="58523C30" w14:textId="77777777" w:rsidR="007B563F" w:rsidRPr="001D3F74" w:rsidRDefault="007B563F" w:rsidP="007B563F">
            <w:pPr>
              <w:jc w:val="center"/>
              <w:rPr>
                <w:rFonts w:ascii="Calibri" w:hAnsi="Calibri"/>
                <w:color w:val="000000"/>
                <w:sz w:val="14"/>
                <w:szCs w:val="14"/>
                <w:lang w:val="es-CO" w:eastAsia="es-CO"/>
              </w:rPr>
            </w:pP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DBF060"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48</w:t>
            </w:r>
          </w:p>
        </w:tc>
        <w:tc>
          <w:tcPr>
            <w:tcW w:w="0" w:type="auto"/>
            <w:tcBorders>
              <w:top w:val="nil"/>
              <w:left w:val="nil"/>
              <w:bottom w:val="single" w:sz="4" w:space="0" w:color="000000"/>
              <w:right w:val="single" w:sz="4" w:space="0" w:color="000000"/>
            </w:tcBorders>
            <w:shd w:val="clear" w:color="auto" w:fill="auto"/>
            <w:vAlign w:val="center"/>
            <w:hideMark/>
          </w:tcPr>
          <w:p w14:paraId="41A18524" w14:textId="77777777" w:rsidR="007B563F" w:rsidRPr="001D3F74" w:rsidRDefault="007B563F" w:rsidP="007B563F">
            <w:pPr>
              <w:jc w:val="both"/>
              <w:rPr>
                <w:rFonts w:ascii="Calibri" w:hAnsi="Calibri"/>
                <w:color w:val="000000"/>
                <w:sz w:val="14"/>
                <w:szCs w:val="14"/>
                <w:lang w:val="es-CO" w:eastAsia="es-CO"/>
              </w:rPr>
            </w:pPr>
            <w:r w:rsidRPr="001D3F74">
              <w:rPr>
                <w:rFonts w:ascii="Calibri" w:hAnsi="Calibri"/>
                <w:color w:val="000000"/>
                <w:sz w:val="14"/>
                <w:szCs w:val="14"/>
                <w:lang w:val="es-CO" w:eastAsia="es-CO"/>
              </w:rPr>
              <w:t>Depósitos entregados en garantía</w:t>
            </w:r>
          </w:p>
        </w:tc>
        <w:tc>
          <w:tcPr>
            <w:tcW w:w="0" w:type="auto"/>
            <w:tcBorders>
              <w:top w:val="nil"/>
              <w:left w:val="nil"/>
              <w:bottom w:val="single" w:sz="4" w:space="0" w:color="000000"/>
              <w:right w:val="single" w:sz="4" w:space="0" w:color="000000"/>
            </w:tcBorders>
            <w:shd w:val="clear" w:color="auto" w:fill="auto"/>
            <w:vAlign w:val="center"/>
            <w:hideMark/>
          </w:tcPr>
          <w:p w14:paraId="6C7D8FFD"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NO</w:t>
            </w:r>
          </w:p>
        </w:tc>
        <w:tc>
          <w:tcPr>
            <w:tcW w:w="0" w:type="auto"/>
            <w:tcBorders>
              <w:top w:val="nil"/>
              <w:left w:val="nil"/>
              <w:bottom w:val="single" w:sz="4" w:space="0" w:color="000000"/>
              <w:right w:val="single" w:sz="4" w:space="0" w:color="000000"/>
            </w:tcBorders>
            <w:shd w:val="clear" w:color="auto" w:fill="auto"/>
            <w:vAlign w:val="center"/>
            <w:hideMark/>
          </w:tcPr>
          <w:p w14:paraId="2809DBEA" w14:textId="77777777" w:rsidR="007B563F" w:rsidRPr="001D3F74" w:rsidRDefault="007B563F" w:rsidP="007B563F">
            <w:pPr>
              <w:jc w:val="center"/>
              <w:rPr>
                <w:rFonts w:ascii="Calibri" w:hAnsi="Calibri"/>
                <w:color w:val="000000"/>
                <w:sz w:val="14"/>
                <w:szCs w:val="14"/>
                <w:lang w:val="es-CO" w:eastAsia="es-CO"/>
              </w:rPr>
            </w:pPr>
            <w:r w:rsidRPr="001D3F74">
              <w:rPr>
                <w:rFonts w:ascii="Calibri" w:hAnsi="Calibri"/>
                <w:color w:val="000000"/>
                <w:sz w:val="14"/>
                <w:szCs w:val="14"/>
                <w:lang w:val="es-CO" w:eastAsia="es-CO"/>
              </w:rPr>
              <w:t>SI</w:t>
            </w:r>
          </w:p>
        </w:tc>
      </w:tr>
    </w:tbl>
    <w:p w14:paraId="3310D344" w14:textId="77777777" w:rsidR="00412686" w:rsidRDefault="00E02C7B" w:rsidP="00E02C7B">
      <w:pPr>
        <w:pStyle w:val="unico"/>
        <w:spacing w:before="0" w:beforeAutospacing="0" w:after="0" w:afterAutospacing="0" w:line="288" w:lineRule="auto"/>
        <w:jc w:val="both"/>
        <w:rPr>
          <w:rFonts w:ascii="Arial" w:hAnsi="Arial" w:cs="Arial"/>
          <w:color w:val="000000"/>
          <w:sz w:val="27"/>
          <w:szCs w:val="27"/>
        </w:rPr>
      </w:pPr>
      <w:r>
        <w:rPr>
          <w:rFonts w:ascii="Arial" w:hAnsi="Arial" w:cs="Arial"/>
          <w:color w:val="000000"/>
          <w:sz w:val="27"/>
          <w:szCs w:val="27"/>
        </w:rPr>
        <w:t> </w:t>
      </w:r>
    </w:p>
    <w:p w14:paraId="27859BD1" w14:textId="77777777" w:rsidR="00E02C7B" w:rsidRPr="00781361" w:rsidRDefault="00E02C7B" w:rsidP="00781361">
      <w:pPr>
        <w:spacing w:line="288" w:lineRule="auto"/>
        <w:jc w:val="both"/>
        <w:rPr>
          <w:rFonts w:ascii="Arial" w:hAnsi="Arial" w:cs="Arial"/>
          <w:color w:val="000000"/>
          <w:sz w:val="22"/>
          <w:szCs w:val="22"/>
        </w:rPr>
      </w:pPr>
      <w:r w:rsidRPr="00781361">
        <w:rPr>
          <w:rFonts w:ascii="Arial" w:hAnsi="Arial" w:cs="Arial"/>
          <w:color w:val="000000"/>
          <w:sz w:val="22"/>
          <w:szCs w:val="22"/>
        </w:rPr>
        <w:t>Tablas de eventos relacionadas con la obligación</w:t>
      </w:r>
      <w:r w:rsidR="00C81DC4" w:rsidRPr="00781361">
        <w:rPr>
          <w:rFonts w:ascii="Arial" w:hAnsi="Arial" w:cs="Arial"/>
          <w:color w:val="000000"/>
          <w:sz w:val="22"/>
          <w:szCs w:val="22"/>
        </w:rPr>
        <w:t xml:space="preserve">: </w:t>
      </w:r>
      <w:r w:rsidRPr="00781361">
        <w:rPr>
          <w:rFonts w:ascii="Arial" w:hAnsi="Arial" w:cs="Arial"/>
          <w:color w:val="000000"/>
          <w:sz w:val="22"/>
          <w:szCs w:val="22"/>
        </w:rPr>
        <w:t>Son las tablas de eventos contables que se relacionan con el reconocimiento de la obligación presupuestal corresponden a la TCON12-tipo de operación, TCON12-4-relación usos contables y códigos contables y TCON07-causación de gastos:</w:t>
      </w:r>
    </w:p>
    <w:p w14:paraId="4BB758AC" w14:textId="77777777" w:rsidR="00DD70A7" w:rsidRPr="00DD70A7" w:rsidRDefault="00DD70A7" w:rsidP="00A0134B">
      <w:pPr>
        <w:pStyle w:val="unico"/>
        <w:spacing w:before="0" w:beforeAutospacing="0" w:after="0" w:afterAutospacing="0" w:line="288" w:lineRule="auto"/>
        <w:jc w:val="both"/>
        <w:rPr>
          <w:rFonts w:ascii="Arial" w:hAnsi="Arial" w:cs="Arial"/>
          <w:color w:val="000000"/>
          <w:sz w:val="22"/>
          <w:szCs w:val="22"/>
        </w:rPr>
      </w:pPr>
    </w:p>
    <w:p w14:paraId="53D19DB8" w14:textId="77777777" w:rsidR="00E02C7B" w:rsidRPr="00DD70A7" w:rsidRDefault="00E02C7B" w:rsidP="00343ECE">
      <w:pPr>
        <w:pStyle w:val="unico"/>
        <w:numPr>
          <w:ilvl w:val="0"/>
          <w:numId w:val="18"/>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4C7370">
        <w:rPr>
          <w:rFonts w:ascii="Arial" w:hAnsi="Arial" w:cs="Arial"/>
          <w:b/>
          <w:color w:val="000000"/>
          <w:sz w:val="22"/>
          <w:szCs w:val="22"/>
        </w:rPr>
        <w:t xml:space="preserve">TCON12 Tipo de operación: </w:t>
      </w:r>
      <w:r w:rsidRPr="00DD70A7">
        <w:rPr>
          <w:rFonts w:ascii="Arial" w:hAnsi="Arial" w:cs="Arial"/>
          <w:color w:val="000000"/>
          <w:sz w:val="22"/>
          <w:szCs w:val="22"/>
        </w:rPr>
        <w:t>Esta tabla contiene las listas para los tipos de operación y los usos contables. Igualmente, contiene las relaciones de los rubros presupuestales de gasto con los tipos de operación o los usos, según se defina, si corresponde a matriz directa o uso.</w:t>
      </w:r>
    </w:p>
    <w:p w14:paraId="2B9C7084" w14:textId="77777777" w:rsidR="00E02C7B" w:rsidRDefault="00E02C7B" w:rsidP="00A0134B">
      <w:pPr>
        <w:spacing w:line="288" w:lineRule="auto"/>
        <w:jc w:val="both"/>
        <w:rPr>
          <w:rFonts w:ascii="Arial" w:hAnsi="Arial" w:cs="Arial"/>
          <w:b/>
          <w:sz w:val="22"/>
          <w:szCs w:val="22"/>
        </w:rPr>
      </w:pPr>
    </w:p>
    <w:tbl>
      <w:tblPr>
        <w:tblW w:w="4961" w:type="pct"/>
        <w:tblInd w:w="70" w:type="dxa"/>
        <w:tblCellMar>
          <w:left w:w="70" w:type="dxa"/>
          <w:right w:w="70" w:type="dxa"/>
        </w:tblCellMar>
        <w:tblLook w:val="04A0" w:firstRow="1" w:lastRow="0" w:firstColumn="1" w:lastColumn="0" w:noHBand="0" w:noVBand="1"/>
      </w:tblPr>
      <w:tblGrid>
        <w:gridCol w:w="826"/>
        <w:gridCol w:w="5569"/>
        <w:gridCol w:w="609"/>
        <w:gridCol w:w="495"/>
        <w:gridCol w:w="663"/>
        <w:gridCol w:w="589"/>
      </w:tblGrid>
      <w:tr w:rsidR="00F33FE3" w:rsidRPr="00676199" w14:paraId="595D3A11" w14:textId="77777777" w:rsidTr="00731CF5">
        <w:trPr>
          <w:trHeight w:val="113"/>
          <w:tblHeader/>
        </w:trPr>
        <w:tc>
          <w:tcPr>
            <w:tcW w:w="478" w:type="pct"/>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B95352C" w14:textId="77777777" w:rsidR="00CB62F0" w:rsidRPr="00676199" w:rsidRDefault="00F33FE3"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Código</w:t>
            </w:r>
            <w:r w:rsidR="00CB62F0" w:rsidRPr="00676199">
              <w:rPr>
                <w:rFonts w:ascii="Calibri" w:hAnsi="Calibri"/>
                <w:b/>
                <w:bCs/>
                <w:color w:val="FFFFFF"/>
                <w:sz w:val="14"/>
                <w:szCs w:val="14"/>
                <w:lang w:val="es-CO" w:eastAsia="es-CO"/>
              </w:rPr>
              <w:t xml:space="preserve"> Tipo </w:t>
            </w:r>
            <w:r w:rsidRPr="00676199">
              <w:rPr>
                <w:rFonts w:ascii="Calibri" w:hAnsi="Calibri"/>
                <w:b/>
                <w:bCs/>
                <w:color w:val="FFFFFF"/>
                <w:sz w:val="14"/>
                <w:szCs w:val="14"/>
                <w:lang w:val="es-CO" w:eastAsia="es-CO"/>
              </w:rPr>
              <w:t>Operación</w:t>
            </w:r>
          </w:p>
        </w:tc>
        <w:tc>
          <w:tcPr>
            <w:tcW w:w="3188" w:type="pct"/>
            <w:tcBorders>
              <w:top w:val="single" w:sz="8" w:space="0" w:color="000000"/>
              <w:left w:val="nil"/>
              <w:bottom w:val="single" w:sz="4" w:space="0" w:color="000000"/>
              <w:right w:val="single" w:sz="4" w:space="0" w:color="000000"/>
            </w:tcBorders>
            <w:shd w:val="clear" w:color="000000" w:fill="2F5395"/>
            <w:vAlign w:val="center"/>
            <w:hideMark/>
          </w:tcPr>
          <w:p w14:paraId="16259BD3" w14:textId="77777777" w:rsidR="00CB62F0" w:rsidRPr="00676199" w:rsidRDefault="00F33FE3"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Descripción</w:t>
            </w:r>
            <w:r w:rsidR="00CB62F0" w:rsidRPr="00676199">
              <w:rPr>
                <w:rFonts w:ascii="Calibri" w:hAnsi="Calibri"/>
                <w:b/>
                <w:bCs/>
                <w:color w:val="FFFFFF"/>
                <w:sz w:val="14"/>
                <w:szCs w:val="14"/>
                <w:lang w:val="es-CO" w:eastAsia="es-CO"/>
              </w:rPr>
              <w:t xml:space="preserve"> Tipo </w:t>
            </w:r>
            <w:r w:rsidRPr="00676199">
              <w:rPr>
                <w:rFonts w:ascii="Calibri" w:hAnsi="Calibri"/>
                <w:b/>
                <w:bCs/>
                <w:color w:val="FFFFFF"/>
                <w:sz w:val="14"/>
                <w:szCs w:val="14"/>
                <w:lang w:val="es-CO" w:eastAsia="es-CO"/>
              </w:rPr>
              <w:t>Operación</w:t>
            </w:r>
          </w:p>
        </w:tc>
        <w:tc>
          <w:tcPr>
            <w:tcW w:w="354" w:type="pct"/>
            <w:tcBorders>
              <w:top w:val="single" w:sz="8" w:space="0" w:color="000000"/>
              <w:left w:val="nil"/>
              <w:bottom w:val="single" w:sz="4" w:space="0" w:color="000000"/>
              <w:right w:val="single" w:sz="4" w:space="0" w:color="000000"/>
            </w:tcBorders>
            <w:shd w:val="clear" w:color="000000" w:fill="2F5395"/>
            <w:vAlign w:val="center"/>
            <w:hideMark/>
          </w:tcPr>
          <w:p w14:paraId="3BD7A207" w14:textId="77777777" w:rsidR="00CB62F0" w:rsidRPr="00676199" w:rsidRDefault="00CB62F0"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Aplica Matriz</w:t>
            </w:r>
          </w:p>
        </w:tc>
        <w:tc>
          <w:tcPr>
            <w:tcW w:w="278" w:type="pct"/>
            <w:tcBorders>
              <w:top w:val="single" w:sz="8" w:space="0" w:color="000000"/>
              <w:left w:val="nil"/>
              <w:bottom w:val="single" w:sz="4" w:space="0" w:color="000000"/>
              <w:right w:val="single" w:sz="4" w:space="0" w:color="000000"/>
            </w:tcBorders>
            <w:shd w:val="clear" w:color="000000" w:fill="2F5395"/>
            <w:vAlign w:val="center"/>
            <w:hideMark/>
          </w:tcPr>
          <w:p w14:paraId="5A6FBF1B" w14:textId="77777777" w:rsidR="00CB62F0" w:rsidRPr="00676199" w:rsidRDefault="00CB62F0"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Rubro Gasto</w:t>
            </w:r>
          </w:p>
        </w:tc>
        <w:tc>
          <w:tcPr>
            <w:tcW w:w="372" w:type="pct"/>
            <w:tcBorders>
              <w:top w:val="single" w:sz="8" w:space="0" w:color="000000"/>
              <w:left w:val="nil"/>
              <w:bottom w:val="single" w:sz="4" w:space="0" w:color="000000"/>
              <w:right w:val="single" w:sz="4" w:space="0" w:color="000000"/>
            </w:tcBorders>
            <w:shd w:val="clear" w:color="000000" w:fill="2F5395"/>
            <w:vAlign w:val="center"/>
            <w:hideMark/>
          </w:tcPr>
          <w:p w14:paraId="0C03637A" w14:textId="77777777" w:rsidR="00CB62F0" w:rsidRPr="00676199" w:rsidRDefault="00CB62F0"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Uso Contable</w:t>
            </w:r>
          </w:p>
        </w:tc>
        <w:tc>
          <w:tcPr>
            <w:tcW w:w="331" w:type="pct"/>
            <w:tcBorders>
              <w:top w:val="single" w:sz="8" w:space="0" w:color="000000"/>
              <w:left w:val="nil"/>
              <w:bottom w:val="single" w:sz="4" w:space="0" w:color="000000"/>
              <w:right w:val="single" w:sz="8" w:space="0" w:color="000000"/>
            </w:tcBorders>
            <w:shd w:val="clear" w:color="000000" w:fill="2F5395"/>
            <w:vAlign w:val="center"/>
            <w:hideMark/>
          </w:tcPr>
          <w:p w14:paraId="790BEBAD" w14:textId="77777777" w:rsidR="00CB62F0" w:rsidRPr="00676199" w:rsidRDefault="00CB62F0" w:rsidP="00A0134B">
            <w:pPr>
              <w:spacing w:line="288" w:lineRule="auto"/>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Vigente</w:t>
            </w:r>
          </w:p>
        </w:tc>
      </w:tr>
      <w:tr w:rsidR="00F33FE3" w:rsidRPr="00676199" w14:paraId="343E6049"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68897F81"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w:t>
            </w:r>
          </w:p>
        </w:tc>
        <w:tc>
          <w:tcPr>
            <w:tcW w:w="3188" w:type="pct"/>
            <w:tcBorders>
              <w:top w:val="nil"/>
              <w:left w:val="nil"/>
              <w:bottom w:val="single" w:sz="4" w:space="0" w:color="000000"/>
              <w:right w:val="single" w:sz="4" w:space="0" w:color="000000"/>
            </w:tcBorders>
            <w:shd w:val="clear" w:color="auto" w:fill="auto"/>
            <w:vAlign w:val="center"/>
            <w:hideMark/>
          </w:tcPr>
          <w:p w14:paraId="7DED7630" w14:textId="77777777" w:rsidR="00CB62F0" w:rsidRPr="00676199" w:rsidRDefault="00D95115"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Títulos</w:t>
            </w:r>
            <w:r w:rsidR="00CB62F0" w:rsidRPr="00676199">
              <w:rPr>
                <w:rFonts w:ascii="Calibri" w:hAnsi="Calibri"/>
                <w:color w:val="000000"/>
                <w:sz w:val="14"/>
                <w:szCs w:val="14"/>
                <w:lang w:val="es-CO" w:eastAsia="es-CO"/>
              </w:rPr>
              <w:t xml:space="preserve"> de Deuda-Financiamiento Interno-Títulos TES</w:t>
            </w:r>
          </w:p>
        </w:tc>
        <w:tc>
          <w:tcPr>
            <w:tcW w:w="354" w:type="pct"/>
            <w:tcBorders>
              <w:top w:val="nil"/>
              <w:left w:val="nil"/>
              <w:bottom w:val="single" w:sz="4" w:space="0" w:color="000000"/>
              <w:right w:val="single" w:sz="4" w:space="0" w:color="000000"/>
            </w:tcBorders>
            <w:shd w:val="clear" w:color="auto" w:fill="auto"/>
            <w:vAlign w:val="center"/>
            <w:hideMark/>
          </w:tcPr>
          <w:p w14:paraId="19DC191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2BBB0808"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412FE6B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65B38D3E"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64C3C0E8"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5800A56A"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3188" w:type="pct"/>
            <w:tcBorders>
              <w:top w:val="nil"/>
              <w:left w:val="nil"/>
              <w:bottom w:val="single" w:sz="4" w:space="0" w:color="000000"/>
              <w:right w:val="single" w:sz="4" w:space="0" w:color="000000"/>
            </w:tcBorders>
            <w:shd w:val="clear" w:color="auto" w:fill="auto"/>
            <w:vAlign w:val="center"/>
            <w:hideMark/>
          </w:tcPr>
          <w:p w14:paraId="2BD6A5A1"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Interno-TES Costo Efectivo-Intereses</w:t>
            </w:r>
          </w:p>
        </w:tc>
        <w:tc>
          <w:tcPr>
            <w:tcW w:w="354" w:type="pct"/>
            <w:tcBorders>
              <w:top w:val="nil"/>
              <w:left w:val="nil"/>
              <w:bottom w:val="single" w:sz="4" w:space="0" w:color="000000"/>
              <w:right w:val="single" w:sz="4" w:space="0" w:color="000000"/>
            </w:tcBorders>
            <w:shd w:val="clear" w:color="auto" w:fill="auto"/>
            <w:vAlign w:val="center"/>
            <w:hideMark/>
          </w:tcPr>
          <w:p w14:paraId="649CEE5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736FC20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2172E17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4F3FFC6D"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179ABD2F"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44CC5FEB"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3</w:t>
            </w:r>
          </w:p>
        </w:tc>
        <w:tc>
          <w:tcPr>
            <w:tcW w:w="3188" w:type="pct"/>
            <w:tcBorders>
              <w:top w:val="nil"/>
              <w:left w:val="nil"/>
              <w:bottom w:val="single" w:sz="4" w:space="0" w:color="000000"/>
              <w:right w:val="single" w:sz="4" w:space="0" w:color="000000"/>
            </w:tcBorders>
            <w:shd w:val="clear" w:color="auto" w:fill="auto"/>
            <w:vAlign w:val="center"/>
            <w:hideMark/>
          </w:tcPr>
          <w:p w14:paraId="6F8899D4" w14:textId="77777777" w:rsidR="00CB62F0" w:rsidRPr="00676199" w:rsidRDefault="00D95115"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Títulos</w:t>
            </w:r>
            <w:r w:rsidR="00CB62F0" w:rsidRPr="00676199">
              <w:rPr>
                <w:rFonts w:ascii="Calibri" w:hAnsi="Calibri"/>
                <w:color w:val="000000"/>
                <w:sz w:val="14"/>
                <w:szCs w:val="14"/>
                <w:lang w:val="es-CO" w:eastAsia="es-CO"/>
              </w:rPr>
              <w:t xml:space="preserve"> de Deuda- Financiamiento Interno TES-Costo Efectivo Amortización -Costos de Transacción</w:t>
            </w:r>
          </w:p>
        </w:tc>
        <w:tc>
          <w:tcPr>
            <w:tcW w:w="354" w:type="pct"/>
            <w:tcBorders>
              <w:top w:val="nil"/>
              <w:left w:val="nil"/>
              <w:bottom w:val="single" w:sz="4" w:space="0" w:color="000000"/>
              <w:right w:val="single" w:sz="4" w:space="0" w:color="000000"/>
            </w:tcBorders>
            <w:shd w:val="clear" w:color="auto" w:fill="auto"/>
            <w:vAlign w:val="center"/>
            <w:hideMark/>
          </w:tcPr>
          <w:p w14:paraId="6682439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2E67CF2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5F82AFB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339C8B5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58AF4491"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26588479"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4</w:t>
            </w:r>
          </w:p>
        </w:tc>
        <w:tc>
          <w:tcPr>
            <w:tcW w:w="3188" w:type="pct"/>
            <w:tcBorders>
              <w:top w:val="nil"/>
              <w:left w:val="nil"/>
              <w:bottom w:val="single" w:sz="4" w:space="0" w:color="000000"/>
              <w:right w:val="single" w:sz="4" w:space="0" w:color="000000"/>
            </w:tcBorders>
            <w:shd w:val="clear" w:color="auto" w:fill="auto"/>
            <w:vAlign w:val="center"/>
            <w:hideMark/>
          </w:tcPr>
          <w:p w14:paraId="2CDEEBF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Interno-Bonos de paz</w:t>
            </w:r>
          </w:p>
        </w:tc>
        <w:tc>
          <w:tcPr>
            <w:tcW w:w="354" w:type="pct"/>
            <w:tcBorders>
              <w:top w:val="nil"/>
              <w:left w:val="nil"/>
              <w:bottom w:val="single" w:sz="4" w:space="0" w:color="000000"/>
              <w:right w:val="single" w:sz="4" w:space="0" w:color="000000"/>
            </w:tcBorders>
            <w:shd w:val="clear" w:color="auto" w:fill="auto"/>
            <w:vAlign w:val="center"/>
            <w:hideMark/>
          </w:tcPr>
          <w:p w14:paraId="7F0F9D60"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151557A0"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ECF5064"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224C002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5FF8A33C"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56E64B70"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5</w:t>
            </w:r>
          </w:p>
        </w:tc>
        <w:tc>
          <w:tcPr>
            <w:tcW w:w="3188" w:type="pct"/>
            <w:tcBorders>
              <w:top w:val="nil"/>
              <w:left w:val="nil"/>
              <w:bottom w:val="single" w:sz="4" w:space="0" w:color="000000"/>
              <w:right w:val="single" w:sz="4" w:space="0" w:color="000000"/>
            </w:tcBorders>
            <w:shd w:val="clear" w:color="auto" w:fill="auto"/>
            <w:vAlign w:val="center"/>
            <w:hideMark/>
          </w:tcPr>
          <w:p w14:paraId="5BE8DC94"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Títulos de Deuda-Financiamiento Interno-Bonos de Seguridad</w:t>
            </w:r>
          </w:p>
        </w:tc>
        <w:tc>
          <w:tcPr>
            <w:tcW w:w="354" w:type="pct"/>
            <w:tcBorders>
              <w:top w:val="nil"/>
              <w:left w:val="nil"/>
              <w:bottom w:val="single" w:sz="4" w:space="0" w:color="000000"/>
              <w:right w:val="single" w:sz="4" w:space="0" w:color="000000"/>
            </w:tcBorders>
            <w:shd w:val="clear" w:color="auto" w:fill="auto"/>
            <w:vAlign w:val="center"/>
            <w:hideMark/>
          </w:tcPr>
          <w:p w14:paraId="0F631241"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66BFFE1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E836DD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431A388F"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2E75C871"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609B141B"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7</w:t>
            </w:r>
          </w:p>
        </w:tc>
        <w:tc>
          <w:tcPr>
            <w:tcW w:w="3188" w:type="pct"/>
            <w:tcBorders>
              <w:top w:val="nil"/>
              <w:left w:val="nil"/>
              <w:bottom w:val="single" w:sz="4" w:space="0" w:color="000000"/>
              <w:right w:val="single" w:sz="4" w:space="0" w:color="000000"/>
            </w:tcBorders>
            <w:shd w:val="clear" w:color="auto" w:fill="auto"/>
            <w:vAlign w:val="center"/>
            <w:hideMark/>
          </w:tcPr>
          <w:p w14:paraId="385F2B72"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 xml:space="preserve">Títulos de Deuda-Financiamiento Interno-Bonos </w:t>
            </w:r>
            <w:r w:rsidR="00D95115" w:rsidRPr="00676199">
              <w:rPr>
                <w:rFonts w:ascii="Calibri" w:hAnsi="Calibri"/>
                <w:color w:val="000000"/>
                <w:sz w:val="14"/>
                <w:szCs w:val="14"/>
                <w:lang w:val="es-CO" w:eastAsia="es-CO"/>
              </w:rPr>
              <w:t>Cesantías</w:t>
            </w:r>
            <w:r w:rsidRPr="00676199">
              <w:rPr>
                <w:rFonts w:ascii="Calibri" w:hAnsi="Calibri"/>
                <w:color w:val="000000"/>
                <w:sz w:val="14"/>
                <w:szCs w:val="14"/>
                <w:lang w:val="es-CO" w:eastAsia="es-CO"/>
              </w:rPr>
              <w:t xml:space="preserve"> Ley 413 de 1997 Universidades</w:t>
            </w:r>
          </w:p>
        </w:tc>
        <w:tc>
          <w:tcPr>
            <w:tcW w:w="354" w:type="pct"/>
            <w:tcBorders>
              <w:top w:val="nil"/>
              <w:left w:val="nil"/>
              <w:bottom w:val="single" w:sz="4" w:space="0" w:color="000000"/>
              <w:right w:val="single" w:sz="4" w:space="0" w:color="000000"/>
            </w:tcBorders>
            <w:shd w:val="clear" w:color="auto" w:fill="auto"/>
            <w:vAlign w:val="center"/>
            <w:hideMark/>
          </w:tcPr>
          <w:p w14:paraId="361293E0"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01BFBB9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338C40B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269B4A1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72E9CE95"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77977575"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8</w:t>
            </w:r>
          </w:p>
        </w:tc>
        <w:tc>
          <w:tcPr>
            <w:tcW w:w="3188" w:type="pct"/>
            <w:tcBorders>
              <w:top w:val="nil"/>
              <w:left w:val="nil"/>
              <w:bottom w:val="single" w:sz="4" w:space="0" w:color="000000"/>
              <w:right w:val="single" w:sz="4" w:space="0" w:color="000000"/>
            </w:tcBorders>
            <w:shd w:val="clear" w:color="auto" w:fill="auto"/>
            <w:vAlign w:val="center"/>
            <w:hideMark/>
          </w:tcPr>
          <w:p w14:paraId="0882049D"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interno-Préstamos banca comercial-Capital</w:t>
            </w:r>
          </w:p>
        </w:tc>
        <w:tc>
          <w:tcPr>
            <w:tcW w:w="354" w:type="pct"/>
            <w:tcBorders>
              <w:top w:val="nil"/>
              <w:left w:val="nil"/>
              <w:bottom w:val="single" w:sz="4" w:space="0" w:color="000000"/>
              <w:right w:val="single" w:sz="4" w:space="0" w:color="000000"/>
            </w:tcBorders>
            <w:shd w:val="clear" w:color="auto" w:fill="auto"/>
            <w:vAlign w:val="center"/>
            <w:hideMark/>
          </w:tcPr>
          <w:p w14:paraId="7EF7BF4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01728C4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227CF064"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2E1EE95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3918A687"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0EA71FE2"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9</w:t>
            </w:r>
          </w:p>
        </w:tc>
        <w:tc>
          <w:tcPr>
            <w:tcW w:w="3188" w:type="pct"/>
            <w:tcBorders>
              <w:top w:val="nil"/>
              <w:left w:val="nil"/>
              <w:bottom w:val="single" w:sz="4" w:space="0" w:color="000000"/>
              <w:right w:val="single" w:sz="4" w:space="0" w:color="000000"/>
            </w:tcBorders>
            <w:shd w:val="clear" w:color="auto" w:fill="auto"/>
            <w:vAlign w:val="center"/>
            <w:hideMark/>
          </w:tcPr>
          <w:p w14:paraId="3C7ED2A1"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comercial-Capital</w:t>
            </w:r>
          </w:p>
        </w:tc>
        <w:tc>
          <w:tcPr>
            <w:tcW w:w="354" w:type="pct"/>
            <w:tcBorders>
              <w:top w:val="nil"/>
              <w:left w:val="nil"/>
              <w:bottom w:val="single" w:sz="4" w:space="0" w:color="000000"/>
              <w:right w:val="single" w:sz="4" w:space="0" w:color="000000"/>
            </w:tcBorders>
            <w:shd w:val="clear" w:color="auto" w:fill="auto"/>
            <w:vAlign w:val="center"/>
            <w:hideMark/>
          </w:tcPr>
          <w:p w14:paraId="686346C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439FF7E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AF6DD3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1B9187EF"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722F2600"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01B9668F"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10</w:t>
            </w:r>
          </w:p>
        </w:tc>
        <w:tc>
          <w:tcPr>
            <w:tcW w:w="3188" w:type="pct"/>
            <w:tcBorders>
              <w:top w:val="nil"/>
              <w:left w:val="nil"/>
              <w:bottom w:val="single" w:sz="4" w:space="0" w:color="000000"/>
              <w:right w:val="single" w:sz="4" w:space="0" w:color="000000"/>
            </w:tcBorders>
            <w:shd w:val="clear" w:color="auto" w:fill="auto"/>
            <w:vAlign w:val="center"/>
            <w:hideMark/>
          </w:tcPr>
          <w:p w14:paraId="40A02370"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Multilateral-Capital</w:t>
            </w:r>
          </w:p>
        </w:tc>
        <w:tc>
          <w:tcPr>
            <w:tcW w:w="354" w:type="pct"/>
            <w:tcBorders>
              <w:top w:val="nil"/>
              <w:left w:val="nil"/>
              <w:bottom w:val="single" w:sz="4" w:space="0" w:color="000000"/>
              <w:right w:val="single" w:sz="4" w:space="0" w:color="000000"/>
            </w:tcBorders>
            <w:shd w:val="clear" w:color="auto" w:fill="auto"/>
            <w:vAlign w:val="center"/>
            <w:hideMark/>
          </w:tcPr>
          <w:p w14:paraId="5A7C4EF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6DEE2AF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4F2A89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4C3A4328"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4FAC34B7"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15D1D15A"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11</w:t>
            </w:r>
          </w:p>
        </w:tc>
        <w:tc>
          <w:tcPr>
            <w:tcW w:w="3188" w:type="pct"/>
            <w:tcBorders>
              <w:top w:val="nil"/>
              <w:left w:val="nil"/>
              <w:bottom w:val="single" w:sz="4" w:space="0" w:color="000000"/>
              <w:right w:val="single" w:sz="4" w:space="0" w:color="000000"/>
            </w:tcBorders>
            <w:shd w:val="clear" w:color="auto" w:fill="auto"/>
            <w:vAlign w:val="center"/>
            <w:hideMark/>
          </w:tcPr>
          <w:p w14:paraId="2D592D3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Banca de Fomento-Capital</w:t>
            </w:r>
          </w:p>
        </w:tc>
        <w:tc>
          <w:tcPr>
            <w:tcW w:w="354" w:type="pct"/>
            <w:tcBorders>
              <w:top w:val="nil"/>
              <w:left w:val="nil"/>
              <w:bottom w:val="single" w:sz="4" w:space="0" w:color="000000"/>
              <w:right w:val="single" w:sz="4" w:space="0" w:color="000000"/>
            </w:tcBorders>
            <w:shd w:val="clear" w:color="auto" w:fill="auto"/>
            <w:vAlign w:val="center"/>
            <w:hideMark/>
          </w:tcPr>
          <w:p w14:paraId="512816F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0A06750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34C438D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66C5DC9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5180B664"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1C6F4299"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12</w:t>
            </w:r>
          </w:p>
        </w:tc>
        <w:tc>
          <w:tcPr>
            <w:tcW w:w="3188" w:type="pct"/>
            <w:tcBorders>
              <w:top w:val="nil"/>
              <w:left w:val="nil"/>
              <w:bottom w:val="single" w:sz="4" w:space="0" w:color="000000"/>
              <w:right w:val="single" w:sz="4" w:space="0" w:color="000000"/>
            </w:tcBorders>
            <w:shd w:val="clear" w:color="auto" w:fill="auto"/>
            <w:vAlign w:val="center"/>
            <w:hideMark/>
          </w:tcPr>
          <w:p w14:paraId="735AB38E"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Externo-Préstamos del Gobierno General-Capital</w:t>
            </w:r>
          </w:p>
        </w:tc>
        <w:tc>
          <w:tcPr>
            <w:tcW w:w="354" w:type="pct"/>
            <w:tcBorders>
              <w:top w:val="nil"/>
              <w:left w:val="nil"/>
              <w:bottom w:val="single" w:sz="4" w:space="0" w:color="000000"/>
              <w:right w:val="single" w:sz="4" w:space="0" w:color="000000"/>
            </w:tcBorders>
            <w:shd w:val="clear" w:color="auto" w:fill="auto"/>
            <w:vAlign w:val="center"/>
            <w:hideMark/>
          </w:tcPr>
          <w:p w14:paraId="79A755D4"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2394A0F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17F04D2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78CC525D"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2E88D628"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51E1F6DD"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13</w:t>
            </w:r>
          </w:p>
        </w:tc>
        <w:tc>
          <w:tcPr>
            <w:tcW w:w="3188" w:type="pct"/>
            <w:tcBorders>
              <w:top w:val="nil"/>
              <w:left w:val="nil"/>
              <w:bottom w:val="single" w:sz="4" w:space="0" w:color="000000"/>
              <w:right w:val="single" w:sz="4" w:space="0" w:color="000000"/>
            </w:tcBorders>
            <w:shd w:val="clear" w:color="auto" w:fill="auto"/>
            <w:vAlign w:val="center"/>
            <w:hideMark/>
          </w:tcPr>
          <w:p w14:paraId="64C862A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Externo-Cuenta Especial de Deuda Externa-CEDE-Capital</w:t>
            </w:r>
          </w:p>
        </w:tc>
        <w:tc>
          <w:tcPr>
            <w:tcW w:w="354" w:type="pct"/>
            <w:tcBorders>
              <w:top w:val="nil"/>
              <w:left w:val="nil"/>
              <w:bottom w:val="single" w:sz="4" w:space="0" w:color="000000"/>
              <w:right w:val="single" w:sz="4" w:space="0" w:color="000000"/>
            </w:tcBorders>
            <w:shd w:val="clear" w:color="auto" w:fill="auto"/>
            <w:vAlign w:val="center"/>
            <w:hideMark/>
          </w:tcPr>
          <w:p w14:paraId="767CE5B2"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3084DFBE"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74883C16"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2975FD72"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39AF0FE5"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528C8AE8"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14</w:t>
            </w:r>
          </w:p>
        </w:tc>
        <w:tc>
          <w:tcPr>
            <w:tcW w:w="3188" w:type="pct"/>
            <w:tcBorders>
              <w:top w:val="nil"/>
              <w:left w:val="nil"/>
              <w:bottom w:val="single" w:sz="4" w:space="0" w:color="000000"/>
              <w:right w:val="single" w:sz="4" w:space="0" w:color="000000"/>
            </w:tcBorders>
            <w:shd w:val="clear" w:color="auto" w:fill="auto"/>
            <w:vAlign w:val="center"/>
            <w:hideMark/>
          </w:tcPr>
          <w:p w14:paraId="74B9BFF8"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Préstamos por pagar-Financiamiento con Banca Central-Banco de la República</w:t>
            </w:r>
          </w:p>
        </w:tc>
        <w:tc>
          <w:tcPr>
            <w:tcW w:w="354" w:type="pct"/>
            <w:tcBorders>
              <w:top w:val="nil"/>
              <w:left w:val="nil"/>
              <w:bottom w:val="single" w:sz="4" w:space="0" w:color="000000"/>
              <w:right w:val="single" w:sz="4" w:space="0" w:color="000000"/>
            </w:tcBorders>
            <w:shd w:val="clear" w:color="auto" w:fill="auto"/>
            <w:vAlign w:val="center"/>
            <w:hideMark/>
          </w:tcPr>
          <w:p w14:paraId="15067732"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3417746F"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02DA93CE"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1664F24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3A7D1E3C"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0C0191F8"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3188" w:type="pct"/>
            <w:tcBorders>
              <w:top w:val="nil"/>
              <w:left w:val="nil"/>
              <w:bottom w:val="single" w:sz="4" w:space="0" w:color="000000"/>
              <w:right w:val="single" w:sz="4" w:space="0" w:color="000000"/>
            </w:tcBorders>
            <w:shd w:val="clear" w:color="auto" w:fill="auto"/>
            <w:vAlign w:val="center"/>
            <w:hideMark/>
          </w:tcPr>
          <w:p w14:paraId="33499F6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Adquisición de Bienes y Servicios Nacionales</w:t>
            </w:r>
          </w:p>
        </w:tc>
        <w:tc>
          <w:tcPr>
            <w:tcW w:w="354" w:type="pct"/>
            <w:tcBorders>
              <w:top w:val="nil"/>
              <w:left w:val="nil"/>
              <w:bottom w:val="single" w:sz="4" w:space="0" w:color="000000"/>
              <w:right w:val="single" w:sz="4" w:space="0" w:color="000000"/>
            </w:tcBorders>
            <w:shd w:val="clear" w:color="auto" w:fill="auto"/>
            <w:vAlign w:val="center"/>
            <w:hideMark/>
          </w:tcPr>
          <w:p w14:paraId="2A74F0C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6345211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E1418D1"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14090E7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037B8FC0"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6CFDBB50"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16</w:t>
            </w:r>
          </w:p>
        </w:tc>
        <w:tc>
          <w:tcPr>
            <w:tcW w:w="3188" w:type="pct"/>
            <w:tcBorders>
              <w:top w:val="nil"/>
              <w:left w:val="nil"/>
              <w:bottom w:val="single" w:sz="4" w:space="0" w:color="000000"/>
              <w:right w:val="single" w:sz="4" w:space="0" w:color="000000"/>
            </w:tcBorders>
            <w:shd w:val="clear" w:color="auto" w:fill="auto"/>
            <w:vAlign w:val="center"/>
            <w:hideMark/>
          </w:tcPr>
          <w:p w14:paraId="5D07CBE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Adquisición de Bienes y Servicios Nacionales- Con Usos-Funcionamiento</w:t>
            </w:r>
          </w:p>
        </w:tc>
        <w:tc>
          <w:tcPr>
            <w:tcW w:w="354" w:type="pct"/>
            <w:tcBorders>
              <w:top w:val="nil"/>
              <w:left w:val="nil"/>
              <w:bottom w:val="single" w:sz="4" w:space="0" w:color="000000"/>
              <w:right w:val="single" w:sz="4" w:space="0" w:color="000000"/>
            </w:tcBorders>
            <w:shd w:val="clear" w:color="auto" w:fill="auto"/>
            <w:vAlign w:val="center"/>
            <w:hideMark/>
          </w:tcPr>
          <w:p w14:paraId="0F25F652"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278" w:type="pct"/>
            <w:tcBorders>
              <w:top w:val="nil"/>
              <w:left w:val="nil"/>
              <w:bottom w:val="single" w:sz="4" w:space="0" w:color="000000"/>
              <w:right w:val="single" w:sz="4" w:space="0" w:color="000000"/>
            </w:tcBorders>
            <w:shd w:val="clear" w:color="auto" w:fill="auto"/>
            <w:vAlign w:val="center"/>
            <w:hideMark/>
          </w:tcPr>
          <w:p w14:paraId="3E67715E"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21750B3A"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331" w:type="pct"/>
            <w:tcBorders>
              <w:top w:val="nil"/>
              <w:left w:val="nil"/>
              <w:bottom w:val="single" w:sz="4" w:space="0" w:color="000000"/>
              <w:right w:val="single" w:sz="8" w:space="0" w:color="000000"/>
            </w:tcBorders>
            <w:shd w:val="clear" w:color="auto" w:fill="auto"/>
            <w:vAlign w:val="center"/>
            <w:hideMark/>
          </w:tcPr>
          <w:p w14:paraId="223C6F0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0934D69E"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36465B11"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17</w:t>
            </w:r>
          </w:p>
        </w:tc>
        <w:tc>
          <w:tcPr>
            <w:tcW w:w="3188" w:type="pct"/>
            <w:tcBorders>
              <w:top w:val="nil"/>
              <w:left w:val="nil"/>
              <w:bottom w:val="single" w:sz="4" w:space="0" w:color="000000"/>
              <w:right w:val="single" w:sz="4" w:space="0" w:color="000000"/>
            </w:tcBorders>
            <w:shd w:val="clear" w:color="auto" w:fill="auto"/>
            <w:vAlign w:val="center"/>
            <w:hideMark/>
          </w:tcPr>
          <w:p w14:paraId="44207C5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Proyectos de Inversión</w:t>
            </w:r>
          </w:p>
        </w:tc>
        <w:tc>
          <w:tcPr>
            <w:tcW w:w="354" w:type="pct"/>
            <w:tcBorders>
              <w:top w:val="nil"/>
              <w:left w:val="nil"/>
              <w:bottom w:val="single" w:sz="4" w:space="0" w:color="000000"/>
              <w:right w:val="single" w:sz="4" w:space="0" w:color="000000"/>
            </w:tcBorders>
            <w:shd w:val="clear" w:color="auto" w:fill="auto"/>
            <w:vAlign w:val="center"/>
            <w:hideMark/>
          </w:tcPr>
          <w:p w14:paraId="2D4F9F74"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278" w:type="pct"/>
            <w:tcBorders>
              <w:top w:val="nil"/>
              <w:left w:val="nil"/>
              <w:bottom w:val="single" w:sz="4" w:space="0" w:color="000000"/>
              <w:right w:val="single" w:sz="4" w:space="0" w:color="000000"/>
            </w:tcBorders>
            <w:shd w:val="clear" w:color="auto" w:fill="auto"/>
            <w:vAlign w:val="center"/>
            <w:hideMark/>
          </w:tcPr>
          <w:p w14:paraId="62A4EA4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6BBD588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331" w:type="pct"/>
            <w:tcBorders>
              <w:top w:val="nil"/>
              <w:left w:val="nil"/>
              <w:bottom w:val="single" w:sz="4" w:space="0" w:color="000000"/>
              <w:right w:val="single" w:sz="8" w:space="0" w:color="000000"/>
            </w:tcBorders>
            <w:shd w:val="clear" w:color="auto" w:fill="auto"/>
            <w:vAlign w:val="center"/>
            <w:hideMark/>
          </w:tcPr>
          <w:p w14:paraId="59FAE520"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4A13D803"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4B1A24A5"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lastRenderedPageBreak/>
              <w:t>18</w:t>
            </w:r>
          </w:p>
        </w:tc>
        <w:tc>
          <w:tcPr>
            <w:tcW w:w="3188" w:type="pct"/>
            <w:tcBorders>
              <w:top w:val="nil"/>
              <w:left w:val="nil"/>
              <w:bottom w:val="single" w:sz="4" w:space="0" w:color="000000"/>
              <w:right w:val="single" w:sz="4" w:space="0" w:color="000000"/>
            </w:tcBorders>
            <w:shd w:val="clear" w:color="auto" w:fill="auto"/>
            <w:vAlign w:val="center"/>
            <w:hideMark/>
          </w:tcPr>
          <w:p w14:paraId="44FC9F1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Subvenciones por Recursos Transferidos a las Empresas Públicas</w:t>
            </w:r>
          </w:p>
        </w:tc>
        <w:tc>
          <w:tcPr>
            <w:tcW w:w="354" w:type="pct"/>
            <w:tcBorders>
              <w:top w:val="nil"/>
              <w:left w:val="nil"/>
              <w:bottom w:val="single" w:sz="4" w:space="0" w:color="000000"/>
              <w:right w:val="single" w:sz="4" w:space="0" w:color="000000"/>
            </w:tcBorders>
            <w:shd w:val="clear" w:color="auto" w:fill="auto"/>
            <w:vAlign w:val="center"/>
            <w:hideMark/>
          </w:tcPr>
          <w:p w14:paraId="2A70045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2662F597"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3D746AFC"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36392A2D"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56D888AF" w14:textId="77777777" w:rsidTr="0068376F">
        <w:trPr>
          <w:trHeight w:val="113"/>
        </w:trPr>
        <w:tc>
          <w:tcPr>
            <w:tcW w:w="478" w:type="pct"/>
            <w:tcBorders>
              <w:top w:val="nil"/>
              <w:left w:val="single" w:sz="8" w:space="0" w:color="000000"/>
              <w:bottom w:val="single" w:sz="4" w:space="0" w:color="000000"/>
              <w:right w:val="single" w:sz="4" w:space="0" w:color="000000"/>
            </w:tcBorders>
            <w:shd w:val="clear" w:color="auto" w:fill="auto"/>
            <w:vAlign w:val="center"/>
            <w:hideMark/>
          </w:tcPr>
          <w:p w14:paraId="7652D8DB"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19</w:t>
            </w:r>
          </w:p>
        </w:tc>
        <w:tc>
          <w:tcPr>
            <w:tcW w:w="3188" w:type="pct"/>
            <w:tcBorders>
              <w:top w:val="nil"/>
              <w:left w:val="nil"/>
              <w:bottom w:val="single" w:sz="4" w:space="0" w:color="000000"/>
              <w:right w:val="single" w:sz="4" w:space="0" w:color="000000"/>
            </w:tcBorders>
            <w:shd w:val="clear" w:color="auto" w:fill="auto"/>
            <w:vAlign w:val="center"/>
            <w:hideMark/>
          </w:tcPr>
          <w:p w14:paraId="63564DB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Subvenciones al Sector Privado</w:t>
            </w:r>
          </w:p>
        </w:tc>
        <w:tc>
          <w:tcPr>
            <w:tcW w:w="354" w:type="pct"/>
            <w:tcBorders>
              <w:top w:val="nil"/>
              <w:left w:val="nil"/>
              <w:bottom w:val="single" w:sz="4" w:space="0" w:color="000000"/>
              <w:right w:val="single" w:sz="4" w:space="0" w:color="000000"/>
            </w:tcBorders>
            <w:shd w:val="clear" w:color="auto" w:fill="auto"/>
            <w:vAlign w:val="center"/>
            <w:hideMark/>
          </w:tcPr>
          <w:p w14:paraId="00F0E8A9"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4" w:space="0" w:color="000000"/>
              <w:right w:val="single" w:sz="4" w:space="0" w:color="000000"/>
            </w:tcBorders>
            <w:shd w:val="clear" w:color="auto" w:fill="auto"/>
            <w:vAlign w:val="center"/>
            <w:hideMark/>
          </w:tcPr>
          <w:p w14:paraId="351A5A2F"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4" w:space="0" w:color="000000"/>
              <w:right w:val="single" w:sz="4" w:space="0" w:color="000000"/>
            </w:tcBorders>
            <w:shd w:val="clear" w:color="auto" w:fill="auto"/>
            <w:vAlign w:val="center"/>
            <w:hideMark/>
          </w:tcPr>
          <w:p w14:paraId="4F029F28"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4" w:space="0" w:color="000000"/>
              <w:right w:val="single" w:sz="8" w:space="0" w:color="000000"/>
            </w:tcBorders>
            <w:shd w:val="clear" w:color="auto" w:fill="auto"/>
            <w:vAlign w:val="center"/>
            <w:hideMark/>
          </w:tcPr>
          <w:p w14:paraId="32A09DF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F33FE3" w:rsidRPr="00676199" w14:paraId="3028C4BC" w14:textId="77777777" w:rsidTr="0068376F">
        <w:trPr>
          <w:trHeight w:val="113"/>
        </w:trPr>
        <w:tc>
          <w:tcPr>
            <w:tcW w:w="478" w:type="pct"/>
            <w:tcBorders>
              <w:top w:val="nil"/>
              <w:left w:val="single" w:sz="8" w:space="0" w:color="000000"/>
              <w:bottom w:val="single" w:sz="8" w:space="0" w:color="000000"/>
              <w:right w:val="single" w:sz="4" w:space="0" w:color="000000"/>
            </w:tcBorders>
            <w:shd w:val="clear" w:color="auto" w:fill="auto"/>
            <w:vAlign w:val="center"/>
            <w:hideMark/>
          </w:tcPr>
          <w:p w14:paraId="4C0082C1" w14:textId="77777777" w:rsidR="00CB62F0" w:rsidRPr="00676199" w:rsidRDefault="00CB62F0" w:rsidP="00CB62F0">
            <w:pPr>
              <w:jc w:val="right"/>
              <w:rPr>
                <w:rFonts w:ascii="Calibri" w:hAnsi="Calibri"/>
                <w:color w:val="000000"/>
                <w:sz w:val="14"/>
                <w:szCs w:val="14"/>
                <w:lang w:val="es-CO" w:eastAsia="es-CO"/>
              </w:rPr>
            </w:pPr>
            <w:r w:rsidRPr="00676199">
              <w:rPr>
                <w:rFonts w:ascii="Calibri" w:hAnsi="Calibri"/>
                <w:color w:val="000000"/>
                <w:sz w:val="14"/>
                <w:szCs w:val="14"/>
                <w:lang w:val="es-CO" w:eastAsia="es-CO"/>
              </w:rPr>
              <w:t>20</w:t>
            </w:r>
          </w:p>
        </w:tc>
        <w:tc>
          <w:tcPr>
            <w:tcW w:w="3188" w:type="pct"/>
            <w:tcBorders>
              <w:top w:val="nil"/>
              <w:left w:val="nil"/>
              <w:bottom w:val="single" w:sz="8" w:space="0" w:color="000000"/>
              <w:right w:val="single" w:sz="4" w:space="0" w:color="000000"/>
            </w:tcBorders>
            <w:shd w:val="clear" w:color="auto" w:fill="auto"/>
            <w:vAlign w:val="center"/>
            <w:hideMark/>
          </w:tcPr>
          <w:p w14:paraId="4AA51681"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Otras Subvenciones</w:t>
            </w:r>
          </w:p>
        </w:tc>
        <w:tc>
          <w:tcPr>
            <w:tcW w:w="354" w:type="pct"/>
            <w:tcBorders>
              <w:top w:val="nil"/>
              <w:left w:val="nil"/>
              <w:bottom w:val="single" w:sz="8" w:space="0" w:color="000000"/>
              <w:right w:val="single" w:sz="4" w:space="0" w:color="000000"/>
            </w:tcBorders>
            <w:shd w:val="clear" w:color="auto" w:fill="auto"/>
            <w:vAlign w:val="center"/>
            <w:hideMark/>
          </w:tcPr>
          <w:p w14:paraId="3A5D3E63"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c>
          <w:tcPr>
            <w:tcW w:w="278" w:type="pct"/>
            <w:tcBorders>
              <w:top w:val="nil"/>
              <w:left w:val="nil"/>
              <w:bottom w:val="single" w:sz="8" w:space="0" w:color="000000"/>
              <w:right w:val="single" w:sz="4" w:space="0" w:color="000000"/>
            </w:tcBorders>
            <w:shd w:val="clear" w:color="auto" w:fill="auto"/>
            <w:vAlign w:val="center"/>
            <w:hideMark/>
          </w:tcPr>
          <w:p w14:paraId="262F288B"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72" w:type="pct"/>
            <w:tcBorders>
              <w:top w:val="nil"/>
              <w:left w:val="nil"/>
              <w:bottom w:val="single" w:sz="8" w:space="0" w:color="000000"/>
              <w:right w:val="single" w:sz="4" w:space="0" w:color="000000"/>
            </w:tcBorders>
            <w:shd w:val="clear" w:color="auto" w:fill="auto"/>
            <w:vAlign w:val="center"/>
            <w:hideMark/>
          </w:tcPr>
          <w:p w14:paraId="7A332865"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NO</w:t>
            </w:r>
          </w:p>
        </w:tc>
        <w:tc>
          <w:tcPr>
            <w:tcW w:w="331" w:type="pct"/>
            <w:tcBorders>
              <w:top w:val="nil"/>
              <w:left w:val="nil"/>
              <w:bottom w:val="single" w:sz="8" w:space="0" w:color="000000"/>
              <w:right w:val="single" w:sz="8" w:space="0" w:color="000000"/>
            </w:tcBorders>
            <w:shd w:val="clear" w:color="auto" w:fill="auto"/>
            <w:vAlign w:val="center"/>
            <w:hideMark/>
          </w:tcPr>
          <w:p w14:paraId="17A1AAF9" w14:textId="77777777" w:rsidR="00CB62F0" w:rsidRPr="00676199" w:rsidRDefault="00CB62F0" w:rsidP="00CB62F0">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bl>
    <w:p w14:paraId="27103591" w14:textId="77777777" w:rsidR="00CB62F0" w:rsidRDefault="00CB62F0" w:rsidP="00E02C7B">
      <w:pPr>
        <w:spacing w:line="288" w:lineRule="auto"/>
        <w:jc w:val="both"/>
        <w:rPr>
          <w:rFonts w:ascii="Arial" w:hAnsi="Arial" w:cs="Arial"/>
          <w:b/>
          <w:sz w:val="22"/>
          <w:szCs w:val="22"/>
        </w:rPr>
      </w:pPr>
    </w:p>
    <w:p w14:paraId="33E3CA47" w14:textId="77777777" w:rsidR="00E02C7B" w:rsidRPr="00C81DC4" w:rsidRDefault="00B808B4" w:rsidP="00343ECE">
      <w:pPr>
        <w:numPr>
          <w:ilvl w:val="0"/>
          <w:numId w:val="18"/>
        </w:numPr>
        <w:tabs>
          <w:tab w:val="left" w:pos="851"/>
        </w:tabs>
        <w:spacing w:line="288" w:lineRule="auto"/>
        <w:ind w:left="142" w:hanging="142"/>
        <w:jc w:val="both"/>
        <w:rPr>
          <w:rFonts w:ascii="Arial" w:hAnsi="Arial" w:cs="Arial"/>
          <w:color w:val="000000"/>
          <w:sz w:val="22"/>
          <w:szCs w:val="22"/>
          <w:lang w:val="es-CO" w:eastAsia="es-CO"/>
        </w:rPr>
      </w:pPr>
      <w:r w:rsidRPr="00C81DC4">
        <w:rPr>
          <w:rFonts w:ascii="Arial" w:hAnsi="Arial" w:cs="Arial"/>
          <w:b/>
          <w:color w:val="000000"/>
          <w:sz w:val="22"/>
          <w:szCs w:val="22"/>
          <w:lang w:val="es-CO" w:eastAsia="es-CO"/>
        </w:rPr>
        <w:t>TCON12-4 Relación usos contables y códigos contables:</w:t>
      </w:r>
      <w:r w:rsidRPr="00C81DC4">
        <w:rPr>
          <w:rFonts w:ascii="Arial" w:hAnsi="Arial" w:cs="Arial"/>
          <w:color w:val="000000"/>
          <w:sz w:val="22"/>
          <w:szCs w:val="22"/>
          <w:lang w:val="es-CO" w:eastAsia="es-CO"/>
        </w:rPr>
        <w:t xml:space="preserve"> Define la relación de los usos contables con los códigos del catálogo general de cuentas. Permite que la ECP seleccione un uso y el código contable disponible para ese uso, así:</w:t>
      </w:r>
    </w:p>
    <w:p w14:paraId="44D3CE06" w14:textId="77777777" w:rsidR="00B808B4" w:rsidRDefault="00B808B4" w:rsidP="00A0134B">
      <w:pPr>
        <w:tabs>
          <w:tab w:val="left" w:pos="851"/>
        </w:tabs>
        <w:spacing w:line="288" w:lineRule="auto"/>
        <w:jc w:val="both"/>
        <w:rPr>
          <w:rFonts w:ascii="Arial" w:hAnsi="Arial" w:cs="Arial"/>
          <w:color w:val="000000"/>
          <w:sz w:val="22"/>
          <w:szCs w:val="22"/>
          <w:lang w:val="es-CO" w:eastAsia="es-CO"/>
        </w:rPr>
      </w:pPr>
    </w:p>
    <w:tbl>
      <w:tblPr>
        <w:tblW w:w="0" w:type="auto"/>
        <w:tblInd w:w="80" w:type="dxa"/>
        <w:tblCellMar>
          <w:left w:w="70" w:type="dxa"/>
          <w:right w:w="70" w:type="dxa"/>
        </w:tblCellMar>
        <w:tblLook w:val="04A0" w:firstRow="1" w:lastRow="0" w:firstColumn="1" w:lastColumn="0" w:noHBand="0" w:noVBand="1"/>
      </w:tblPr>
      <w:tblGrid>
        <w:gridCol w:w="654"/>
        <w:gridCol w:w="591"/>
        <w:gridCol w:w="3377"/>
        <w:gridCol w:w="910"/>
        <w:gridCol w:w="2624"/>
        <w:gridCol w:w="589"/>
      </w:tblGrid>
      <w:tr w:rsidR="0068376F" w:rsidRPr="00676199" w14:paraId="3CF3A6A3" w14:textId="77777777" w:rsidTr="0068376F">
        <w:trPr>
          <w:trHeight w:val="113"/>
        </w:trPr>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C9399EB"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Catalogo</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58488C4"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Cód. Uso</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87F8A1E"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Descripción Uso</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FE25C3D"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Cód. Contable</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9F98AF7"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Descripción Código Contable</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5551AD8" w14:textId="77777777" w:rsidR="0068376F" w:rsidRPr="00676199" w:rsidRDefault="0068376F" w:rsidP="0068376F">
            <w:pPr>
              <w:jc w:val="center"/>
              <w:rPr>
                <w:rFonts w:ascii="Calibri" w:hAnsi="Calibri"/>
                <w:b/>
                <w:bCs/>
                <w:color w:val="FFFFFF"/>
                <w:sz w:val="14"/>
                <w:szCs w:val="14"/>
                <w:lang w:val="es-CO" w:eastAsia="es-CO"/>
              </w:rPr>
            </w:pPr>
            <w:r w:rsidRPr="00676199">
              <w:rPr>
                <w:rFonts w:ascii="Calibri" w:hAnsi="Calibri"/>
                <w:b/>
                <w:bCs/>
                <w:color w:val="FFFFFF"/>
                <w:sz w:val="14"/>
                <w:szCs w:val="14"/>
                <w:lang w:val="es-CO" w:eastAsia="es-CO"/>
              </w:rPr>
              <w:t>Vigente</w:t>
            </w:r>
          </w:p>
        </w:tc>
      </w:tr>
      <w:tr w:rsidR="0068376F" w:rsidRPr="00676199" w14:paraId="7BFB7927"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4C90B5"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1658534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34</w:t>
            </w:r>
          </w:p>
        </w:tc>
        <w:tc>
          <w:tcPr>
            <w:tcW w:w="0" w:type="auto"/>
            <w:tcBorders>
              <w:top w:val="nil"/>
              <w:left w:val="nil"/>
              <w:bottom w:val="single" w:sz="4" w:space="0" w:color="000000"/>
              <w:right w:val="single" w:sz="4" w:space="0" w:color="000000"/>
            </w:tcBorders>
            <w:shd w:val="clear" w:color="auto" w:fill="auto"/>
            <w:vAlign w:val="center"/>
            <w:hideMark/>
          </w:tcPr>
          <w:p w14:paraId="557EED35"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Cuentas por cobrar- Devolución IVA Instituciones de educación superior</w:t>
            </w:r>
          </w:p>
        </w:tc>
        <w:tc>
          <w:tcPr>
            <w:tcW w:w="0" w:type="auto"/>
            <w:tcBorders>
              <w:top w:val="nil"/>
              <w:left w:val="nil"/>
              <w:bottom w:val="single" w:sz="4" w:space="0" w:color="000000"/>
              <w:right w:val="single" w:sz="4" w:space="0" w:color="000000"/>
            </w:tcBorders>
            <w:shd w:val="clear" w:color="auto" w:fill="auto"/>
            <w:vAlign w:val="center"/>
            <w:hideMark/>
          </w:tcPr>
          <w:p w14:paraId="015EE91E"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138413001</w:t>
            </w:r>
          </w:p>
        </w:tc>
        <w:tc>
          <w:tcPr>
            <w:tcW w:w="0" w:type="auto"/>
            <w:tcBorders>
              <w:top w:val="nil"/>
              <w:left w:val="nil"/>
              <w:bottom w:val="single" w:sz="4" w:space="0" w:color="000000"/>
              <w:right w:val="single" w:sz="4" w:space="0" w:color="000000"/>
            </w:tcBorders>
            <w:shd w:val="clear" w:color="auto" w:fill="auto"/>
            <w:vAlign w:val="center"/>
            <w:hideMark/>
          </w:tcPr>
          <w:p w14:paraId="3121D5BA"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Devolución IVA para entidades de educación superior</w:t>
            </w:r>
          </w:p>
        </w:tc>
        <w:tc>
          <w:tcPr>
            <w:tcW w:w="0" w:type="auto"/>
            <w:tcBorders>
              <w:top w:val="nil"/>
              <w:left w:val="nil"/>
              <w:bottom w:val="single" w:sz="4" w:space="0" w:color="000000"/>
              <w:right w:val="single" w:sz="4" w:space="0" w:color="000000"/>
            </w:tcBorders>
            <w:shd w:val="clear" w:color="auto" w:fill="auto"/>
            <w:vAlign w:val="center"/>
            <w:hideMark/>
          </w:tcPr>
          <w:p w14:paraId="7A111264"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2151362B"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63C846"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0407100E"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35</w:t>
            </w:r>
          </w:p>
        </w:tc>
        <w:tc>
          <w:tcPr>
            <w:tcW w:w="0" w:type="auto"/>
            <w:tcBorders>
              <w:top w:val="nil"/>
              <w:left w:val="nil"/>
              <w:bottom w:val="single" w:sz="4" w:space="0" w:color="000000"/>
              <w:right w:val="single" w:sz="4" w:space="0" w:color="000000"/>
            </w:tcBorders>
            <w:shd w:val="clear" w:color="auto" w:fill="auto"/>
            <w:vAlign w:val="center"/>
            <w:hideMark/>
          </w:tcPr>
          <w:p w14:paraId="1DFFAED9"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Cuentas por cobrar- Incapacidades</w:t>
            </w:r>
          </w:p>
        </w:tc>
        <w:tc>
          <w:tcPr>
            <w:tcW w:w="0" w:type="auto"/>
            <w:tcBorders>
              <w:top w:val="nil"/>
              <w:left w:val="nil"/>
              <w:bottom w:val="single" w:sz="4" w:space="0" w:color="000000"/>
              <w:right w:val="single" w:sz="4" w:space="0" w:color="000000"/>
            </w:tcBorders>
            <w:shd w:val="clear" w:color="auto" w:fill="auto"/>
            <w:vAlign w:val="center"/>
            <w:hideMark/>
          </w:tcPr>
          <w:p w14:paraId="74E3726D"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138426001</w:t>
            </w:r>
          </w:p>
        </w:tc>
        <w:tc>
          <w:tcPr>
            <w:tcW w:w="0" w:type="auto"/>
            <w:tcBorders>
              <w:top w:val="nil"/>
              <w:left w:val="nil"/>
              <w:bottom w:val="single" w:sz="4" w:space="0" w:color="000000"/>
              <w:right w:val="single" w:sz="4" w:space="0" w:color="000000"/>
            </w:tcBorders>
            <w:shd w:val="clear" w:color="auto" w:fill="auto"/>
            <w:vAlign w:val="center"/>
            <w:hideMark/>
          </w:tcPr>
          <w:p w14:paraId="54A9B742"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Pago por cuenta de terceros</w:t>
            </w:r>
          </w:p>
        </w:tc>
        <w:tc>
          <w:tcPr>
            <w:tcW w:w="0" w:type="auto"/>
            <w:tcBorders>
              <w:top w:val="nil"/>
              <w:left w:val="nil"/>
              <w:bottom w:val="single" w:sz="4" w:space="0" w:color="000000"/>
              <w:right w:val="single" w:sz="4" w:space="0" w:color="000000"/>
            </w:tcBorders>
            <w:shd w:val="clear" w:color="auto" w:fill="auto"/>
            <w:vAlign w:val="center"/>
            <w:hideMark/>
          </w:tcPr>
          <w:p w14:paraId="0DE83BF7"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2BED8B87"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397D561"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32E1C83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w:t>
            </w:r>
          </w:p>
        </w:tc>
        <w:tc>
          <w:tcPr>
            <w:tcW w:w="0" w:type="auto"/>
            <w:tcBorders>
              <w:top w:val="nil"/>
              <w:left w:val="nil"/>
              <w:bottom w:val="single" w:sz="4" w:space="0" w:color="000000"/>
              <w:right w:val="single" w:sz="4" w:space="0" w:color="000000"/>
            </w:tcBorders>
            <w:shd w:val="clear" w:color="auto" w:fill="auto"/>
            <w:vAlign w:val="center"/>
            <w:hideMark/>
          </w:tcPr>
          <w:p w14:paraId="1ACA1DD4"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Inventario- Mercancías en existencia</w:t>
            </w:r>
          </w:p>
        </w:tc>
        <w:tc>
          <w:tcPr>
            <w:tcW w:w="0" w:type="auto"/>
            <w:tcBorders>
              <w:top w:val="nil"/>
              <w:left w:val="nil"/>
              <w:bottom w:val="single" w:sz="4" w:space="0" w:color="000000"/>
              <w:right w:val="single" w:sz="4" w:space="0" w:color="000000"/>
            </w:tcBorders>
            <w:shd w:val="clear" w:color="auto" w:fill="auto"/>
            <w:vAlign w:val="center"/>
            <w:hideMark/>
          </w:tcPr>
          <w:p w14:paraId="56E70490"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151098001</w:t>
            </w:r>
          </w:p>
        </w:tc>
        <w:tc>
          <w:tcPr>
            <w:tcW w:w="0" w:type="auto"/>
            <w:tcBorders>
              <w:top w:val="nil"/>
              <w:left w:val="nil"/>
              <w:bottom w:val="single" w:sz="4" w:space="0" w:color="000000"/>
              <w:right w:val="single" w:sz="4" w:space="0" w:color="000000"/>
            </w:tcBorders>
            <w:shd w:val="clear" w:color="auto" w:fill="auto"/>
            <w:vAlign w:val="center"/>
            <w:hideMark/>
          </w:tcPr>
          <w:p w14:paraId="77A6EB24"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Bienes declarados a favor de la nación</w:t>
            </w:r>
          </w:p>
        </w:tc>
        <w:tc>
          <w:tcPr>
            <w:tcW w:w="0" w:type="auto"/>
            <w:tcBorders>
              <w:top w:val="nil"/>
              <w:left w:val="nil"/>
              <w:bottom w:val="single" w:sz="4" w:space="0" w:color="000000"/>
              <w:right w:val="single" w:sz="4" w:space="0" w:color="000000"/>
            </w:tcBorders>
            <w:shd w:val="clear" w:color="auto" w:fill="auto"/>
            <w:vAlign w:val="center"/>
            <w:hideMark/>
          </w:tcPr>
          <w:p w14:paraId="5997B452"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9F61C9E"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0E766F"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6CE26999"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44F9F44A"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Inventario-Prestadores de servicios</w:t>
            </w:r>
          </w:p>
        </w:tc>
        <w:tc>
          <w:tcPr>
            <w:tcW w:w="0" w:type="auto"/>
            <w:tcBorders>
              <w:top w:val="nil"/>
              <w:left w:val="nil"/>
              <w:bottom w:val="single" w:sz="4" w:space="0" w:color="000000"/>
              <w:right w:val="single" w:sz="4" w:space="0" w:color="000000"/>
            </w:tcBorders>
            <w:shd w:val="clear" w:color="auto" w:fill="auto"/>
            <w:vAlign w:val="center"/>
            <w:hideMark/>
          </w:tcPr>
          <w:p w14:paraId="441D8F54"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151101001</w:t>
            </w:r>
          </w:p>
        </w:tc>
        <w:tc>
          <w:tcPr>
            <w:tcW w:w="0" w:type="auto"/>
            <w:tcBorders>
              <w:top w:val="nil"/>
              <w:left w:val="nil"/>
              <w:bottom w:val="single" w:sz="4" w:space="0" w:color="000000"/>
              <w:right w:val="single" w:sz="4" w:space="0" w:color="000000"/>
            </w:tcBorders>
            <w:shd w:val="clear" w:color="auto" w:fill="auto"/>
            <w:vAlign w:val="center"/>
            <w:hideMark/>
          </w:tcPr>
          <w:p w14:paraId="3D105831"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Servicios de consultoría</w:t>
            </w:r>
          </w:p>
        </w:tc>
        <w:tc>
          <w:tcPr>
            <w:tcW w:w="0" w:type="auto"/>
            <w:tcBorders>
              <w:top w:val="nil"/>
              <w:left w:val="nil"/>
              <w:bottom w:val="single" w:sz="4" w:space="0" w:color="000000"/>
              <w:right w:val="single" w:sz="4" w:space="0" w:color="000000"/>
            </w:tcBorders>
            <w:shd w:val="clear" w:color="auto" w:fill="auto"/>
            <w:vAlign w:val="center"/>
            <w:hideMark/>
          </w:tcPr>
          <w:p w14:paraId="37141F00"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675ABD37"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1B4962B"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57F1AF02"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6DD3D330"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Inventario-Prestadores de servicios</w:t>
            </w:r>
          </w:p>
        </w:tc>
        <w:tc>
          <w:tcPr>
            <w:tcW w:w="0" w:type="auto"/>
            <w:tcBorders>
              <w:top w:val="nil"/>
              <w:left w:val="nil"/>
              <w:bottom w:val="single" w:sz="4" w:space="0" w:color="000000"/>
              <w:right w:val="single" w:sz="4" w:space="0" w:color="000000"/>
            </w:tcBorders>
            <w:shd w:val="clear" w:color="auto" w:fill="auto"/>
            <w:vAlign w:val="center"/>
            <w:hideMark/>
          </w:tcPr>
          <w:p w14:paraId="7259D51E"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151102001</w:t>
            </w:r>
          </w:p>
        </w:tc>
        <w:tc>
          <w:tcPr>
            <w:tcW w:w="0" w:type="auto"/>
            <w:tcBorders>
              <w:top w:val="nil"/>
              <w:left w:val="nil"/>
              <w:bottom w:val="single" w:sz="4" w:space="0" w:color="000000"/>
              <w:right w:val="single" w:sz="4" w:space="0" w:color="000000"/>
            </w:tcBorders>
            <w:shd w:val="clear" w:color="auto" w:fill="auto"/>
            <w:vAlign w:val="center"/>
            <w:hideMark/>
          </w:tcPr>
          <w:p w14:paraId="7B51C353"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Servicios de mantenimiento y repatriación</w:t>
            </w:r>
          </w:p>
        </w:tc>
        <w:tc>
          <w:tcPr>
            <w:tcW w:w="0" w:type="auto"/>
            <w:tcBorders>
              <w:top w:val="nil"/>
              <w:left w:val="nil"/>
              <w:bottom w:val="single" w:sz="4" w:space="0" w:color="000000"/>
              <w:right w:val="single" w:sz="4" w:space="0" w:color="000000"/>
            </w:tcBorders>
            <w:shd w:val="clear" w:color="auto" w:fill="auto"/>
            <w:vAlign w:val="center"/>
            <w:hideMark/>
          </w:tcPr>
          <w:p w14:paraId="0ABF48DB"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A800D89"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19E802"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3FE6665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04F05094"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Inventario-Prestadores de servicios</w:t>
            </w:r>
          </w:p>
        </w:tc>
        <w:tc>
          <w:tcPr>
            <w:tcW w:w="0" w:type="auto"/>
            <w:tcBorders>
              <w:top w:val="nil"/>
              <w:left w:val="nil"/>
              <w:bottom w:val="single" w:sz="4" w:space="0" w:color="000000"/>
              <w:right w:val="single" w:sz="4" w:space="0" w:color="000000"/>
            </w:tcBorders>
            <w:shd w:val="clear" w:color="auto" w:fill="auto"/>
            <w:vAlign w:val="center"/>
            <w:hideMark/>
          </w:tcPr>
          <w:p w14:paraId="124FE9C0"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151190001</w:t>
            </w:r>
          </w:p>
        </w:tc>
        <w:tc>
          <w:tcPr>
            <w:tcW w:w="0" w:type="auto"/>
            <w:tcBorders>
              <w:top w:val="nil"/>
              <w:left w:val="nil"/>
              <w:bottom w:val="single" w:sz="4" w:space="0" w:color="000000"/>
              <w:right w:val="single" w:sz="4" w:space="0" w:color="000000"/>
            </w:tcBorders>
            <w:shd w:val="clear" w:color="auto" w:fill="auto"/>
            <w:vAlign w:val="center"/>
            <w:hideMark/>
          </w:tcPr>
          <w:p w14:paraId="1EC73621"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Otros inventarios de prestadores de servicios</w:t>
            </w:r>
          </w:p>
        </w:tc>
        <w:tc>
          <w:tcPr>
            <w:tcW w:w="0" w:type="auto"/>
            <w:tcBorders>
              <w:top w:val="nil"/>
              <w:left w:val="nil"/>
              <w:bottom w:val="single" w:sz="4" w:space="0" w:color="000000"/>
              <w:right w:val="single" w:sz="4" w:space="0" w:color="000000"/>
            </w:tcBorders>
            <w:shd w:val="clear" w:color="auto" w:fill="auto"/>
            <w:vAlign w:val="center"/>
            <w:hideMark/>
          </w:tcPr>
          <w:p w14:paraId="5B745F7C"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0378A2DC"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94136A"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74B9B0C2"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3</w:t>
            </w:r>
          </w:p>
        </w:tc>
        <w:tc>
          <w:tcPr>
            <w:tcW w:w="0" w:type="auto"/>
            <w:tcBorders>
              <w:top w:val="nil"/>
              <w:left w:val="nil"/>
              <w:bottom w:val="single" w:sz="4" w:space="0" w:color="000000"/>
              <w:right w:val="single" w:sz="4" w:space="0" w:color="000000"/>
            </w:tcBorders>
            <w:shd w:val="clear" w:color="auto" w:fill="auto"/>
            <w:vAlign w:val="center"/>
            <w:hideMark/>
          </w:tcPr>
          <w:p w14:paraId="12BEE7DC"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Inventario- Materia prima</w:t>
            </w:r>
          </w:p>
        </w:tc>
        <w:tc>
          <w:tcPr>
            <w:tcW w:w="0" w:type="auto"/>
            <w:tcBorders>
              <w:top w:val="nil"/>
              <w:left w:val="nil"/>
              <w:bottom w:val="single" w:sz="4" w:space="0" w:color="000000"/>
              <w:right w:val="single" w:sz="4" w:space="0" w:color="000000"/>
            </w:tcBorders>
            <w:shd w:val="clear" w:color="auto" w:fill="auto"/>
            <w:vAlign w:val="center"/>
            <w:hideMark/>
          </w:tcPr>
          <w:p w14:paraId="40D18D42"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151201001</w:t>
            </w:r>
          </w:p>
        </w:tc>
        <w:tc>
          <w:tcPr>
            <w:tcW w:w="0" w:type="auto"/>
            <w:tcBorders>
              <w:top w:val="nil"/>
              <w:left w:val="nil"/>
              <w:bottom w:val="single" w:sz="4" w:space="0" w:color="000000"/>
              <w:right w:val="single" w:sz="4" w:space="0" w:color="000000"/>
            </w:tcBorders>
            <w:shd w:val="clear" w:color="auto" w:fill="auto"/>
            <w:vAlign w:val="center"/>
            <w:hideMark/>
          </w:tcPr>
          <w:p w14:paraId="4224E881"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Materias primas</w:t>
            </w:r>
          </w:p>
        </w:tc>
        <w:tc>
          <w:tcPr>
            <w:tcW w:w="0" w:type="auto"/>
            <w:tcBorders>
              <w:top w:val="nil"/>
              <w:left w:val="nil"/>
              <w:bottom w:val="single" w:sz="4" w:space="0" w:color="000000"/>
              <w:right w:val="single" w:sz="4" w:space="0" w:color="000000"/>
            </w:tcBorders>
            <w:shd w:val="clear" w:color="auto" w:fill="auto"/>
            <w:vAlign w:val="center"/>
            <w:hideMark/>
          </w:tcPr>
          <w:p w14:paraId="1CF87A4D"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6C7461EC"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0C7EF4"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686F36D9"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13</w:t>
            </w:r>
          </w:p>
        </w:tc>
        <w:tc>
          <w:tcPr>
            <w:tcW w:w="0" w:type="auto"/>
            <w:tcBorders>
              <w:top w:val="nil"/>
              <w:left w:val="nil"/>
              <w:bottom w:val="single" w:sz="4" w:space="0" w:color="000000"/>
              <w:right w:val="single" w:sz="4" w:space="0" w:color="000000"/>
            </w:tcBorders>
            <w:shd w:val="clear" w:color="auto" w:fill="auto"/>
            <w:vAlign w:val="center"/>
            <w:hideMark/>
          </w:tcPr>
          <w:p w14:paraId="0D98055E"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Bienes de uso público e históricos y culturales</w:t>
            </w:r>
          </w:p>
        </w:tc>
        <w:tc>
          <w:tcPr>
            <w:tcW w:w="0" w:type="auto"/>
            <w:tcBorders>
              <w:top w:val="nil"/>
              <w:left w:val="nil"/>
              <w:bottom w:val="single" w:sz="4" w:space="0" w:color="000000"/>
              <w:right w:val="single" w:sz="4" w:space="0" w:color="000000"/>
            </w:tcBorders>
            <w:shd w:val="clear" w:color="auto" w:fill="auto"/>
            <w:vAlign w:val="center"/>
            <w:hideMark/>
          </w:tcPr>
          <w:p w14:paraId="1C129528"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171590001</w:t>
            </w:r>
          </w:p>
        </w:tc>
        <w:tc>
          <w:tcPr>
            <w:tcW w:w="0" w:type="auto"/>
            <w:tcBorders>
              <w:top w:val="nil"/>
              <w:left w:val="nil"/>
              <w:bottom w:val="single" w:sz="4" w:space="0" w:color="000000"/>
              <w:right w:val="single" w:sz="4" w:space="0" w:color="000000"/>
            </w:tcBorders>
            <w:shd w:val="clear" w:color="auto" w:fill="auto"/>
            <w:vAlign w:val="center"/>
            <w:hideMark/>
          </w:tcPr>
          <w:p w14:paraId="0FF0E73E"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Otros bienes históricos y culturales</w:t>
            </w:r>
          </w:p>
        </w:tc>
        <w:tc>
          <w:tcPr>
            <w:tcW w:w="0" w:type="auto"/>
            <w:tcBorders>
              <w:top w:val="nil"/>
              <w:left w:val="nil"/>
              <w:bottom w:val="single" w:sz="4" w:space="0" w:color="000000"/>
              <w:right w:val="single" w:sz="4" w:space="0" w:color="000000"/>
            </w:tcBorders>
            <w:shd w:val="clear" w:color="auto" w:fill="auto"/>
            <w:vAlign w:val="center"/>
            <w:hideMark/>
          </w:tcPr>
          <w:p w14:paraId="27E3E27B"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B32BAE7"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DD816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17B9871D"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14</w:t>
            </w:r>
          </w:p>
        </w:tc>
        <w:tc>
          <w:tcPr>
            <w:tcW w:w="0" w:type="auto"/>
            <w:tcBorders>
              <w:top w:val="nil"/>
              <w:left w:val="nil"/>
              <w:bottom w:val="single" w:sz="4" w:space="0" w:color="000000"/>
              <w:right w:val="single" w:sz="4" w:space="0" w:color="000000"/>
            </w:tcBorders>
            <w:shd w:val="clear" w:color="auto" w:fill="auto"/>
            <w:vAlign w:val="center"/>
            <w:hideMark/>
          </w:tcPr>
          <w:p w14:paraId="43811656"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Propiedades de inversión</w:t>
            </w:r>
          </w:p>
        </w:tc>
        <w:tc>
          <w:tcPr>
            <w:tcW w:w="0" w:type="auto"/>
            <w:tcBorders>
              <w:top w:val="nil"/>
              <w:left w:val="nil"/>
              <w:bottom w:val="single" w:sz="4" w:space="0" w:color="000000"/>
              <w:right w:val="single" w:sz="4" w:space="0" w:color="000000"/>
            </w:tcBorders>
            <w:shd w:val="clear" w:color="auto" w:fill="auto"/>
            <w:vAlign w:val="center"/>
            <w:hideMark/>
          </w:tcPr>
          <w:p w14:paraId="4A42C0ED"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195101001</w:t>
            </w:r>
          </w:p>
        </w:tc>
        <w:tc>
          <w:tcPr>
            <w:tcW w:w="0" w:type="auto"/>
            <w:tcBorders>
              <w:top w:val="nil"/>
              <w:left w:val="nil"/>
              <w:bottom w:val="single" w:sz="4" w:space="0" w:color="000000"/>
              <w:right w:val="single" w:sz="4" w:space="0" w:color="000000"/>
            </w:tcBorders>
            <w:shd w:val="clear" w:color="auto" w:fill="auto"/>
            <w:vAlign w:val="center"/>
            <w:hideMark/>
          </w:tcPr>
          <w:p w14:paraId="7DF01C36"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Terrenos</w:t>
            </w:r>
          </w:p>
        </w:tc>
        <w:tc>
          <w:tcPr>
            <w:tcW w:w="0" w:type="auto"/>
            <w:tcBorders>
              <w:top w:val="nil"/>
              <w:left w:val="nil"/>
              <w:bottom w:val="single" w:sz="4" w:space="0" w:color="000000"/>
              <w:right w:val="single" w:sz="4" w:space="0" w:color="000000"/>
            </w:tcBorders>
            <w:shd w:val="clear" w:color="auto" w:fill="auto"/>
            <w:vAlign w:val="center"/>
            <w:hideMark/>
          </w:tcPr>
          <w:p w14:paraId="7F7734D5"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78D88101"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438FC9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193E3FEA"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14</w:t>
            </w:r>
          </w:p>
        </w:tc>
        <w:tc>
          <w:tcPr>
            <w:tcW w:w="0" w:type="auto"/>
            <w:tcBorders>
              <w:top w:val="nil"/>
              <w:left w:val="nil"/>
              <w:bottom w:val="single" w:sz="4" w:space="0" w:color="000000"/>
              <w:right w:val="single" w:sz="4" w:space="0" w:color="000000"/>
            </w:tcBorders>
            <w:shd w:val="clear" w:color="auto" w:fill="auto"/>
            <w:vAlign w:val="center"/>
            <w:hideMark/>
          </w:tcPr>
          <w:p w14:paraId="0426A371"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Propiedades de inversión</w:t>
            </w:r>
          </w:p>
        </w:tc>
        <w:tc>
          <w:tcPr>
            <w:tcW w:w="0" w:type="auto"/>
            <w:tcBorders>
              <w:top w:val="nil"/>
              <w:left w:val="nil"/>
              <w:bottom w:val="single" w:sz="4" w:space="0" w:color="000000"/>
              <w:right w:val="single" w:sz="4" w:space="0" w:color="000000"/>
            </w:tcBorders>
            <w:shd w:val="clear" w:color="auto" w:fill="auto"/>
            <w:vAlign w:val="center"/>
            <w:hideMark/>
          </w:tcPr>
          <w:p w14:paraId="5958D8B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195102001</w:t>
            </w:r>
          </w:p>
        </w:tc>
        <w:tc>
          <w:tcPr>
            <w:tcW w:w="0" w:type="auto"/>
            <w:tcBorders>
              <w:top w:val="nil"/>
              <w:left w:val="nil"/>
              <w:bottom w:val="single" w:sz="4" w:space="0" w:color="000000"/>
              <w:right w:val="single" w:sz="4" w:space="0" w:color="000000"/>
            </w:tcBorders>
            <w:shd w:val="clear" w:color="auto" w:fill="auto"/>
            <w:vAlign w:val="center"/>
            <w:hideMark/>
          </w:tcPr>
          <w:p w14:paraId="407E4323"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Edificaciones</w:t>
            </w:r>
          </w:p>
        </w:tc>
        <w:tc>
          <w:tcPr>
            <w:tcW w:w="0" w:type="auto"/>
            <w:tcBorders>
              <w:top w:val="nil"/>
              <w:left w:val="nil"/>
              <w:bottom w:val="single" w:sz="4" w:space="0" w:color="000000"/>
              <w:right w:val="single" w:sz="4" w:space="0" w:color="000000"/>
            </w:tcBorders>
            <w:shd w:val="clear" w:color="auto" w:fill="auto"/>
            <w:vAlign w:val="center"/>
            <w:hideMark/>
          </w:tcPr>
          <w:p w14:paraId="46E27613"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5282D524"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D9F5DB"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58B99B0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637CB4BA"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422E4053"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197002001</w:t>
            </w:r>
          </w:p>
        </w:tc>
        <w:tc>
          <w:tcPr>
            <w:tcW w:w="0" w:type="auto"/>
            <w:tcBorders>
              <w:top w:val="nil"/>
              <w:left w:val="nil"/>
              <w:bottom w:val="single" w:sz="4" w:space="0" w:color="000000"/>
              <w:right w:val="single" w:sz="4" w:space="0" w:color="000000"/>
            </w:tcBorders>
            <w:shd w:val="clear" w:color="auto" w:fill="auto"/>
            <w:vAlign w:val="center"/>
            <w:hideMark/>
          </w:tcPr>
          <w:p w14:paraId="03669A8E"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Marcas</w:t>
            </w:r>
          </w:p>
        </w:tc>
        <w:tc>
          <w:tcPr>
            <w:tcW w:w="0" w:type="auto"/>
            <w:tcBorders>
              <w:top w:val="nil"/>
              <w:left w:val="nil"/>
              <w:bottom w:val="single" w:sz="4" w:space="0" w:color="000000"/>
              <w:right w:val="single" w:sz="4" w:space="0" w:color="000000"/>
            </w:tcBorders>
            <w:shd w:val="clear" w:color="auto" w:fill="auto"/>
            <w:vAlign w:val="center"/>
            <w:hideMark/>
          </w:tcPr>
          <w:p w14:paraId="1243EA5E"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24D081E7"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379A60"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702A159C"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198BFF7B"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2AD4D2A6"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197003001</w:t>
            </w:r>
          </w:p>
        </w:tc>
        <w:tc>
          <w:tcPr>
            <w:tcW w:w="0" w:type="auto"/>
            <w:tcBorders>
              <w:top w:val="nil"/>
              <w:left w:val="nil"/>
              <w:bottom w:val="single" w:sz="4" w:space="0" w:color="000000"/>
              <w:right w:val="single" w:sz="4" w:space="0" w:color="000000"/>
            </w:tcBorders>
            <w:shd w:val="clear" w:color="auto" w:fill="auto"/>
            <w:vAlign w:val="center"/>
            <w:hideMark/>
          </w:tcPr>
          <w:p w14:paraId="41A1F04A"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Patentes</w:t>
            </w:r>
          </w:p>
        </w:tc>
        <w:tc>
          <w:tcPr>
            <w:tcW w:w="0" w:type="auto"/>
            <w:tcBorders>
              <w:top w:val="nil"/>
              <w:left w:val="nil"/>
              <w:bottom w:val="single" w:sz="4" w:space="0" w:color="000000"/>
              <w:right w:val="single" w:sz="4" w:space="0" w:color="000000"/>
            </w:tcBorders>
            <w:shd w:val="clear" w:color="auto" w:fill="auto"/>
            <w:vAlign w:val="center"/>
            <w:hideMark/>
          </w:tcPr>
          <w:p w14:paraId="7C8C1362"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61C5375E"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143296"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17E5A320"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5FAFB533"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72C756AB"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197005001</w:t>
            </w:r>
          </w:p>
        </w:tc>
        <w:tc>
          <w:tcPr>
            <w:tcW w:w="0" w:type="auto"/>
            <w:tcBorders>
              <w:top w:val="nil"/>
              <w:left w:val="nil"/>
              <w:bottom w:val="single" w:sz="4" w:space="0" w:color="000000"/>
              <w:right w:val="single" w:sz="4" w:space="0" w:color="000000"/>
            </w:tcBorders>
            <w:shd w:val="clear" w:color="auto" w:fill="auto"/>
            <w:vAlign w:val="center"/>
            <w:hideMark/>
          </w:tcPr>
          <w:p w14:paraId="6454C299"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Derechos</w:t>
            </w:r>
          </w:p>
        </w:tc>
        <w:tc>
          <w:tcPr>
            <w:tcW w:w="0" w:type="auto"/>
            <w:tcBorders>
              <w:top w:val="nil"/>
              <w:left w:val="nil"/>
              <w:bottom w:val="single" w:sz="4" w:space="0" w:color="000000"/>
              <w:right w:val="single" w:sz="4" w:space="0" w:color="000000"/>
            </w:tcBorders>
            <w:shd w:val="clear" w:color="auto" w:fill="auto"/>
            <w:vAlign w:val="center"/>
            <w:hideMark/>
          </w:tcPr>
          <w:p w14:paraId="22BA57C0"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B1368F9"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E9EA16"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59C63F22"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2570DFD5"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7647B81B"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197007001</w:t>
            </w:r>
          </w:p>
        </w:tc>
        <w:tc>
          <w:tcPr>
            <w:tcW w:w="0" w:type="auto"/>
            <w:tcBorders>
              <w:top w:val="nil"/>
              <w:left w:val="nil"/>
              <w:bottom w:val="single" w:sz="4" w:space="0" w:color="000000"/>
              <w:right w:val="single" w:sz="4" w:space="0" w:color="000000"/>
            </w:tcBorders>
            <w:shd w:val="clear" w:color="auto" w:fill="auto"/>
            <w:vAlign w:val="center"/>
            <w:hideMark/>
          </w:tcPr>
          <w:p w14:paraId="386ED9D2"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Licencias</w:t>
            </w:r>
          </w:p>
        </w:tc>
        <w:tc>
          <w:tcPr>
            <w:tcW w:w="0" w:type="auto"/>
            <w:tcBorders>
              <w:top w:val="nil"/>
              <w:left w:val="nil"/>
              <w:bottom w:val="single" w:sz="4" w:space="0" w:color="000000"/>
              <w:right w:val="single" w:sz="4" w:space="0" w:color="000000"/>
            </w:tcBorders>
            <w:shd w:val="clear" w:color="auto" w:fill="auto"/>
            <w:vAlign w:val="center"/>
            <w:hideMark/>
          </w:tcPr>
          <w:p w14:paraId="0FA72A6E"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89EB749"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AED5F9"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1853902B"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58CE8BE0"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06D8EA71"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197008001</w:t>
            </w:r>
          </w:p>
        </w:tc>
        <w:tc>
          <w:tcPr>
            <w:tcW w:w="0" w:type="auto"/>
            <w:tcBorders>
              <w:top w:val="nil"/>
              <w:left w:val="nil"/>
              <w:bottom w:val="single" w:sz="4" w:space="0" w:color="000000"/>
              <w:right w:val="single" w:sz="4" w:space="0" w:color="000000"/>
            </w:tcBorders>
            <w:shd w:val="clear" w:color="auto" w:fill="auto"/>
            <w:vAlign w:val="center"/>
            <w:hideMark/>
          </w:tcPr>
          <w:p w14:paraId="4AA6B144"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Softwares</w:t>
            </w:r>
          </w:p>
        </w:tc>
        <w:tc>
          <w:tcPr>
            <w:tcW w:w="0" w:type="auto"/>
            <w:tcBorders>
              <w:top w:val="nil"/>
              <w:left w:val="nil"/>
              <w:bottom w:val="single" w:sz="4" w:space="0" w:color="000000"/>
              <w:right w:val="single" w:sz="4" w:space="0" w:color="000000"/>
            </w:tcBorders>
            <w:shd w:val="clear" w:color="auto" w:fill="auto"/>
            <w:vAlign w:val="center"/>
            <w:hideMark/>
          </w:tcPr>
          <w:p w14:paraId="77EB4ABA"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r w:rsidR="0068376F" w:rsidRPr="00676199" w14:paraId="10FBC1E5" w14:textId="77777777" w:rsidTr="0068376F">
        <w:trPr>
          <w:trHeight w:val="11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EA2CC9"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2</w:t>
            </w:r>
          </w:p>
        </w:tc>
        <w:tc>
          <w:tcPr>
            <w:tcW w:w="0" w:type="auto"/>
            <w:tcBorders>
              <w:top w:val="nil"/>
              <w:left w:val="nil"/>
              <w:bottom w:val="single" w:sz="4" w:space="0" w:color="000000"/>
              <w:right w:val="single" w:sz="4" w:space="0" w:color="000000"/>
            </w:tcBorders>
            <w:shd w:val="clear" w:color="auto" w:fill="auto"/>
            <w:vAlign w:val="center"/>
            <w:hideMark/>
          </w:tcPr>
          <w:p w14:paraId="01C4D684"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15</w:t>
            </w:r>
          </w:p>
        </w:tc>
        <w:tc>
          <w:tcPr>
            <w:tcW w:w="0" w:type="auto"/>
            <w:tcBorders>
              <w:top w:val="nil"/>
              <w:left w:val="nil"/>
              <w:bottom w:val="single" w:sz="4" w:space="0" w:color="000000"/>
              <w:right w:val="single" w:sz="4" w:space="0" w:color="000000"/>
            </w:tcBorders>
            <w:shd w:val="clear" w:color="auto" w:fill="auto"/>
            <w:vAlign w:val="center"/>
            <w:hideMark/>
          </w:tcPr>
          <w:p w14:paraId="776641F8"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Intangibles</w:t>
            </w:r>
          </w:p>
        </w:tc>
        <w:tc>
          <w:tcPr>
            <w:tcW w:w="0" w:type="auto"/>
            <w:tcBorders>
              <w:top w:val="nil"/>
              <w:left w:val="nil"/>
              <w:bottom w:val="single" w:sz="4" w:space="0" w:color="000000"/>
              <w:right w:val="single" w:sz="4" w:space="0" w:color="000000"/>
            </w:tcBorders>
            <w:shd w:val="clear" w:color="auto" w:fill="auto"/>
            <w:vAlign w:val="center"/>
            <w:hideMark/>
          </w:tcPr>
          <w:p w14:paraId="28FDB3E5" w14:textId="77777777" w:rsidR="0068376F" w:rsidRPr="00676199" w:rsidRDefault="0068376F" w:rsidP="0068376F">
            <w:pPr>
              <w:jc w:val="center"/>
              <w:rPr>
                <w:rFonts w:ascii="Calibri" w:hAnsi="Calibri"/>
                <w:color w:val="000000"/>
                <w:sz w:val="14"/>
                <w:szCs w:val="14"/>
                <w:lang w:val="es-CO" w:eastAsia="es-CO"/>
              </w:rPr>
            </w:pPr>
            <w:r w:rsidRPr="00676199">
              <w:rPr>
                <w:rFonts w:ascii="Calibri" w:hAnsi="Calibri"/>
                <w:color w:val="000000"/>
                <w:sz w:val="14"/>
                <w:szCs w:val="14"/>
                <w:lang w:val="es-CO" w:eastAsia="es-CO"/>
              </w:rPr>
              <w:t>197010001</w:t>
            </w:r>
          </w:p>
        </w:tc>
        <w:tc>
          <w:tcPr>
            <w:tcW w:w="0" w:type="auto"/>
            <w:tcBorders>
              <w:top w:val="nil"/>
              <w:left w:val="nil"/>
              <w:bottom w:val="single" w:sz="4" w:space="0" w:color="000000"/>
              <w:right w:val="single" w:sz="4" w:space="0" w:color="000000"/>
            </w:tcBorders>
            <w:shd w:val="clear" w:color="auto" w:fill="auto"/>
            <w:vAlign w:val="center"/>
            <w:hideMark/>
          </w:tcPr>
          <w:p w14:paraId="27EB18DB"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Activos intangibles en fase de desarrollo</w:t>
            </w:r>
          </w:p>
        </w:tc>
        <w:tc>
          <w:tcPr>
            <w:tcW w:w="0" w:type="auto"/>
            <w:tcBorders>
              <w:top w:val="nil"/>
              <w:left w:val="nil"/>
              <w:bottom w:val="single" w:sz="4" w:space="0" w:color="000000"/>
              <w:right w:val="single" w:sz="4" w:space="0" w:color="000000"/>
            </w:tcBorders>
            <w:shd w:val="clear" w:color="auto" w:fill="auto"/>
            <w:vAlign w:val="center"/>
            <w:hideMark/>
          </w:tcPr>
          <w:p w14:paraId="01255A09" w14:textId="77777777" w:rsidR="0068376F" w:rsidRPr="00676199" w:rsidRDefault="0068376F" w:rsidP="0068376F">
            <w:pPr>
              <w:rPr>
                <w:rFonts w:ascii="Calibri" w:hAnsi="Calibri"/>
                <w:color w:val="000000"/>
                <w:sz w:val="14"/>
                <w:szCs w:val="14"/>
                <w:lang w:val="es-CO" w:eastAsia="es-CO"/>
              </w:rPr>
            </w:pPr>
            <w:r w:rsidRPr="00676199">
              <w:rPr>
                <w:rFonts w:ascii="Calibri" w:hAnsi="Calibri"/>
                <w:color w:val="000000"/>
                <w:sz w:val="14"/>
                <w:szCs w:val="14"/>
                <w:lang w:val="es-CO" w:eastAsia="es-CO"/>
              </w:rPr>
              <w:t>SI</w:t>
            </w:r>
          </w:p>
        </w:tc>
      </w:tr>
    </w:tbl>
    <w:p w14:paraId="254A31A1" w14:textId="77777777" w:rsidR="00B808B4" w:rsidRDefault="00B808B4" w:rsidP="00B808B4">
      <w:pPr>
        <w:tabs>
          <w:tab w:val="left" w:pos="851"/>
        </w:tabs>
        <w:spacing w:line="288" w:lineRule="auto"/>
        <w:jc w:val="both"/>
        <w:rPr>
          <w:rFonts w:ascii="Arial" w:hAnsi="Arial" w:cs="Arial"/>
          <w:color w:val="000000"/>
          <w:sz w:val="22"/>
          <w:szCs w:val="22"/>
          <w:lang w:val="es-CO" w:eastAsia="es-CO"/>
        </w:rPr>
      </w:pPr>
    </w:p>
    <w:p w14:paraId="2A5EBEC0" w14:textId="4AD4EF68" w:rsidR="00731CF5" w:rsidRPr="00D95115" w:rsidRDefault="00731CF5" w:rsidP="00343ECE">
      <w:pPr>
        <w:numPr>
          <w:ilvl w:val="0"/>
          <w:numId w:val="18"/>
        </w:numPr>
        <w:tabs>
          <w:tab w:val="left" w:pos="142"/>
          <w:tab w:val="left" w:pos="851"/>
        </w:tabs>
        <w:spacing w:line="288" w:lineRule="auto"/>
        <w:ind w:left="142" w:hanging="142"/>
        <w:jc w:val="both"/>
        <w:rPr>
          <w:rFonts w:ascii="Arial" w:hAnsi="Arial" w:cs="Arial"/>
          <w:color w:val="000000"/>
          <w:sz w:val="22"/>
          <w:szCs w:val="22"/>
          <w:lang w:val="es-CO" w:eastAsia="es-CO"/>
        </w:rPr>
      </w:pPr>
      <w:r w:rsidRPr="00C81DC4">
        <w:rPr>
          <w:rFonts w:ascii="Arial" w:hAnsi="Arial" w:cs="Arial"/>
          <w:b/>
          <w:color w:val="000000"/>
          <w:sz w:val="22"/>
          <w:szCs w:val="22"/>
        </w:rPr>
        <w:t>T-CON07 Causación de gastos:</w:t>
      </w:r>
      <w:r w:rsidRPr="00C81DC4">
        <w:rPr>
          <w:rFonts w:ascii="Arial" w:hAnsi="Arial" w:cs="Arial"/>
          <w:color w:val="000000"/>
          <w:sz w:val="22"/>
          <w:szCs w:val="22"/>
        </w:rPr>
        <w:t xml:space="preserve"> Establece el registro contable de la </w:t>
      </w:r>
      <w:proofErr w:type="spellStart"/>
      <w:r w:rsidRPr="00C81DC4">
        <w:rPr>
          <w:rFonts w:ascii="Arial" w:hAnsi="Arial" w:cs="Arial"/>
          <w:color w:val="000000"/>
          <w:sz w:val="22"/>
          <w:szCs w:val="22"/>
        </w:rPr>
        <w:t>causación</w:t>
      </w:r>
      <w:proofErr w:type="spellEnd"/>
      <w:r w:rsidRPr="00C81DC4">
        <w:rPr>
          <w:rFonts w:ascii="Arial" w:hAnsi="Arial" w:cs="Arial"/>
          <w:color w:val="000000"/>
          <w:sz w:val="22"/>
          <w:szCs w:val="22"/>
        </w:rPr>
        <w:t xml:space="preserve"> de las obligaciones para cada rubro registrado en la gestión. Para los </w:t>
      </w:r>
      <w:r w:rsidRPr="00FB7B51">
        <w:rPr>
          <w:rFonts w:ascii="Arial" w:hAnsi="Arial" w:cs="Arial"/>
          <w:i/>
          <w:iCs/>
          <w:color w:val="000000"/>
          <w:sz w:val="22"/>
          <w:szCs w:val="22"/>
        </w:rPr>
        <w:t>“tipo</w:t>
      </w:r>
      <w:r w:rsidR="00FB7B51" w:rsidRPr="00FB7B51">
        <w:rPr>
          <w:rFonts w:ascii="Arial" w:hAnsi="Arial" w:cs="Arial"/>
          <w:i/>
          <w:iCs/>
          <w:color w:val="000000"/>
          <w:sz w:val="22"/>
          <w:szCs w:val="22"/>
        </w:rPr>
        <w:t>s</w:t>
      </w:r>
      <w:r w:rsidRPr="00FB7B51">
        <w:rPr>
          <w:rFonts w:ascii="Arial" w:hAnsi="Arial" w:cs="Arial"/>
          <w:i/>
          <w:iCs/>
          <w:color w:val="000000"/>
          <w:sz w:val="22"/>
          <w:szCs w:val="22"/>
        </w:rPr>
        <w:t xml:space="preserve"> de operación”</w:t>
      </w:r>
      <w:r w:rsidRPr="00C81DC4">
        <w:rPr>
          <w:rFonts w:ascii="Arial" w:hAnsi="Arial" w:cs="Arial"/>
          <w:color w:val="000000"/>
          <w:sz w:val="22"/>
          <w:szCs w:val="22"/>
        </w:rPr>
        <w:t xml:space="preserve"> con </w:t>
      </w:r>
      <w:r w:rsidRPr="00FB7B51">
        <w:rPr>
          <w:rFonts w:ascii="Arial" w:hAnsi="Arial" w:cs="Arial"/>
          <w:i/>
          <w:iCs/>
          <w:color w:val="000000"/>
          <w:sz w:val="22"/>
          <w:szCs w:val="22"/>
        </w:rPr>
        <w:t>“matriz directa”</w:t>
      </w:r>
      <w:r w:rsidRPr="00C81DC4">
        <w:rPr>
          <w:rFonts w:ascii="Arial" w:hAnsi="Arial" w:cs="Arial"/>
          <w:color w:val="000000"/>
          <w:sz w:val="22"/>
          <w:szCs w:val="22"/>
        </w:rPr>
        <w:t xml:space="preserve"> y atributo contable </w:t>
      </w:r>
      <w:r w:rsidRPr="00FB7B51">
        <w:rPr>
          <w:rFonts w:ascii="Arial" w:hAnsi="Arial" w:cs="Arial"/>
          <w:i/>
          <w:iCs/>
          <w:color w:val="000000"/>
          <w:sz w:val="22"/>
          <w:szCs w:val="22"/>
        </w:rPr>
        <w:t>“ninguno”</w:t>
      </w:r>
      <w:r w:rsidRPr="00C81DC4">
        <w:rPr>
          <w:rFonts w:ascii="Arial" w:hAnsi="Arial" w:cs="Arial"/>
          <w:color w:val="000000"/>
          <w:sz w:val="22"/>
          <w:szCs w:val="22"/>
        </w:rPr>
        <w:t xml:space="preserve">, el código del registro débito se define con el </w:t>
      </w:r>
      <w:r w:rsidRPr="00FB7B51">
        <w:rPr>
          <w:rFonts w:ascii="Arial" w:hAnsi="Arial" w:cs="Arial"/>
          <w:i/>
          <w:iCs/>
          <w:color w:val="000000"/>
          <w:sz w:val="22"/>
          <w:szCs w:val="22"/>
        </w:rPr>
        <w:t>“tipo de gasto”</w:t>
      </w:r>
      <w:r w:rsidRPr="00C81DC4">
        <w:rPr>
          <w:rFonts w:ascii="Arial" w:hAnsi="Arial" w:cs="Arial"/>
          <w:color w:val="000000"/>
          <w:sz w:val="22"/>
          <w:szCs w:val="22"/>
        </w:rPr>
        <w:t xml:space="preserve">; para los </w:t>
      </w:r>
      <w:r w:rsidRPr="00FB7B51">
        <w:rPr>
          <w:rFonts w:ascii="Arial" w:hAnsi="Arial" w:cs="Arial"/>
          <w:i/>
          <w:iCs/>
          <w:color w:val="000000"/>
          <w:sz w:val="22"/>
          <w:szCs w:val="22"/>
        </w:rPr>
        <w:t>“tipo</w:t>
      </w:r>
      <w:r w:rsidR="00FB7B51" w:rsidRPr="00FB7B51">
        <w:rPr>
          <w:rFonts w:ascii="Arial" w:hAnsi="Arial" w:cs="Arial"/>
          <w:i/>
          <w:iCs/>
          <w:color w:val="000000"/>
          <w:sz w:val="22"/>
          <w:szCs w:val="22"/>
        </w:rPr>
        <w:t>s</w:t>
      </w:r>
      <w:r w:rsidRPr="00FB7B51">
        <w:rPr>
          <w:rFonts w:ascii="Arial" w:hAnsi="Arial" w:cs="Arial"/>
          <w:i/>
          <w:iCs/>
          <w:color w:val="000000"/>
          <w:sz w:val="22"/>
          <w:szCs w:val="22"/>
        </w:rPr>
        <w:t xml:space="preserve"> de operación”</w:t>
      </w:r>
      <w:r w:rsidRPr="00C81DC4">
        <w:rPr>
          <w:rFonts w:ascii="Arial" w:hAnsi="Arial" w:cs="Arial"/>
          <w:color w:val="000000"/>
          <w:sz w:val="22"/>
          <w:szCs w:val="22"/>
        </w:rPr>
        <w:t xml:space="preserve"> con </w:t>
      </w:r>
      <w:r w:rsidRPr="00FB7B51">
        <w:rPr>
          <w:rFonts w:ascii="Arial" w:hAnsi="Arial" w:cs="Arial"/>
          <w:i/>
          <w:iCs/>
          <w:color w:val="000000"/>
          <w:sz w:val="22"/>
          <w:szCs w:val="22"/>
        </w:rPr>
        <w:t>“usos”</w:t>
      </w:r>
      <w:r w:rsidRPr="00C81DC4">
        <w:rPr>
          <w:rFonts w:ascii="Arial" w:hAnsi="Arial" w:cs="Arial"/>
          <w:color w:val="000000"/>
          <w:sz w:val="22"/>
          <w:szCs w:val="22"/>
        </w:rPr>
        <w:t xml:space="preserve"> y atributo contable </w:t>
      </w:r>
      <w:r w:rsidRPr="00FB7B51">
        <w:rPr>
          <w:rFonts w:ascii="Arial" w:hAnsi="Arial" w:cs="Arial"/>
          <w:i/>
          <w:iCs/>
          <w:color w:val="000000"/>
          <w:sz w:val="22"/>
          <w:szCs w:val="22"/>
        </w:rPr>
        <w:t>“ninguno”</w:t>
      </w:r>
      <w:r w:rsidRPr="00C81DC4">
        <w:rPr>
          <w:rFonts w:ascii="Arial" w:hAnsi="Arial" w:cs="Arial"/>
          <w:color w:val="000000"/>
          <w:sz w:val="22"/>
          <w:szCs w:val="22"/>
        </w:rPr>
        <w:t xml:space="preserve">, el código del registro débito se define al seleccionar el código contable relacionado en el </w:t>
      </w:r>
      <w:r w:rsidRPr="00FB7B51">
        <w:rPr>
          <w:rFonts w:ascii="Arial" w:hAnsi="Arial" w:cs="Arial"/>
          <w:i/>
          <w:iCs/>
          <w:color w:val="000000"/>
          <w:sz w:val="22"/>
          <w:szCs w:val="22"/>
        </w:rPr>
        <w:t>“uso”</w:t>
      </w:r>
      <w:r w:rsidRPr="00C81DC4">
        <w:rPr>
          <w:rFonts w:ascii="Arial" w:hAnsi="Arial" w:cs="Arial"/>
          <w:color w:val="000000"/>
          <w:sz w:val="22"/>
          <w:szCs w:val="22"/>
        </w:rPr>
        <w:t>.</w:t>
      </w:r>
    </w:p>
    <w:p w14:paraId="0FC89200" w14:textId="77777777" w:rsidR="00D95115" w:rsidRPr="00D95115" w:rsidRDefault="00D95115" w:rsidP="00D95115">
      <w:pPr>
        <w:tabs>
          <w:tab w:val="left" w:pos="851"/>
        </w:tabs>
        <w:spacing w:line="288" w:lineRule="auto"/>
        <w:ind w:left="567"/>
        <w:jc w:val="both"/>
        <w:rPr>
          <w:rFonts w:ascii="Arial" w:hAnsi="Arial" w:cs="Arial"/>
          <w:color w:val="000000"/>
          <w:sz w:val="16"/>
          <w:szCs w:val="22"/>
          <w:lang w:val="es-CO" w:eastAsia="es-CO"/>
        </w:rPr>
      </w:pPr>
    </w:p>
    <w:tbl>
      <w:tblPr>
        <w:tblW w:w="9196" w:type="dxa"/>
        <w:tblLayout w:type="fixed"/>
        <w:tblCellMar>
          <w:left w:w="70" w:type="dxa"/>
          <w:right w:w="70" w:type="dxa"/>
        </w:tblCellMar>
        <w:tblLook w:val="04A0" w:firstRow="1" w:lastRow="0" w:firstColumn="1" w:lastColumn="0" w:noHBand="0" w:noVBand="1"/>
      </w:tblPr>
      <w:tblGrid>
        <w:gridCol w:w="916"/>
        <w:gridCol w:w="444"/>
        <w:gridCol w:w="978"/>
        <w:gridCol w:w="567"/>
        <w:gridCol w:w="1418"/>
        <w:gridCol w:w="460"/>
        <w:gridCol w:w="688"/>
        <w:gridCol w:w="1120"/>
        <w:gridCol w:w="709"/>
        <w:gridCol w:w="708"/>
        <w:gridCol w:w="142"/>
        <w:gridCol w:w="425"/>
        <w:gridCol w:w="621"/>
      </w:tblGrid>
      <w:tr w:rsidR="00374C40" w:rsidRPr="00676199" w14:paraId="09754515" w14:textId="77777777" w:rsidTr="00374C40">
        <w:trPr>
          <w:trHeight w:val="113"/>
          <w:tblHeader/>
        </w:trPr>
        <w:tc>
          <w:tcPr>
            <w:tcW w:w="91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C95B559"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Tipo Operación</w:t>
            </w:r>
          </w:p>
        </w:tc>
        <w:tc>
          <w:tcPr>
            <w:tcW w:w="444"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65AE106"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Rubro de Gasto</w:t>
            </w:r>
          </w:p>
        </w:tc>
        <w:tc>
          <w:tcPr>
            <w:tcW w:w="97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7778286"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Descripción Rubro de Gasto</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ED74106"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 xml:space="preserve">Atributo </w:t>
            </w:r>
            <w:proofErr w:type="spellStart"/>
            <w:r w:rsidRPr="00676199">
              <w:rPr>
                <w:rFonts w:ascii="Calibri" w:hAnsi="Calibri"/>
                <w:b/>
                <w:bCs/>
                <w:color w:val="FFFFFF"/>
                <w:sz w:val="12"/>
                <w:szCs w:val="12"/>
                <w:lang w:val="es-CO" w:eastAsia="es-CO"/>
              </w:rPr>
              <w:t>Contab</w:t>
            </w:r>
            <w:proofErr w:type="spellEnd"/>
            <w:r w:rsidRPr="00676199">
              <w:rPr>
                <w:rFonts w:ascii="Calibri" w:hAnsi="Calibri"/>
                <w:b/>
                <w:bCs/>
                <w:color w:val="FFFFFF"/>
                <w:sz w:val="12"/>
                <w:szCs w:val="12"/>
                <w:lang w:val="es-CO" w:eastAsia="es-CO"/>
              </w:rPr>
              <w:t xml:space="preserve"> Ninguno</w:t>
            </w:r>
          </w:p>
        </w:tc>
        <w:tc>
          <w:tcPr>
            <w:tcW w:w="141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2E63DB3"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Tipo de Gasto</w:t>
            </w:r>
          </w:p>
        </w:tc>
        <w:tc>
          <w:tcPr>
            <w:tcW w:w="460"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5D9D08D"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Recepción Bs</w:t>
            </w:r>
          </w:p>
        </w:tc>
        <w:tc>
          <w:tcPr>
            <w:tcW w:w="68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0226080"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Código Contable Debe</w:t>
            </w:r>
          </w:p>
        </w:tc>
        <w:tc>
          <w:tcPr>
            <w:tcW w:w="1120"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1DCFFF2"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Descripción Código Contable Debe</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6539A8A"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Código Contable Haber</w:t>
            </w:r>
          </w:p>
        </w:tc>
        <w:tc>
          <w:tcPr>
            <w:tcW w:w="850" w:type="dxa"/>
            <w:gridSpan w:val="2"/>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05C7FBE"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Descripción Código Contable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79D6D2C"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Vigente</w:t>
            </w:r>
          </w:p>
        </w:tc>
        <w:tc>
          <w:tcPr>
            <w:tcW w:w="621"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D71FFF6" w14:textId="77777777" w:rsidR="00374C40" w:rsidRPr="00676199" w:rsidRDefault="00374C40" w:rsidP="00374C40">
            <w:pPr>
              <w:jc w:val="center"/>
              <w:rPr>
                <w:rFonts w:ascii="Calibri" w:hAnsi="Calibri"/>
                <w:b/>
                <w:bCs/>
                <w:color w:val="FFFFFF"/>
                <w:sz w:val="12"/>
                <w:szCs w:val="12"/>
                <w:lang w:val="es-CO" w:eastAsia="es-CO"/>
              </w:rPr>
            </w:pPr>
            <w:r w:rsidRPr="00676199">
              <w:rPr>
                <w:rFonts w:ascii="Calibri" w:hAnsi="Calibri"/>
                <w:b/>
                <w:bCs/>
                <w:color w:val="FFFFFF"/>
                <w:sz w:val="12"/>
                <w:szCs w:val="12"/>
                <w:lang w:val="es-CO" w:eastAsia="es-CO"/>
              </w:rPr>
              <w:t>Ámbito</w:t>
            </w:r>
          </w:p>
        </w:tc>
      </w:tr>
      <w:tr w:rsidR="00374C40" w:rsidRPr="00676199" w14:paraId="72F00D9A"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72E7D96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438BDC5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A-2-0-4-6</w:t>
            </w:r>
          </w:p>
        </w:tc>
        <w:tc>
          <w:tcPr>
            <w:tcW w:w="978" w:type="dxa"/>
            <w:tcBorders>
              <w:top w:val="nil"/>
              <w:left w:val="nil"/>
              <w:bottom w:val="single" w:sz="4" w:space="0" w:color="000000"/>
              <w:right w:val="single" w:sz="4" w:space="0" w:color="000000"/>
            </w:tcBorders>
            <w:shd w:val="clear" w:color="auto" w:fill="auto"/>
            <w:vAlign w:val="center"/>
            <w:hideMark/>
          </w:tcPr>
          <w:p w14:paraId="67900D8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Comunicaciones y transportes</w:t>
            </w:r>
          </w:p>
        </w:tc>
        <w:tc>
          <w:tcPr>
            <w:tcW w:w="567" w:type="dxa"/>
            <w:tcBorders>
              <w:top w:val="nil"/>
              <w:left w:val="nil"/>
              <w:bottom w:val="single" w:sz="4" w:space="0" w:color="000000"/>
              <w:right w:val="single" w:sz="4" w:space="0" w:color="000000"/>
            </w:tcBorders>
            <w:shd w:val="clear" w:color="auto" w:fill="auto"/>
            <w:vAlign w:val="center"/>
            <w:hideMark/>
          </w:tcPr>
          <w:p w14:paraId="1C63E8C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3FE61A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798D8C1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64349C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1E7357C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r w:rsidR="00D95115" w:rsidRPr="00676199">
              <w:rPr>
                <w:rFonts w:ascii="Calibri" w:hAnsi="Calibri"/>
                <w:color w:val="000000"/>
                <w:sz w:val="12"/>
                <w:szCs w:val="12"/>
                <w:lang w:val="es-CO" w:eastAsia="es-CO"/>
              </w:rPr>
              <w:t>IVA</w:t>
            </w:r>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49FA3A8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1FA3A4A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63F09E8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20FF08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64C3CFF"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7E46D3E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118 - Arrendamiento Operativo</w:t>
            </w:r>
          </w:p>
        </w:tc>
        <w:tc>
          <w:tcPr>
            <w:tcW w:w="444" w:type="dxa"/>
            <w:tcBorders>
              <w:top w:val="nil"/>
              <w:left w:val="nil"/>
              <w:bottom w:val="single" w:sz="4" w:space="0" w:color="000000"/>
              <w:right w:val="single" w:sz="4" w:space="0" w:color="000000"/>
            </w:tcBorders>
            <w:shd w:val="clear" w:color="auto" w:fill="auto"/>
            <w:vAlign w:val="center"/>
            <w:hideMark/>
          </w:tcPr>
          <w:p w14:paraId="7E3BB0E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A-2-0-4-6-1</w:t>
            </w:r>
          </w:p>
        </w:tc>
        <w:tc>
          <w:tcPr>
            <w:tcW w:w="978" w:type="dxa"/>
            <w:tcBorders>
              <w:top w:val="nil"/>
              <w:left w:val="nil"/>
              <w:bottom w:val="single" w:sz="4" w:space="0" w:color="000000"/>
              <w:right w:val="single" w:sz="4" w:space="0" w:color="000000"/>
            </w:tcBorders>
            <w:shd w:val="clear" w:color="auto" w:fill="auto"/>
            <w:vAlign w:val="center"/>
            <w:hideMark/>
          </w:tcPr>
          <w:p w14:paraId="52FEC7D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Alquileres de </w:t>
            </w:r>
            <w:r w:rsidR="00D95115" w:rsidRPr="00676199">
              <w:rPr>
                <w:rFonts w:ascii="Calibri" w:hAnsi="Calibri"/>
                <w:color w:val="000000"/>
                <w:sz w:val="12"/>
                <w:szCs w:val="12"/>
                <w:lang w:val="es-CO" w:eastAsia="es-CO"/>
              </w:rPr>
              <w:t>líneas</w:t>
            </w:r>
          </w:p>
        </w:tc>
        <w:tc>
          <w:tcPr>
            <w:tcW w:w="567" w:type="dxa"/>
            <w:tcBorders>
              <w:top w:val="nil"/>
              <w:left w:val="nil"/>
              <w:bottom w:val="single" w:sz="4" w:space="0" w:color="000000"/>
              <w:right w:val="single" w:sz="4" w:space="0" w:color="000000"/>
            </w:tcBorders>
            <w:shd w:val="clear" w:color="auto" w:fill="auto"/>
            <w:vAlign w:val="center"/>
            <w:hideMark/>
          </w:tcPr>
          <w:p w14:paraId="1344696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428D65E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458AE03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BC8E95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511118001</w:t>
            </w:r>
          </w:p>
        </w:tc>
        <w:tc>
          <w:tcPr>
            <w:tcW w:w="1120" w:type="dxa"/>
            <w:tcBorders>
              <w:top w:val="nil"/>
              <w:left w:val="nil"/>
              <w:bottom w:val="single" w:sz="4" w:space="0" w:color="000000"/>
              <w:right w:val="single" w:sz="4" w:space="0" w:color="000000"/>
            </w:tcBorders>
            <w:shd w:val="clear" w:color="auto" w:fill="auto"/>
            <w:vAlign w:val="center"/>
            <w:hideMark/>
          </w:tcPr>
          <w:p w14:paraId="65AC610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Arrendamiento operativo</w:t>
            </w:r>
          </w:p>
        </w:tc>
        <w:tc>
          <w:tcPr>
            <w:tcW w:w="709" w:type="dxa"/>
            <w:tcBorders>
              <w:top w:val="nil"/>
              <w:left w:val="nil"/>
              <w:bottom w:val="single" w:sz="4" w:space="0" w:color="000000"/>
              <w:right w:val="single" w:sz="4" w:space="0" w:color="000000"/>
            </w:tcBorders>
            <w:shd w:val="clear" w:color="auto" w:fill="auto"/>
            <w:vAlign w:val="center"/>
            <w:hideMark/>
          </w:tcPr>
          <w:p w14:paraId="2113533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249058001</w:t>
            </w:r>
          </w:p>
        </w:tc>
        <w:tc>
          <w:tcPr>
            <w:tcW w:w="708" w:type="dxa"/>
            <w:tcBorders>
              <w:top w:val="nil"/>
              <w:left w:val="nil"/>
              <w:bottom w:val="single" w:sz="4" w:space="0" w:color="000000"/>
              <w:right w:val="single" w:sz="4" w:space="0" w:color="000000"/>
            </w:tcBorders>
            <w:shd w:val="clear" w:color="auto" w:fill="auto"/>
            <w:vAlign w:val="center"/>
            <w:hideMark/>
          </w:tcPr>
          <w:p w14:paraId="7D6B25C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Arrendamiento operativo</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1294951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69275DF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182F469"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55CCD6E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2E5E4F9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A-2-0-4-6-6</w:t>
            </w:r>
          </w:p>
        </w:tc>
        <w:tc>
          <w:tcPr>
            <w:tcW w:w="978" w:type="dxa"/>
            <w:tcBorders>
              <w:top w:val="nil"/>
              <w:left w:val="nil"/>
              <w:bottom w:val="single" w:sz="4" w:space="0" w:color="000000"/>
              <w:right w:val="single" w:sz="4" w:space="0" w:color="000000"/>
            </w:tcBorders>
            <w:shd w:val="clear" w:color="auto" w:fill="auto"/>
            <w:vAlign w:val="center"/>
            <w:hideMark/>
          </w:tcPr>
          <w:p w14:paraId="731F1EC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Sistemas </w:t>
            </w:r>
            <w:proofErr w:type="spellStart"/>
            <w:r w:rsidRPr="00676199">
              <w:rPr>
                <w:rFonts w:ascii="Calibri" w:hAnsi="Calibri"/>
                <w:color w:val="000000"/>
                <w:sz w:val="12"/>
                <w:szCs w:val="12"/>
                <w:lang w:val="es-CO" w:eastAsia="es-CO"/>
              </w:rPr>
              <w:t>trocalizados</w:t>
            </w:r>
            <w:proofErr w:type="spellEnd"/>
          </w:p>
        </w:tc>
        <w:tc>
          <w:tcPr>
            <w:tcW w:w="567" w:type="dxa"/>
            <w:tcBorders>
              <w:top w:val="nil"/>
              <w:left w:val="nil"/>
              <w:bottom w:val="single" w:sz="4" w:space="0" w:color="000000"/>
              <w:right w:val="single" w:sz="4" w:space="0" w:color="000000"/>
            </w:tcBorders>
            <w:shd w:val="clear" w:color="auto" w:fill="auto"/>
            <w:vAlign w:val="center"/>
            <w:hideMark/>
          </w:tcPr>
          <w:p w14:paraId="0BEBAAF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B0B232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2550129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0BE6F8A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511123001</w:t>
            </w:r>
          </w:p>
        </w:tc>
        <w:tc>
          <w:tcPr>
            <w:tcW w:w="1120" w:type="dxa"/>
            <w:tcBorders>
              <w:top w:val="nil"/>
              <w:left w:val="nil"/>
              <w:bottom w:val="single" w:sz="4" w:space="0" w:color="000000"/>
              <w:right w:val="single" w:sz="4" w:space="0" w:color="000000"/>
            </w:tcBorders>
            <w:shd w:val="clear" w:color="auto" w:fill="auto"/>
            <w:vAlign w:val="center"/>
            <w:hideMark/>
          </w:tcPr>
          <w:p w14:paraId="36DE4D4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Comunicaciones y transporte</w:t>
            </w:r>
          </w:p>
        </w:tc>
        <w:tc>
          <w:tcPr>
            <w:tcW w:w="709" w:type="dxa"/>
            <w:tcBorders>
              <w:top w:val="nil"/>
              <w:left w:val="nil"/>
              <w:bottom w:val="single" w:sz="4" w:space="0" w:color="000000"/>
              <w:right w:val="single" w:sz="4" w:space="0" w:color="000000"/>
            </w:tcBorders>
            <w:shd w:val="clear" w:color="auto" w:fill="auto"/>
            <w:vAlign w:val="center"/>
            <w:hideMark/>
          </w:tcPr>
          <w:p w14:paraId="094672A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6EA8774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FF4FB7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045FFD3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3AB0FDE"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7E7458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0E62F66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A-2-0-4-6-6</w:t>
            </w:r>
          </w:p>
        </w:tc>
        <w:tc>
          <w:tcPr>
            <w:tcW w:w="978" w:type="dxa"/>
            <w:tcBorders>
              <w:top w:val="nil"/>
              <w:left w:val="nil"/>
              <w:bottom w:val="single" w:sz="4" w:space="0" w:color="000000"/>
              <w:right w:val="single" w:sz="4" w:space="0" w:color="000000"/>
            </w:tcBorders>
            <w:shd w:val="clear" w:color="auto" w:fill="auto"/>
            <w:vAlign w:val="center"/>
            <w:hideMark/>
          </w:tcPr>
          <w:p w14:paraId="0592B2C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Sistemas </w:t>
            </w:r>
            <w:proofErr w:type="spellStart"/>
            <w:r w:rsidRPr="00676199">
              <w:rPr>
                <w:rFonts w:ascii="Calibri" w:hAnsi="Calibri"/>
                <w:color w:val="000000"/>
                <w:sz w:val="12"/>
                <w:szCs w:val="12"/>
                <w:lang w:val="es-CO" w:eastAsia="es-CO"/>
              </w:rPr>
              <w:t>trocalizados</w:t>
            </w:r>
            <w:proofErr w:type="spellEnd"/>
          </w:p>
        </w:tc>
        <w:tc>
          <w:tcPr>
            <w:tcW w:w="567" w:type="dxa"/>
            <w:tcBorders>
              <w:top w:val="nil"/>
              <w:left w:val="nil"/>
              <w:bottom w:val="single" w:sz="4" w:space="0" w:color="000000"/>
              <w:right w:val="single" w:sz="4" w:space="0" w:color="000000"/>
            </w:tcBorders>
            <w:shd w:val="clear" w:color="auto" w:fill="auto"/>
            <w:vAlign w:val="center"/>
            <w:hideMark/>
          </w:tcPr>
          <w:p w14:paraId="67E0E6A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39FCE87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366ECA4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3524C8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174F796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r w:rsidR="00D95115" w:rsidRPr="00676199">
              <w:rPr>
                <w:rFonts w:ascii="Calibri" w:hAnsi="Calibri"/>
                <w:color w:val="000000"/>
                <w:sz w:val="12"/>
                <w:szCs w:val="12"/>
                <w:lang w:val="es-CO" w:eastAsia="es-CO"/>
              </w:rPr>
              <w:t>IVA</w:t>
            </w:r>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5EF0C5B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55DD2BB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0E39E9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5748ECA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62FE020"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748C8BA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4ED6042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A-2-0-4-7-1</w:t>
            </w:r>
          </w:p>
        </w:tc>
        <w:tc>
          <w:tcPr>
            <w:tcW w:w="978" w:type="dxa"/>
            <w:tcBorders>
              <w:top w:val="nil"/>
              <w:left w:val="nil"/>
              <w:bottom w:val="single" w:sz="4" w:space="0" w:color="000000"/>
              <w:right w:val="single" w:sz="4" w:space="0" w:color="000000"/>
            </w:tcBorders>
            <w:shd w:val="clear" w:color="auto" w:fill="auto"/>
            <w:vAlign w:val="center"/>
            <w:hideMark/>
          </w:tcPr>
          <w:p w14:paraId="036ACD8D"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Adquisición</w:t>
            </w:r>
            <w:r w:rsidR="00374C40" w:rsidRPr="00676199">
              <w:rPr>
                <w:rFonts w:ascii="Calibri" w:hAnsi="Calibri"/>
                <w:color w:val="000000"/>
                <w:sz w:val="12"/>
                <w:szCs w:val="12"/>
                <w:lang w:val="es-CO" w:eastAsia="es-CO"/>
              </w:rPr>
              <w:t xml:space="preserve"> de libros y revistas</w:t>
            </w:r>
          </w:p>
        </w:tc>
        <w:tc>
          <w:tcPr>
            <w:tcW w:w="567" w:type="dxa"/>
            <w:tcBorders>
              <w:top w:val="nil"/>
              <w:left w:val="nil"/>
              <w:bottom w:val="single" w:sz="4" w:space="0" w:color="000000"/>
              <w:right w:val="single" w:sz="4" w:space="0" w:color="000000"/>
            </w:tcBorders>
            <w:shd w:val="clear" w:color="auto" w:fill="auto"/>
            <w:vAlign w:val="center"/>
            <w:hideMark/>
          </w:tcPr>
          <w:p w14:paraId="335C4B3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6BEC1F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0F240F0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561416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2F16FFA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r w:rsidR="00D95115" w:rsidRPr="00676199">
              <w:rPr>
                <w:rFonts w:ascii="Calibri" w:hAnsi="Calibri"/>
                <w:color w:val="000000"/>
                <w:sz w:val="12"/>
                <w:szCs w:val="12"/>
                <w:lang w:val="es-CO" w:eastAsia="es-CO"/>
              </w:rPr>
              <w:t>IVA</w:t>
            </w:r>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205AB7F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5350095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084536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2F80AB1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56FEDCFD"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25B61ED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15 - Adquisición de Bienes y </w:t>
            </w:r>
            <w:r w:rsidRPr="00676199">
              <w:rPr>
                <w:rFonts w:ascii="Calibri" w:hAnsi="Calibri"/>
                <w:color w:val="000000"/>
                <w:sz w:val="12"/>
                <w:szCs w:val="12"/>
                <w:lang w:val="es-CO" w:eastAsia="es-CO"/>
              </w:rPr>
              <w:lastRenderedPageBreak/>
              <w:t>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56CAEC3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lastRenderedPageBreak/>
              <w:t>A-2-0-4-7-1</w:t>
            </w:r>
          </w:p>
        </w:tc>
        <w:tc>
          <w:tcPr>
            <w:tcW w:w="978" w:type="dxa"/>
            <w:tcBorders>
              <w:top w:val="nil"/>
              <w:left w:val="nil"/>
              <w:bottom w:val="single" w:sz="4" w:space="0" w:color="000000"/>
              <w:right w:val="single" w:sz="4" w:space="0" w:color="000000"/>
            </w:tcBorders>
            <w:shd w:val="clear" w:color="auto" w:fill="auto"/>
            <w:vAlign w:val="center"/>
            <w:hideMark/>
          </w:tcPr>
          <w:p w14:paraId="41D4AAFC"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Adquisición</w:t>
            </w:r>
            <w:r w:rsidR="00374C40" w:rsidRPr="00676199">
              <w:rPr>
                <w:rFonts w:ascii="Calibri" w:hAnsi="Calibri"/>
                <w:color w:val="000000"/>
                <w:sz w:val="12"/>
                <w:szCs w:val="12"/>
                <w:lang w:val="es-CO" w:eastAsia="es-CO"/>
              </w:rPr>
              <w:t xml:space="preserve"> de libros y revistas</w:t>
            </w:r>
          </w:p>
        </w:tc>
        <w:tc>
          <w:tcPr>
            <w:tcW w:w="567" w:type="dxa"/>
            <w:tcBorders>
              <w:top w:val="nil"/>
              <w:left w:val="nil"/>
              <w:bottom w:val="single" w:sz="4" w:space="0" w:color="000000"/>
              <w:right w:val="single" w:sz="4" w:space="0" w:color="000000"/>
            </w:tcBorders>
            <w:shd w:val="clear" w:color="auto" w:fill="auto"/>
            <w:vAlign w:val="center"/>
            <w:hideMark/>
          </w:tcPr>
          <w:p w14:paraId="16B0577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061778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4D70B03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7243B0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511121001</w:t>
            </w:r>
          </w:p>
        </w:tc>
        <w:tc>
          <w:tcPr>
            <w:tcW w:w="1120" w:type="dxa"/>
            <w:tcBorders>
              <w:top w:val="nil"/>
              <w:left w:val="nil"/>
              <w:bottom w:val="single" w:sz="4" w:space="0" w:color="000000"/>
              <w:right w:val="single" w:sz="4" w:space="0" w:color="000000"/>
            </w:tcBorders>
            <w:shd w:val="clear" w:color="auto" w:fill="auto"/>
            <w:vAlign w:val="center"/>
            <w:hideMark/>
          </w:tcPr>
          <w:p w14:paraId="43F9D66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Impresos, publicaciones, </w:t>
            </w:r>
            <w:r w:rsidRPr="00676199">
              <w:rPr>
                <w:rFonts w:ascii="Calibri" w:hAnsi="Calibri"/>
                <w:color w:val="000000"/>
                <w:sz w:val="12"/>
                <w:szCs w:val="12"/>
                <w:lang w:val="es-CO" w:eastAsia="es-CO"/>
              </w:rPr>
              <w:lastRenderedPageBreak/>
              <w:t>suscripciones y afiliaciones</w:t>
            </w:r>
          </w:p>
        </w:tc>
        <w:tc>
          <w:tcPr>
            <w:tcW w:w="709" w:type="dxa"/>
            <w:tcBorders>
              <w:top w:val="nil"/>
              <w:left w:val="nil"/>
              <w:bottom w:val="single" w:sz="4" w:space="0" w:color="000000"/>
              <w:right w:val="single" w:sz="4" w:space="0" w:color="000000"/>
            </w:tcBorders>
            <w:shd w:val="clear" w:color="auto" w:fill="auto"/>
            <w:vAlign w:val="center"/>
            <w:hideMark/>
          </w:tcPr>
          <w:p w14:paraId="62A343A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lastRenderedPageBreak/>
              <w:t>240101001</w:t>
            </w:r>
          </w:p>
        </w:tc>
        <w:tc>
          <w:tcPr>
            <w:tcW w:w="708" w:type="dxa"/>
            <w:tcBorders>
              <w:top w:val="nil"/>
              <w:left w:val="nil"/>
              <w:bottom w:val="single" w:sz="4" w:space="0" w:color="000000"/>
              <w:right w:val="single" w:sz="4" w:space="0" w:color="000000"/>
            </w:tcBorders>
            <w:shd w:val="clear" w:color="auto" w:fill="auto"/>
            <w:vAlign w:val="center"/>
            <w:hideMark/>
          </w:tcPr>
          <w:p w14:paraId="2C67186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0A205D9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16B2735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9B070C5"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0A70CBB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24435A2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A-2-0-4-7-2</w:t>
            </w:r>
          </w:p>
        </w:tc>
        <w:tc>
          <w:tcPr>
            <w:tcW w:w="978" w:type="dxa"/>
            <w:tcBorders>
              <w:top w:val="nil"/>
              <w:left w:val="nil"/>
              <w:bottom w:val="single" w:sz="4" w:space="0" w:color="000000"/>
              <w:right w:val="single" w:sz="4" w:space="0" w:color="000000"/>
            </w:tcBorders>
            <w:shd w:val="clear" w:color="auto" w:fill="auto"/>
            <w:vAlign w:val="center"/>
            <w:hideMark/>
          </w:tcPr>
          <w:p w14:paraId="46E793D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Campañas</w:t>
            </w:r>
          </w:p>
        </w:tc>
        <w:tc>
          <w:tcPr>
            <w:tcW w:w="567" w:type="dxa"/>
            <w:tcBorders>
              <w:top w:val="nil"/>
              <w:left w:val="nil"/>
              <w:bottom w:val="single" w:sz="4" w:space="0" w:color="000000"/>
              <w:right w:val="single" w:sz="4" w:space="0" w:color="000000"/>
            </w:tcBorders>
            <w:shd w:val="clear" w:color="auto" w:fill="auto"/>
            <w:vAlign w:val="center"/>
            <w:hideMark/>
          </w:tcPr>
          <w:p w14:paraId="3D1F85F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D63D71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7A3F25D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39C2BA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511121001</w:t>
            </w:r>
          </w:p>
        </w:tc>
        <w:tc>
          <w:tcPr>
            <w:tcW w:w="1120" w:type="dxa"/>
            <w:tcBorders>
              <w:top w:val="nil"/>
              <w:left w:val="nil"/>
              <w:bottom w:val="single" w:sz="4" w:space="0" w:color="000000"/>
              <w:right w:val="single" w:sz="4" w:space="0" w:color="000000"/>
            </w:tcBorders>
            <w:shd w:val="clear" w:color="auto" w:fill="auto"/>
            <w:vAlign w:val="center"/>
            <w:hideMark/>
          </w:tcPr>
          <w:p w14:paraId="7944AC6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Impresos, publicaciones, suscripciones y afiliaciones</w:t>
            </w:r>
          </w:p>
        </w:tc>
        <w:tc>
          <w:tcPr>
            <w:tcW w:w="709" w:type="dxa"/>
            <w:tcBorders>
              <w:top w:val="nil"/>
              <w:left w:val="nil"/>
              <w:bottom w:val="single" w:sz="4" w:space="0" w:color="000000"/>
              <w:right w:val="single" w:sz="4" w:space="0" w:color="000000"/>
            </w:tcBorders>
            <w:shd w:val="clear" w:color="auto" w:fill="auto"/>
            <w:vAlign w:val="center"/>
            <w:hideMark/>
          </w:tcPr>
          <w:p w14:paraId="5A97688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7D91CCF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5D72373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01BC23A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021D7D84"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70E30AC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5120B97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A-2-0-4-7-2</w:t>
            </w:r>
          </w:p>
        </w:tc>
        <w:tc>
          <w:tcPr>
            <w:tcW w:w="978" w:type="dxa"/>
            <w:tcBorders>
              <w:top w:val="nil"/>
              <w:left w:val="nil"/>
              <w:bottom w:val="single" w:sz="4" w:space="0" w:color="000000"/>
              <w:right w:val="single" w:sz="4" w:space="0" w:color="000000"/>
            </w:tcBorders>
            <w:shd w:val="clear" w:color="auto" w:fill="auto"/>
            <w:vAlign w:val="center"/>
            <w:hideMark/>
          </w:tcPr>
          <w:p w14:paraId="6F7840A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Campañas</w:t>
            </w:r>
          </w:p>
        </w:tc>
        <w:tc>
          <w:tcPr>
            <w:tcW w:w="567" w:type="dxa"/>
            <w:tcBorders>
              <w:top w:val="nil"/>
              <w:left w:val="nil"/>
              <w:bottom w:val="single" w:sz="4" w:space="0" w:color="000000"/>
              <w:right w:val="single" w:sz="4" w:space="0" w:color="000000"/>
            </w:tcBorders>
            <w:shd w:val="clear" w:color="auto" w:fill="auto"/>
            <w:vAlign w:val="center"/>
            <w:hideMark/>
          </w:tcPr>
          <w:p w14:paraId="7356385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4DBD2A0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6D01BA6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658471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33AD647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1DF46BA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44D366A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7D16AF5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6A52B60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1CE9EAE2"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064DE0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78A7CCA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A-2-0-4-7-3</w:t>
            </w:r>
          </w:p>
        </w:tc>
        <w:tc>
          <w:tcPr>
            <w:tcW w:w="978" w:type="dxa"/>
            <w:tcBorders>
              <w:top w:val="nil"/>
              <w:left w:val="nil"/>
              <w:bottom w:val="single" w:sz="4" w:space="0" w:color="000000"/>
              <w:right w:val="single" w:sz="4" w:space="0" w:color="000000"/>
            </w:tcBorders>
            <w:shd w:val="clear" w:color="auto" w:fill="auto"/>
            <w:vAlign w:val="center"/>
            <w:hideMark/>
          </w:tcPr>
          <w:p w14:paraId="58620B89"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Edición</w:t>
            </w:r>
            <w:r w:rsidR="00374C40" w:rsidRPr="00676199">
              <w:rPr>
                <w:rFonts w:ascii="Calibri" w:hAnsi="Calibri"/>
                <w:color w:val="000000"/>
                <w:sz w:val="12"/>
                <w:szCs w:val="12"/>
                <w:lang w:val="es-CO" w:eastAsia="es-CO"/>
              </w:rPr>
              <w:t xml:space="preserve"> de libros,</w:t>
            </w:r>
            <w:r>
              <w:rPr>
                <w:rFonts w:ascii="Calibri" w:hAnsi="Calibri"/>
                <w:color w:val="000000"/>
                <w:sz w:val="12"/>
                <w:szCs w:val="12"/>
                <w:lang w:val="es-CO" w:eastAsia="es-CO"/>
              </w:rPr>
              <w:t xml:space="preserve"> </w:t>
            </w:r>
            <w:r w:rsidR="00374C40" w:rsidRPr="00676199">
              <w:rPr>
                <w:rFonts w:ascii="Calibri" w:hAnsi="Calibri"/>
                <w:color w:val="000000"/>
                <w:sz w:val="12"/>
                <w:szCs w:val="12"/>
                <w:lang w:val="es-CO" w:eastAsia="es-CO"/>
              </w:rPr>
              <w:t>revistas</w:t>
            </w:r>
            <w:r>
              <w:rPr>
                <w:rFonts w:ascii="Calibri" w:hAnsi="Calibri"/>
                <w:color w:val="000000"/>
                <w:sz w:val="12"/>
                <w:szCs w:val="12"/>
                <w:lang w:val="es-CO" w:eastAsia="es-CO"/>
              </w:rPr>
              <w:t xml:space="preserve"> </w:t>
            </w:r>
            <w:r w:rsidR="00374C40" w:rsidRPr="00676199">
              <w:rPr>
                <w:rFonts w:ascii="Calibri" w:hAnsi="Calibri"/>
                <w:color w:val="000000"/>
                <w:sz w:val="12"/>
                <w:szCs w:val="12"/>
                <w:lang w:val="es-CO" w:eastAsia="es-CO"/>
              </w:rPr>
              <w:t xml:space="preserve">,escritos y trabajos </w:t>
            </w:r>
            <w:r w:rsidRPr="00676199">
              <w:rPr>
                <w:rFonts w:ascii="Calibri" w:hAnsi="Calibri"/>
                <w:color w:val="000000"/>
                <w:sz w:val="12"/>
                <w:szCs w:val="12"/>
                <w:lang w:val="es-CO" w:eastAsia="es-CO"/>
              </w:rPr>
              <w:t>tipográficos</w:t>
            </w:r>
          </w:p>
        </w:tc>
        <w:tc>
          <w:tcPr>
            <w:tcW w:w="567" w:type="dxa"/>
            <w:tcBorders>
              <w:top w:val="nil"/>
              <w:left w:val="nil"/>
              <w:bottom w:val="single" w:sz="4" w:space="0" w:color="000000"/>
              <w:right w:val="single" w:sz="4" w:space="0" w:color="000000"/>
            </w:tcBorders>
            <w:shd w:val="clear" w:color="auto" w:fill="auto"/>
            <w:vAlign w:val="center"/>
            <w:hideMark/>
          </w:tcPr>
          <w:p w14:paraId="446178E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A67687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1C1E97F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CB7805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06C3859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15E9A31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3F23698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C94194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689AFD0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48389E7D"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54E4A4C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629388B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A-2-0-4-7-4</w:t>
            </w:r>
          </w:p>
        </w:tc>
        <w:tc>
          <w:tcPr>
            <w:tcW w:w="978" w:type="dxa"/>
            <w:tcBorders>
              <w:top w:val="nil"/>
              <w:left w:val="nil"/>
              <w:bottom w:val="single" w:sz="4" w:space="0" w:color="000000"/>
              <w:right w:val="single" w:sz="4" w:space="0" w:color="000000"/>
            </w:tcBorders>
            <w:shd w:val="clear" w:color="auto" w:fill="auto"/>
            <w:vAlign w:val="center"/>
            <w:hideMark/>
          </w:tcPr>
          <w:p w14:paraId="50EFD2E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Publicidad y propaganda</w:t>
            </w:r>
          </w:p>
        </w:tc>
        <w:tc>
          <w:tcPr>
            <w:tcW w:w="567" w:type="dxa"/>
            <w:tcBorders>
              <w:top w:val="nil"/>
              <w:left w:val="nil"/>
              <w:bottom w:val="single" w:sz="4" w:space="0" w:color="000000"/>
              <w:right w:val="single" w:sz="4" w:space="0" w:color="000000"/>
            </w:tcBorders>
            <w:shd w:val="clear" w:color="auto" w:fill="auto"/>
            <w:vAlign w:val="center"/>
            <w:hideMark/>
          </w:tcPr>
          <w:p w14:paraId="1B7BCC2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752D56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3FD1618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E96553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485050D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4C3AEA0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0B2FF94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A7B45F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763772B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3CDEE259"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3F24EA5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063DF52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A-2-0-4-7-4</w:t>
            </w:r>
          </w:p>
        </w:tc>
        <w:tc>
          <w:tcPr>
            <w:tcW w:w="978" w:type="dxa"/>
            <w:tcBorders>
              <w:top w:val="nil"/>
              <w:left w:val="nil"/>
              <w:bottom w:val="single" w:sz="4" w:space="0" w:color="000000"/>
              <w:right w:val="single" w:sz="4" w:space="0" w:color="000000"/>
            </w:tcBorders>
            <w:shd w:val="clear" w:color="auto" w:fill="auto"/>
            <w:vAlign w:val="center"/>
            <w:hideMark/>
          </w:tcPr>
          <w:p w14:paraId="11F296D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Publicidad y propaganda</w:t>
            </w:r>
          </w:p>
        </w:tc>
        <w:tc>
          <w:tcPr>
            <w:tcW w:w="567" w:type="dxa"/>
            <w:tcBorders>
              <w:top w:val="nil"/>
              <w:left w:val="nil"/>
              <w:bottom w:val="single" w:sz="4" w:space="0" w:color="000000"/>
              <w:right w:val="single" w:sz="4" w:space="0" w:color="000000"/>
            </w:tcBorders>
            <w:shd w:val="clear" w:color="auto" w:fill="auto"/>
            <w:vAlign w:val="center"/>
            <w:hideMark/>
          </w:tcPr>
          <w:p w14:paraId="2291560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3C9E0C8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16547E6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281EE9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511120001</w:t>
            </w:r>
          </w:p>
        </w:tc>
        <w:tc>
          <w:tcPr>
            <w:tcW w:w="1120" w:type="dxa"/>
            <w:tcBorders>
              <w:top w:val="nil"/>
              <w:left w:val="nil"/>
              <w:bottom w:val="single" w:sz="4" w:space="0" w:color="000000"/>
              <w:right w:val="single" w:sz="4" w:space="0" w:color="000000"/>
            </w:tcBorders>
            <w:shd w:val="clear" w:color="auto" w:fill="auto"/>
            <w:vAlign w:val="center"/>
            <w:hideMark/>
          </w:tcPr>
          <w:p w14:paraId="0DAAE10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Publicidad y propaganda</w:t>
            </w:r>
          </w:p>
        </w:tc>
        <w:tc>
          <w:tcPr>
            <w:tcW w:w="709" w:type="dxa"/>
            <w:tcBorders>
              <w:top w:val="nil"/>
              <w:left w:val="nil"/>
              <w:bottom w:val="single" w:sz="4" w:space="0" w:color="000000"/>
              <w:right w:val="single" w:sz="4" w:space="0" w:color="000000"/>
            </w:tcBorders>
            <w:shd w:val="clear" w:color="auto" w:fill="auto"/>
            <w:vAlign w:val="center"/>
            <w:hideMark/>
          </w:tcPr>
          <w:p w14:paraId="6F87E95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4C107F7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FF784B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45AA99E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486E1E68"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D9E49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63 - Suscripciones</w:t>
            </w:r>
          </w:p>
        </w:tc>
        <w:tc>
          <w:tcPr>
            <w:tcW w:w="444" w:type="dxa"/>
            <w:tcBorders>
              <w:top w:val="nil"/>
              <w:left w:val="nil"/>
              <w:bottom w:val="single" w:sz="4" w:space="0" w:color="000000"/>
              <w:right w:val="single" w:sz="4" w:space="0" w:color="000000"/>
            </w:tcBorders>
            <w:shd w:val="clear" w:color="auto" w:fill="auto"/>
            <w:vAlign w:val="center"/>
            <w:hideMark/>
          </w:tcPr>
          <w:p w14:paraId="4C70AD1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A-2-0-4-7-5</w:t>
            </w:r>
          </w:p>
        </w:tc>
        <w:tc>
          <w:tcPr>
            <w:tcW w:w="978" w:type="dxa"/>
            <w:tcBorders>
              <w:top w:val="nil"/>
              <w:left w:val="nil"/>
              <w:bottom w:val="single" w:sz="4" w:space="0" w:color="000000"/>
              <w:right w:val="single" w:sz="4" w:space="0" w:color="000000"/>
            </w:tcBorders>
            <w:shd w:val="clear" w:color="auto" w:fill="auto"/>
            <w:vAlign w:val="center"/>
            <w:hideMark/>
          </w:tcPr>
          <w:p w14:paraId="19ACB8A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Suscripciones</w:t>
            </w:r>
          </w:p>
        </w:tc>
        <w:tc>
          <w:tcPr>
            <w:tcW w:w="567" w:type="dxa"/>
            <w:tcBorders>
              <w:top w:val="nil"/>
              <w:left w:val="nil"/>
              <w:bottom w:val="single" w:sz="4" w:space="0" w:color="000000"/>
              <w:right w:val="single" w:sz="4" w:space="0" w:color="000000"/>
            </w:tcBorders>
            <w:shd w:val="clear" w:color="auto" w:fill="auto"/>
            <w:vAlign w:val="center"/>
            <w:hideMark/>
          </w:tcPr>
          <w:p w14:paraId="12339C3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0FD4F8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70E20FC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2B83C4D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7923690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5E806A0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249026001</w:t>
            </w:r>
          </w:p>
        </w:tc>
        <w:tc>
          <w:tcPr>
            <w:tcW w:w="708" w:type="dxa"/>
            <w:tcBorders>
              <w:top w:val="nil"/>
              <w:left w:val="nil"/>
              <w:bottom w:val="single" w:sz="4" w:space="0" w:color="000000"/>
              <w:right w:val="single" w:sz="4" w:space="0" w:color="000000"/>
            </w:tcBorders>
            <w:shd w:val="clear" w:color="auto" w:fill="auto"/>
            <w:vAlign w:val="center"/>
            <w:hideMark/>
          </w:tcPr>
          <w:p w14:paraId="7F71B6D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Suscripciones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88107F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191B53E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D471831"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39147A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63 - Suscripciones</w:t>
            </w:r>
          </w:p>
        </w:tc>
        <w:tc>
          <w:tcPr>
            <w:tcW w:w="444" w:type="dxa"/>
            <w:tcBorders>
              <w:top w:val="nil"/>
              <w:left w:val="nil"/>
              <w:bottom w:val="single" w:sz="4" w:space="0" w:color="000000"/>
              <w:right w:val="single" w:sz="4" w:space="0" w:color="000000"/>
            </w:tcBorders>
            <w:shd w:val="clear" w:color="auto" w:fill="auto"/>
            <w:vAlign w:val="center"/>
            <w:hideMark/>
          </w:tcPr>
          <w:p w14:paraId="3777DE7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A-2-0-4-7-5</w:t>
            </w:r>
          </w:p>
        </w:tc>
        <w:tc>
          <w:tcPr>
            <w:tcW w:w="978" w:type="dxa"/>
            <w:tcBorders>
              <w:top w:val="nil"/>
              <w:left w:val="nil"/>
              <w:bottom w:val="single" w:sz="4" w:space="0" w:color="000000"/>
              <w:right w:val="single" w:sz="4" w:space="0" w:color="000000"/>
            </w:tcBorders>
            <w:shd w:val="clear" w:color="auto" w:fill="auto"/>
            <w:vAlign w:val="center"/>
            <w:hideMark/>
          </w:tcPr>
          <w:p w14:paraId="0C9F3A0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Suscripciones</w:t>
            </w:r>
          </w:p>
        </w:tc>
        <w:tc>
          <w:tcPr>
            <w:tcW w:w="567" w:type="dxa"/>
            <w:tcBorders>
              <w:top w:val="nil"/>
              <w:left w:val="nil"/>
              <w:bottom w:val="single" w:sz="4" w:space="0" w:color="000000"/>
              <w:right w:val="single" w:sz="4" w:space="0" w:color="000000"/>
            </w:tcBorders>
            <w:shd w:val="clear" w:color="auto" w:fill="auto"/>
            <w:vAlign w:val="center"/>
            <w:hideMark/>
          </w:tcPr>
          <w:p w14:paraId="5382D9F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5DF1B3D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1C8E609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1D1CF80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511121001</w:t>
            </w:r>
          </w:p>
        </w:tc>
        <w:tc>
          <w:tcPr>
            <w:tcW w:w="1120" w:type="dxa"/>
            <w:tcBorders>
              <w:top w:val="nil"/>
              <w:left w:val="nil"/>
              <w:bottom w:val="single" w:sz="4" w:space="0" w:color="000000"/>
              <w:right w:val="single" w:sz="4" w:space="0" w:color="000000"/>
            </w:tcBorders>
            <w:shd w:val="clear" w:color="auto" w:fill="auto"/>
            <w:vAlign w:val="center"/>
            <w:hideMark/>
          </w:tcPr>
          <w:p w14:paraId="7B64A0C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Impresos, publicaciones, suscripciones y afiliaciones</w:t>
            </w:r>
          </w:p>
        </w:tc>
        <w:tc>
          <w:tcPr>
            <w:tcW w:w="709" w:type="dxa"/>
            <w:tcBorders>
              <w:top w:val="nil"/>
              <w:left w:val="nil"/>
              <w:bottom w:val="single" w:sz="4" w:space="0" w:color="000000"/>
              <w:right w:val="single" w:sz="4" w:space="0" w:color="000000"/>
            </w:tcBorders>
            <w:shd w:val="clear" w:color="auto" w:fill="auto"/>
            <w:vAlign w:val="center"/>
            <w:hideMark/>
          </w:tcPr>
          <w:p w14:paraId="5E77CF0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249026001</w:t>
            </w:r>
          </w:p>
        </w:tc>
        <w:tc>
          <w:tcPr>
            <w:tcW w:w="708" w:type="dxa"/>
            <w:tcBorders>
              <w:top w:val="nil"/>
              <w:left w:val="nil"/>
              <w:bottom w:val="single" w:sz="4" w:space="0" w:color="000000"/>
              <w:right w:val="single" w:sz="4" w:space="0" w:color="000000"/>
            </w:tcBorders>
            <w:shd w:val="clear" w:color="auto" w:fill="auto"/>
            <w:vAlign w:val="center"/>
            <w:hideMark/>
          </w:tcPr>
          <w:p w14:paraId="354DFAF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Suscripciones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0BA18AC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4F55E53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3882819A"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1B77E5E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61BB50B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A-2-0-4-7-6</w:t>
            </w:r>
          </w:p>
        </w:tc>
        <w:tc>
          <w:tcPr>
            <w:tcW w:w="978" w:type="dxa"/>
            <w:tcBorders>
              <w:top w:val="nil"/>
              <w:left w:val="nil"/>
              <w:bottom w:val="single" w:sz="4" w:space="0" w:color="000000"/>
              <w:right w:val="single" w:sz="4" w:space="0" w:color="000000"/>
            </w:tcBorders>
            <w:shd w:val="clear" w:color="auto" w:fill="auto"/>
            <w:vAlign w:val="center"/>
            <w:hideMark/>
          </w:tcPr>
          <w:p w14:paraId="6A14641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gastos por impresos y publicaciones</w:t>
            </w:r>
          </w:p>
        </w:tc>
        <w:tc>
          <w:tcPr>
            <w:tcW w:w="567" w:type="dxa"/>
            <w:tcBorders>
              <w:top w:val="nil"/>
              <w:left w:val="nil"/>
              <w:bottom w:val="single" w:sz="4" w:space="0" w:color="000000"/>
              <w:right w:val="single" w:sz="4" w:space="0" w:color="000000"/>
            </w:tcBorders>
            <w:shd w:val="clear" w:color="auto" w:fill="auto"/>
            <w:vAlign w:val="center"/>
            <w:hideMark/>
          </w:tcPr>
          <w:p w14:paraId="2B5141A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750F92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2872A08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084918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511121001</w:t>
            </w:r>
          </w:p>
        </w:tc>
        <w:tc>
          <w:tcPr>
            <w:tcW w:w="1120" w:type="dxa"/>
            <w:tcBorders>
              <w:top w:val="nil"/>
              <w:left w:val="nil"/>
              <w:bottom w:val="single" w:sz="4" w:space="0" w:color="000000"/>
              <w:right w:val="single" w:sz="4" w:space="0" w:color="000000"/>
            </w:tcBorders>
            <w:shd w:val="clear" w:color="auto" w:fill="auto"/>
            <w:vAlign w:val="center"/>
            <w:hideMark/>
          </w:tcPr>
          <w:p w14:paraId="08D02DB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Impresos, publicaciones, suscripciones y afiliaciones</w:t>
            </w:r>
          </w:p>
        </w:tc>
        <w:tc>
          <w:tcPr>
            <w:tcW w:w="709" w:type="dxa"/>
            <w:tcBorders>
              <w:top w:val="nil"/>
              <w:left w:val="nil"/>
              <w:bottom w:val="single" w:sz="4" w:space="0" w:color="000000"/>
              <w:right w:val="single" w:sz="4" w:space="0" w:color="000000"/>
            </w:tcBorders>
            <w:shd w:val="clear" w:color="auto" w:fill="auto"/>
            <w:vAlign w:val="center"/>
            <w:hideMark/>
          </w:tcPr>
          <w:p w14:paraId="357632A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1282D9F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0F168C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084E223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61CC7D0"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01B2B59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3FECD74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A-2-0-4-7-6</w:t>
            </w:r>
          </w:p>
        </w:tc>
        <w:tc>
          <w:tcPr>
            <w:tcW w:w="978" w:type="dxa"/>
            <w:tcBorders>
              <w:top w:val="nil"/>
              <w:left w:val="nil"/>
              <w:bottom w:val="single" w:sz="4" w:space="0" w:color="000000"/>
              <w:right w:val="single" w:sz="4" w:space="0" w:color="000000"/>
            </w:tcBorders>
            <w:shd w:val="clear" w:color="auto" w:fill="auto"/>
            <w:vAlign w:val="center"/>
            <w:hideMark/>
          </w:tcPr>
          <w:p w14:paraId="7C0C1AA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gastos por impresos y publicaciones</w:t>
            </w:r>
          </w:p>
        </w:tc>
        <w:tc>
          <w:tcPr>
            <w:tcW w:w="567" w:type="dxa"/>
            <w:tcBorders>
              <w:top w:val="nil"/>
              <w:left w:val="nil"/>
              <w:bottom w:val="single" w:sz="4" w:space="0" w:color="000000"/>
              <w:right w:val="single" w:sz="4" w:space="0" w:color="000000"/>
            </w:tcBorders>
            <w:shd w:val="clear" w:color="auto" w:fill="auto"/>
            <w:vAlign w:val="center"/>
            <w:hideMark/>
          </w:tcPr>
          <w:p w14:paraId="7766A72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38271EA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4 - Mercancías en existencia</w:t>
            </w:r>
          </w:p>
        </w:tc>
        <w:tc>
          <w:tcPr>
            <w:tcW w:w="460" w:type="dxa"/>
            <w:tcBorders>
              <w:top w:val="nil"/>
              <w:left w:val="nil"/>
              <w:bottom w:val="single" w:sz="4" w:space="0" w:color="000000"/>
              <w:right w:val="single" w:sz="4" w:space="0" w:color="000000"/>
            </w:tcBorders>
            <w:shd w:val="clear" w:color="auto" w:fill="auto"/>
            <w:vAlign w:val="center"/>
            <w:hideMark/>
          </w:tcPr>
          <w:p w14:paraId="4FD0531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060FC84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151004001</w:t>
            </w:r>
          </w:p>
        </w:tc>
        <w:tc>
          <w:tcPr>
            <w:tcW w:w="1120" w:type="dxa"/>
            <w:tcBorders>
              <w:top w:val="nil"/>
              <w:left w:val="nil"/>
              <w:bottom w:val="single" w:sz="4" w:space="0" w:color="000000"/>
              <w:right w:val="single" w:sz="4" w:space="0" w:color="000000"/>
            </w:tcBorders>
            <w:shd w:val="clear" w:color="auto" w:fill="auto"/>
            <w:vAlign w:val="center"/>
            <w:hideMark/>
          </w:tcPr>
          <w:p w14:paraId="26835DD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Impresos y publicaciones</w:t>
            </w:r>
          </w:p>
        </w:tc>
        <w:tc>
          <w:tcPr>
            <w:tcW w:w="709" w:type="dxa"/>
            <w:tcBorders>
              <w:top w:val="nil"/>
              <w:left w:val="nil"/>
              <w:bottom w:val="single" w:sz="4" w:space="0" w:color="000000"/>
              <w:right w:val="single" w:sz="4" w:space="0" w:color="000000"/>
            </w:tcBorders>
            <w:shd w:val="clear" w:color="auto" w:fill="auto"/>
            <w:vAlign w:val="center"/>
            <w:hideMark/>
          </w:tcPr>
          <w:p w14:paraId="18B3688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35BDED1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523C7FD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76012CB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EA9A121"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392A48E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15 - Adquisición de Bienes y Servicios Nacionales</w:t>
            </w:r>
          </w:p>
        </w:tc>
        <w:tc>
          <w:tcPr>
            <w:tcW w:w="444" w:type="dxa"/>
            <w:tcBorders>
              <w:top w:val="nil"/>
              <w:left w:val="nil"/>
              <w:bottom w:val="single" w:sz="4" w:space="0" w:color="000000"/>
              <w:right w:val="single" w:sz="4" w:space="0" w:color="000000"/>
            </w:tcBorders>
            <w:shd w:val="clear" w:color="auto" w:fill="auto"/>
            <w:vAlign w:val="center"/>
            <w:hideMark/>
          </w:tcPr>
          <w:p w14:paraId="263BDE0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A-2-0-4-7-6</w:t>
            </w:r>
          </w:p>
        </w:tc>
        <w:tc>
          <w:tcPr>
            <w:tcW w:w="978" w:type="dxa"/>
            <w:tcBorders>
              <w:top w:val="nil"/>
              <w:left w:val="nil"/>
              <w:bottom w:val="single" w:sz="4" w:space="0" w:color="000000"/>
              <w:right w:val="single" w:sz="4" w:space="0" w:color="000000"/>
            </w:tcBorders>
            <w:shd w:val="clear" w:color="auto" w:fill="auto"/>
            <w:vAlign w:val="center"/>
            <w:hideMark/>
          </w:tcPr>
          <w:p w14:paraId="61C15BA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gastos por impresos y publicaciones</w:t>
            </w:r>
          </w:p>
        </w:tc>
        <w:tc>
          <w:tcPr>
            <w:tcW w:w="567" w:type="dxa"/>
            <w:tcBorders>
              <w:top w:val="nil"/>
              <w:left w:val="nil"/>
              <w:bottom w:val="single" w:sz="4" w:space="0" w:color="000000"/>
              <w:right w:val="single" w:sz="4" w:space="0" w:color="000000"/>
            </w:tcBorders>
            <w:shd w:val="clear" w:color="auto" w:fill="auto"/>
            <w:vAlign w:val="center"/>
            <w:hideMark/>
          </w:tcPr>
          <w:p w14:paraId="51E6F15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23C542E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61A3E5B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7B082D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7999028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7E03796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240101001</w:t>
            </w:r>
          </w:p>
        </w:tc>
        <w:tc>
          <w:tcPr>
            <w:tcW w:w="708" w:type="dxa"/>
            <w:tcBorders>
              <w:top w:val="nil"/>
              <w:left w:val="nil"/>
              <w:bottom w:val="single" w:sz="4" w:space="0" w:color="000000"/>
              <w:right w:val="single" w:sz="4" w:space="0" w:color="000000"/>
            </w:tcBorders>
            <w:shd w:val="clear" w:color="auto" w:fill="auto"/>
            <w:vAlign w:val="center"/>
            <w:hideMark/>
          </w:tcPr>
          <w:p w14:paraId="6655DF8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Bienes y 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076C256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5AE42D4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6E22F3C"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C9772D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691E562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A-2-0-4-8-1</w:t>
            </w:r>
          </w:p>
        </w:tc>
        <w:tc>
          <w:tcPr>
            <w:tcW w:w="978" w:type="dxa"/>
            <w:tcBorders>
              <w:top w:val="nil"/>
              <w:left w:val="nil"/>
              <w:bottom w:val="single" w:sz="4" w:space="0" w:color="000000"/>
              <w:right w:val="single" w:sz="4" w:space="0" w:color="000000"/>
            </w:tcBorders>
            <w:shd w:val="clear" w:color="auto" w:fill="auto"/>
            <w:vAlign w:val="center"/>
            <w:hideMark/>
          </w:tcPr>
          <w:p w14:paraId="4BDB4BF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Acueducto alcantarillado y aseo</w:t>
            </w:r>
          </w:p>
        </w:tc>
        <w:tc>
          <w:tcPr>
            <w:tcW w:w="567" w:type="dxa"/>
            <w:tcBorders>
              <w:top w:val="nil"/>
              <w:left w:val="nil"/>
              <w:bottom w:val="single" w:sz="4" w:space="0" w:color="000000"/>
              <w:right w:val="single" w:sz="4" w:space="0" w:color="000000"/>
            </w:tcBorders>
            <w:shd w:val="clear" w:color="auto" w:fill="auto"/>
            <w:vAlign w:val="center"/>
            <w:hideMark/>
          </w:tcPr>
          <w:p w14:paraId="36FF097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11C05C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5B16AFC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10627BA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2D2F648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0E30703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734E2B1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18D8499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3C8C8BF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00FDE75D"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5E3B0CF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1A6CC5B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A-2-0-4-8-2</w:t>
            </w:r>
          </w:p>
        </w:tc>
        <w:tc>
          <w:tcPr>
            <w:tcW w:w="978" w:type="dxa"/>
            <w:tcBorders>
              <w:top w:val="nil"/>
              <w:left w:val="nil"/>
              <w:bottom w:val="single" w:sz="4" w:space="0" w:color="000000"/>
              <w:right w:val="single" w:sz="4" w:space="0" w:color="000000"/>
            </w:tcBorders>
            <w:shd w:val="clear" w:color="auto" w:fill="auto"/>
            <w:vAlign w:val="center"/>
            <w:hideMark/>
          </w:tcPr>
          <w:p w14:paraId="59EA6FA6"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Energía</w:t>
            </w:r>
          </w:p>
        </w:tc>
        <w:tc>
          <w:tcPr>
            <w:tcW w:w="567" w:type="dxa"/>
            <w:tcBorders>
              <w:top w:val="nil"/>
              <w:left w:val="nil"/>
              <w:bottom w:val="single" w:sz="4" w:space="0" w:color="000000"/>
              <w:right w:val="single" w:sz="4" w:space="0" w:color="000000"/>
            </w:tcBorders>
            <w:shd w:val="clear" w:color="auto" w:fill="auto"/>
            <w:vAlign w:val="center"/>
            <w:hideMark/>
          </w:tcPr>
          <w:p w14:paraId="11CA0F8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0FC311F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49956C6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046D6BD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74CDD8B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17FFA94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460D65F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0B0D09B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0E3ACE0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397CC68A"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27A19CF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7E0ED8A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A-2-0-4-8-2</w:t>
            </w:r>
          </w:p>
        </w:tc>
        <w:tc>
          <w:tcPr>
            <w:tcW w:w="978" w:type="dxa"/>
            <w:tcBorders>
              <w:top w:val="nil"/>
              <w:left w:val="nil"/>
              <w:bottom w:val="single" w:sz="4" w:space="0" w:color="000000"/>
              <w:right w:val="single" w:sz="4" w:space="0" w:color="000000"/>
            </w:tcBorders>
            <w:shd w:val="clear" w:color="auto" w:fill="auto"/>
            <w:vAlign w:val="center"/>
            <w:hideMark/>
          </w:tcPr>
          <w:p w14:paraId="1A9AD48E"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Energía</w:t>
            </w:r>
          </w:p>
        </w:tc>
        <w:tc>
          <w:tcPr>
            <w:tcW w:w="567" w:type="dxa"/>
            <w:tcBorders>
              <w:top w:val="nil"/>
              <w:left w:val="nil"/>
              <w:bottom w:val="single" w:sz="4" w:space="0" w:color="000000"/>
              <w:right w:val="single" w:sz="4" w:space="0" w:color="000000"/>
            </w:tcBorders>
            <w:shd w:val="clear" w:color="auto" w:fill="auto"/>
            <w:vAlign w:val="center"/>
            <w:hideMark/>
          </w:tcPr>
          <w:p w14:paraId="40D8FEE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5FB81AB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22 - Gastos de administración y operación-Impuestos, contribuciones y tasas</w:t>
            </w:r>
          </w:p>
        </w:tc>
        <w:tc>
          <w:tcPr>
            <w:tcW w:w="460" w:type="dxa"/>
            <w:tcBorders>
              <w:top w:val="nil"/>
              <w:left w:val="nil"/>
              <w:bottom w:val="single" w:sz="4" w:space="0" w:color="000000"/>
              <w:right w:val="single" w:sz="4" w:space="0" w:color="000000"/>
            </w:tcBorders>
            <w:shd w:val="clear" w:color="auto" w:fill="auto"/>
            <w:vAlign w:val="center"/>
            <w:hideMark/>
          </w:tcPr>
          <w:p w14:paraId="34E6CCA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1546168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512090001</w:t>
            </w:r>
          </w:p>
        </w:tc>
        <w:tc>
          <w:tcPr>
            <w:tcW w:w="1120" w:type="dxa"/>
            <w:tcBorders>
              <w:top w:val="nil"/>
              <w:left w:val="nil"/>
              <w:bottom w:val="single" w:sz="4" w:space="0" w:color="000000"/>
              <w:right w:val="single" w:sz="4" w:space="0" w:color="000000"/>
            </w:tcBorders>
            <w:shd w:val="clear" w:color="auto" w:fill="auto"/>
            <w:vAlign w:val="center"/>
            <w:hideMark/>
          </w:tcPr>
          <w:p w14:paraId="3CDA4C0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impuestos, contribuciones y tasas</w:t>
            </w:r>
          </w:p>
        </w:tc>
        <w:tc>
          <w:tcPr>
            <w:tcW w:w="709" w:type="dxa"/>
            <w:tcBorders>
              <w:top w:val="nil"/>
              <w:left w:val="nil"/>
              <w:bottom w:val="single" w:sz="4" w:space="0" w:color="000000"/>
              <w:right w:val="single" w:sz="4" w:space="0" w:color="000000"/>
            </w:tcBorders>
            <w:shd w:val="clear" w:color="auto" w:fill="auto"/>
            <w:vAlign w:val="center"/>
            <w:hideMark/>
          </w:tcPr>
          <w:p w14:paraId="1DA3510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1D67708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453AFE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398EE1E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05A0573"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02D9666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6939BE0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A-2-0-4-8-3</w:t>
            </w:r>
          </w:p>
        </w:tc>
        <w:tc>
          <w:tcPr>
            <w:tcW w:w="978" w:type="dxa"/>
            <w:tcBorders>
              <w:top w:val="nil"/>
              <w:left w:val="nil"/>
              <w:bottom w:val="single" w:sz="4" w:space="0" w:color="000000"/>
              <w:right w:val="single" w:sz="4" w:space="0" w:color="000000"/>
            </w:tcBorders>
            <w:shd w:val="clear" w:color="auto" w:fill="auto"/>
            <w:vAlign w:val="center"/>
            <w:hideMark/>
          </w:tcPr>
          <w:p w14:paraId="673BF91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Gas natural</w:t>
            </w:r>
          </w:p>
        </w:tc>
        <w:tc>
          <w:tcPr>
            <w:tcW w:w="567" w:type="dxa"/>
            <w:tcBorders>
              <w:top w:val="nil"/>
              <w:left w:val="nil"/>
              <w:bottom w:val="single" w:sz="4" w:space="0" w:color="000000"/>
              <w:right w:val="single" w:sz="4" w:space="0" w:color="000000"/>
            </w:tcBorders>
            <w:shd w:val="clear" w:color="auto" w:fill="auto"/>
            <w:vAlign w:val="center"/>
            <w:hideMark/>
          </w:tcPr>
          <w:p w14:paraId="02D0FE4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26B8498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06E9A86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CEF02B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0846F06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248190C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199C420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1A9E5D5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4870898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00129E3E"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388FBFB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7DBB303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A-2-0-4-8-4</w:t>
            </w:r>
          </w:p>
        </w:tc>
        <w:tc>
          <w:tcPr>
            <w:tcW w:w="978" w:type="dxa"/>
            <w:tcBorders>
              <w:top w:val="nil"/>
              <w:left w:val="nil"/>
              <w:bottom w:val="single" w:sz="4" w:space="0" w:color="000000"/>
              <w:right w:val="single" w:sz="4" w:space="0" w:color="000000"/>
            </w:tcBorders>
            <w:shd w:val="clear" w:color="auto" w:fill="auto"/>
            <w:vAlign w:val="center"/>
            <w:hideMark/>
          </w:tcPr>
          <w:p w14:paraId="113497A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Instalación y traslado de líneas telefónicas</w:t>
            </w:r>
          </w:p>
        </w:tc>
        <w:tc>
          <w:tcPr>
            <w:tcW w:w="567" w:type="dxa"/>
            <w:tcBorders>
              <w:top w:val="nil"/>
              <w:left w:val="nil"/>
              <w:bottom w:val="single" w:sz="4" w:space="0" w:color="000000"/>
              <w:right w:val="single" w:sz="4" w:space="0" w:color="000000"/>
            </w:tcBorders>
            <w:shd w:val="clear" w:color="auto" w:fill="auto"/>
            <w:vAlign w:val="center"/>
            <w:hideMark/>
          </w:tcPr>
          <w:p w14:paraId="29AB939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364A46E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5A8FAC9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4DDFDE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6362F60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6684C28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0E27B56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466C34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155F321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B88743A"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654D4ED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75 - Servicios</w:t>
            </w:r>
          </w:p>
        </w:tc>
        <w:tc>
          <w:tcPr>
            <w:tcW w:w="444" w:type="dxa"/>
            <w:tcBorders>
              <w:top w:val="nil"/>
              <w:left w:val="nil"/>
              <w:bottom w:val="single" w:sz="4" w:space="0" w:color="000000"/>
              <w:right w:val="single" w:sz="4" w:space="0" w:color="000000"/>
            </w:tcBorders>
            <w:shd w:val="clear" w:color="auto" w:fill="auto"/>
            <w:vAlign w:val="center"/>
            <w:hideMark/>
          </w:tcPr>
          <w:p w14:paraId="61D78A2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A-2-0-4-8-4</w:t>
            </w:r>
          </w:p>
        </w:tc>
        <w:tc>
          <w:tcPr>
            <w:tcW w:w="978" w:type="dxa"/>
            <w:tcBorders>
              <w:top w:val="nil"/>
              <w:left w:val="nil"/>
              <w:bottom w:val="single" w:sz="4" w:space="0" w:color="000000"/>
              <w:right w:val="single" w:sz="4" w:space="0" w:color="000000"/>
            </w:tcBorders>
            <w:shd w:val="clear" w:color="auto" w:fill="auto"/>
            <w:vAlign w:val="center"/>
            <w:hideMark/>
          </w:tcPr>
          <w:p w14:paraId="24DB79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Instalación y traslado de líneas telefónicas</w:t>
            </w:r>
          </w:p>
        </w:tc>
        <w:tc>
          <w:tcPr>
            <w:tcW w:w="567" w:type="dxa"/>
            <w:tcBorders>
              <w:top w:val="nil"/>
              <w:left w:val="nil"/>
              <w:bottom w:val="single" w:sz="4" w:space="0" w:color="000000"/>
              <w:right w:val="single" w:sz="4" w:space="0" w:color="000000"/>
            </w:tcBorders>
            <w:shd w:val="clear" w:color="auto" w:fill="auto"/>
            <w:vAlign w:val="center"/>
            <w:hideMark/>
          </w:tcPr>
          <w:p w14:paraId="12CAFEE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10A0FCB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0B0CDA4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071F3DD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511115001</w:t>
            </w:r>
          </w:p>
        </w:tc>
        <w:tc>
          <w:tcPr>
            <w:tcW w:w="1120" w:type="dxa"/>
            <w:tcBorders>
              <w:top w:val="nil"/>
              <w:left w:val="nil"/>
              <w:bottom w:val="single" w:sz="4" w:space="0" w:color="000000"/>
              <w:right w:val="single" w:sz="4" w:space="0" w:color="000000"/>
            </w:tcBorders>
            <w:shd w:val="clear" w:color="auto" w:fill="auto"/>
            <w:vAlign w:val="center"/>
            <w:hideMark/>
          </w:tcPr>
          <w:p w14:paraId="5494761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Mantenimiento</w:t>
            </w:r>
          </w:p>
        </w:tc>
        <w:tc>
          <w:tcPr>
            <w:tcW w:w="709" w:type="dxa"/>
            <w:tcBorders>
              <w:top w:val="nil"/>
              <w:left w:val="nil"/>
              <w:bottom w:val="single" w:sz="4" w:space="0" w:color="000000"/>
              <w:right w:val="single" w:sz="4" w:space="0" w:color="000000"/>
            </w:tcBorders>
            <w:shd w:val="clear" w:color="auto" w:fill="auto"/>
            <w:vAlign w:val="center"/>
            <w:hideMark/>
          </w:tcPr>
          <w:p w14:paraId="5E82218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249055001</w:t>
            </w:r>
          </w:p>
        </w:tc>
        <w:tc>
          <w:tcPr>
            <w:tcW w:w="708" w:type="dxa"/>
            <w:tcBorders>
              <w:top w:val="nil"/>
              <w:left w:val="nil"/>
              <w:bottom w:val="single" w:sz="4" w:space="0" w:color="000000"/>
              <w:right w:val="single" w:sz="4" w:space="0" w:color="000000"/>
            </w:tcBorders>
            <w:shd w:val="clear" w:color="auto" w:fill="auto"/>
            <w:vAlign w:val="center"/>
            <w:hideMark/>
          </w:tcPr>
          <w:p w14:paraId="414DDA9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62C8A24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4607926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462F5EAE"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2CDFA3B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1A99A59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A-2-0-4-8-5</w:t>
            </w:r>
          </w:p>
        </w:tc>
        <w:tc>
          <w:tcPr>
            <w:tcW w:w="978" w:type="dxa"/>
            <w:tcBorders>
              <w:top w:val="nil"/>
              <w:left w:val="nil"/>
              <w:bottom w:val="single" w:sz="4" w:space="0" w:color="000000"/>
              <w:right w:val="single" w:sz="4" w:space="0" w:color="000000"/>
            </w:tcBorders>
            <w:shd w:val="clear" w:color="auto" w:fill="auto"/>
            <w:vAlign w:val="center"/>
            <w:hideMark/>
          </w:tcPr>
          <w:p w14:paraId="1372451C"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Telefonía</w:t>
            </w:r>
            <w:r w:rsidR="00374C40" w:rsidRPr="00676199">
              <w:rPr>
                <w:rFonts w:ascii="Calibri" w:hAnsi="Calibri"/>
                <w:color w:val="000000"/>
                <w:sz w:val="12"/>
                <w:szCs w:val="12"/>
                <w:lang w:val="es-CO" w:eastAsia="es-CO"/>
              </w:rPr>
              <w:t xml:space="preserve"> </w:t>
            </w:r>
            <w:r w:rsidRPr="00676199">
              <w:rPr>
                <w:rFonts w:ascii="Calibri" w:hAnsi="Calibri"/>
                <w:color w:val="000000"/>
                <w:sz w:val="12"/>
                <w:szCs w:val="12"/>
                <w:lang w:val="es-CO" w:eastAsia="es-CO"/>
              </w:rPr>
              <w:t>móvil</w:t>
            </w:r>
            <w:r w:rsidR="00374C40" w:rsidRPr="00676199">
              <w:rPr>
                <w:rFonts w:ascii="Calibri" w:hAnsi="Calibri"/>
                <w:color w:val="000000"/>
                <w:sz w:val="12"/>
                <w:szCs w:val="12"/>
                <w:lang w:val="es-CO" w:eastAsia="es-CO"/>
              </w:rPr>
              <w:t xml:space="preserve"> celular</w:t>
            </w:r>
          </w:p>
        </w:tc>
        <w:tc>
          <w:tcPr>
            <w:tcW w:w="567" w:type="dxa"/>
            <w:tcBorders>
              <w:top w:val="nil"/>
              <w:left w:val="nil"/>
              <w:bottom w:val="single" w:sz="4" w:space="0" w:color="000000"/>
              <w:right w:val="single" w:sz="4" w:space="0" w:color="000000"/>
            </w:tcBorders>
            <w:shd w:val="clear" w:color="auto" w:fill="auto"/>
            <w:vAlign w:val="center"/>
            <w:hideMark/>
          </w:tcPr>
          <w:p w14:paraId="21D1FFF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10547FF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14BD0DA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33C195F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24A3C7F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3A3B9D1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1C06119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FDE657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01E841C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1F6568A3"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225023B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7775E5A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A-2-0-4-8-5</w:t>
            </w:r>
          </w:p>
        </w:tc>
        <w:tc>
          <w:tcPr>
            <w:tcW w:w="978" w:type="dxa"/>
            <w:tcBorders>
              <w:top w:val="nil"/>
              <w:left w:val="nil"/>
              <w:bottom w:val="single" w:sz="4" w:space="0" w:color="000000"/>
              <w:right w:val="single" w:sz="4" w:space="0" w:color="000000"/>
            </w:tcBorders>
            <w:shd w:val="clear" w:color="auto" w:fill="auto"/>
            <w:vAlign w:val="center"/>
            <w:hideMark/>
          </w:tcPr>
          <w:p w14:paraId="00F9671C"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Telefonía</w:t>
            </w:r>
            <w:r w:rsidR="00374C40" w:rsidRPr="00676199">
              <w:rPr>
                <w:rFonts w:ascii="Calibri" w:hAnsi="Calibri"/>
                <w:color w:val="000000"/>
                <w:sz w:val="12"/>
                <w:szCs w:val="12"/>
                <w:lang w:val="es-CO" w:eastAsia="es-CO"/>
              </w:rPr>
              <w:t xml:space="preserve"> </w:t>
            </w:r>
            <w:r w:rsidRPr="00676199">
              <w:rPr>
                <w:rFonts w:ascii="Calibri" w:hAnsi="Calibri"/>
                <w:color w:val="000000"/>
                <w:sz w:val="12"/>
                <w:szCs w:val="12"/>
                <w:lang w:val="es-CO" w:eastAsia="es-CO"/>
              </w:rPr>
              <w:t>móvil</w:t>
            </w:r>
            <w:r w:rsidR="00374C40" w:rsidRPr="00676199">
              <w:rPr>
                <w:rFonts w:ascii="Calibri" w:hAnsi="Calibri"/>
                <w:color w:val="000000"/>
                <w:sz w:val="12"/>
                <w:szCs w:val="12"/>
                <w:lang w:val="es-CO" w:eastAsia="es-CO"/>
              </w:rPr>
              <w:t xml:space="preserve"> celular</w:t>
            </w:r>
          </w:p>
        </w:tc>
        <w:tc>
          <w:tcPr>
            <w:tcW w:w="567" w:type="dxa"/>
            <w:tcBorders>
              <w:top w:val="nil"/>
              <w:left w:val="nil"/>
              <w:bottom w:val="single" w:sz="4" w:space="0" w:color="000000"/>
              <w:right w:val="single" w:sz="4" w:space="0" w:color="000000"/>
            </w:tcBorders>
            <w:shd w:val="clear" w:color="auto" w:fill="auto"/>
            <w:vAlign w:val="center"/>
            <w:hideMark/>
          </w:tcPr>
          <w:p w14:paraId="7AF54C7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2F82C93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476E4ED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DD49F9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10FA86B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760F233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3DC72E8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1D4FDAD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1B8A302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A07F58B"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106BF85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192364F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A-2-0-4-8-6</w:t>
            </w:r>
          </w:p>
        </w:tc>
        <w:tc>
          <w:tcPr>
            <w:tcW w:w="978" w:type="dxa"/>
            <w:tcBorders>
              <w:top w:val="nil"/>
              <w:left w:val="nil"/>
              <w:bottom w:val="single" w:sz="4" w:space="0" w:color="000000"/>
              <w:right w:val="single" w:sz="4" w:space="0" w:color="000000"/>
            </w:tcBorders>
            <w:shd w:val="clear" w:color="auto" w:fill="auto"/>
            <w:vAlign w:val="center"/>
            <w:hideMark/>
          </w:tcPr>
          <w:p w14:paraId="7DE45FFE"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Teléfono</w:t>
            </w:r>
            <w:r w:rsidR="00374C40" w:rsidRPr="00676199">
              <w:rPr>
                <w:rFonts w:ascii="Calibri" w:hAnsi="Calibri"/>
                <w:color w:val="000000"/>
                <w:sz w:val="12"/>
                <w:szCs w:val="12"/>
                <w:lang w:val="es-CO" w:eastAsia="es-CO"/>
              </w:rPr>
              <w:t>,</w:t>
            </w:r>
            <w:r>
              <w:rPr>
                <w:rFonts w:ascii="Calibri" w:hAnsi="Calibri"/>
                <w:color w:val="000000"/>
                <w:sz w:val="12"/>
                <w:szCs w:val="12"/>
                <w:lang w:val="es-CO" w:eastAsia="es-CO"/>
              </w:rPr>
              <w:t xml:space="preserve"> </w:t>
            </w:r>
            <w:r w:rsidR="00374C40" w:rsidRPr="00676199">
              <w:rPr>
                <w:rFonts w:ascii="Calibri" w:hAnsi="Calibri"/>
                <w:color w:val="000000"/>
                <w:sz w:val="12"/>
                <w:szCs w:val="12"/>
                <w:lang w:val="es-CO" w:eastAsia="es-CO"/>
              </w:rPr>
              <w:t>fax y otros</w:t>
            </w:r>
          </w:p>
        </w:tc>
        <w:tc>
          <w:tcPr>
            <w:tcW w:w="567" w:type="dxa"/>
            <w:tcBorders>
              <w:top w:val="nil"/>
              <w:left w:val="nil"/>
              <w:bottom w:val="single" w:sz="4" w:space="0" w:color="000000"/>
              <w:right w:val="single" w:sz="4" w:space="0" w:color="000000"/>
            </w:tcBorders>
            <w:shd w:val="clear" w:color="auto" w:fill="auto"/>
            <w:vAlign w:val="center"/>
            <w:hideMark/>
          </w:tcPr>
          <w:p w14:paraId="3D43897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2FC526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04F1DC3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D98DBB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7C31600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proofErr w:type="spellStart"/>
            <w:r w:rsidRPr="00676199">
              <w:rPr>
                <w:rFonts w:ascii="Calibri" w:hAnsi="Calibri"/>
                <w:color w:val="000000"/>
                <w:sz w:val="12"/>
                <w:szCs w:val="12"/>
                <w:lang w:val="es-CO" w:eastAsia="es-CO"/>
              </w:rPr>
              <w:t>iva</w:t>
            </w:r>
            <w:proofErr w:type="spellEnd"/>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0D3EE6D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412B3D7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32E108B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7E19420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1548053"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0E63A30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1F72DD2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A-2-0-4-8-6</w:t>
            </w:r>
          </w:p>
        </w:tc>
        <w:tc>
          <w:tcPr>
            <w:tcW w:w="978" w:type="dxa"/>
            <w:tcBorders>
              <w:top w:val="nil"/>
              <w:left w:val="nil"/>
              <w:bottom w:val="single" w:sz="4" w:space="0" w:color="000000"/>
              <w:right w:val="single" w:sz="4" w:space="0" w:color="000000"/>
            </w:tcBorders>
            <w:shd w:val="clear" w:color="auto" w:fill="auto"/>
            <w:vAlign w:val="center"/>
            <w:hideMark/>
          </w:tcPr>
          <w:p w14:paraId="1499DF55" w14:textId="77777777" w:rsidR="00374C40" w:rsidRPr="00676199" w:rsidRDefault="00D95115"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Teléfono</w:t>
            </w:r>
            <w:r w:rsidR="00374C40" w:rsidRPr="00676199">
              <w:rPr>
                <w:rFonts w:ascii="Calibri" w:hAnsi="Calibri"/>
                <w:color w:val="000000"/>
                <w:sz w:val="12"/>
                <w:szCs w:val="12"/>
                <w:lang w:val="es-CO" w:eastAsia="es-CO"/>
              </w:rPr>
              <w:t>,</w:t>
            </w:r>
            <w:r>
              <w:rPr>
                <w:rFonts w:ascii="Calibri" w:hAnsi="Calibri"/>
                <w:color w:val="000000"/>
                <w:sz w:val="12"/>
                <w:szCs w:val="12"/>
                <w:lang w:val="es-CO" w:eastAsia="es-CO"/>
              </w:rPr>
              <w:t xml:space="preserve"> </w:t>
            </w:r>
            <w:r w:rsidR="00374C40" w:rsidRPr="00676199">
              <w:rPr>
                <w:rFonts w:ascii="Calibri" w:hAnsi="Calibri"/>
                <w:color w:val="000000"/>
                <w:sz w:val="12"/>
                <w:szCs w:val="12"/>
                <w:lang w:val="es-CO" w:eastAsia="es-CO"/>
              </w:rPr>
              <w:t>fax y otros</w:t>
            </w:r>
          </w:p>
        </w:tc>
        <w:tc>
          <w:tcPr>
            <w:tcW w:w="567" w:type="dxa"/>
            <w:tcBorders>
              <w:top w:val="nil"/>
              <w:left w:val="nil"/>
              <w:bottom w:val="single" w:sz="4" w:space="0" w:color="000000"/>
              <w:right w:val="single" w:sz="4" w:space="0" w:color="000000"/>
            </w:tcBorders>
            <w:shd w:val="clear" w:color="auto" w:fill="auto"/>
            <w:vAlign w:val="center"/>
            <w:hideMark/>
          </w:tcPr>
          <w:p w14:paraId="6E197706"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61F8156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0559930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86ACE2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1474BBF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5D5BB2D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21E9DB1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386150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69E0D4E7"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25475D5F"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51CBEB4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170D2D9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A-2-0-4-8-7</w:t>
            </w:r>
          </w:p>
        </w:tc>
        <w:tc>
          <w:tcPr>
            <w:tcW w:w="978" w:type="dxa"/>
            <w:tcBorders>
              <w:top w:val="nil"/>
              <w:left w:val="nil"/>
              <w:bottom w:val="single" w:sz="4" w:space="0" w:color="000000"/>
              <w:right w:val="single" w:sz="4" w:space="0" w:color="000000"/>
            </w:tcBorders>
            <w:shd w:val="clear" w:color="auto" w:fill="auto"/>
            <w:vAlign w:val="center"/>
            <w:hideMark/>
          </w:tcPr>
          <w:p w14:paraId="6F9B32A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servicios públicos</w:t>
            </w:r>
          </w:p>
        </w:tc>
        <w:tc>
          <w:tcPr>
            <w:tcW w:w="567" w:type="dxa"/>
            <w:tcBorders>
              <w:top w:val="nil"/>
              <w:left w:val="nil"/>
              <w:bottom w:val="single" w:sz="4" w:space="0" w:color="000000"/>
              <w:right w:val="single" w:sz="4" w:space="0" w:color="000000"/>
            </w:tcBorders>
            <w:shd w:val="clear" w:color="auto" w:fill="auto"/>
            <w:vAlign w:val="center"/>
            <w:hideMark/>
          </w:tcPr>
          <w:p w14:paraId="2FF2217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6FB412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21 - Gastos de administración y operación-Generales</w:t>
            </w:r>
          </w:p>
        </w:tc>
        <w:tc>
          <w:tcPr>
            <w:tcW w:w="460" w:type="dxa"/>
            <w:tcBorders>
              <w:top w:val="nil"/>
              <w:left w:val="nil"/>
              <w:bottom w:val="single" w:sz="4" w:space="0" w:color="000000"/>
              <w:right w:val="single" w:sz="4" w:space="0" w:color="000000"/>
            </w:tcBorders>
            <w:shd w:val="clear" w:color="auto" w:fill="auto"/>
            <w:vAlign w:val="center"/>
            <w:hideMark/>
          </w:tcPr>
          <w:p w14:paraId="20003ED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478136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511117001</w:t>
            </w:r>
          </w:p>
        </w:tc>
        <w:tc>
          <w:tcPr>
            <w:tcW w:w="1120" w:type="dxa"/>
            <w:tcBorders>
              <w:top w:val="nil"/>
              <w:left w:val="nil"/>
              <w:bottom w:val="single" w:sz="4" w:space="0" w:color="000000"/>
              <w:right w:val="single" w:sz="4" w:space="0" w:color="000000"/>
            </w:tcBorders>
            <w:shd w:val="clear" w:color="auto" w:fill="auto"/>
            <w:vAlign w:val="center"/>
            <w:hideMark/>
          </w:tcPr>
          <w:p w14:paraId="4D8E1B7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709" w:type="dxa"/>
            <w:tcBorders>
              <w:top w:val="nil"/>
              <w:left w:val="nil"/>
              <w:bottom w:val="single" w:sz="4" w:space="0" w:color="000000"/>
              <w:right w:val="single" w:sz="4" w:space="0" w:color="000000"/>
            </w:tcBorders>
            <w:shd w:val="clear" w:color="auto" w:fill="auto"/>
            <w:vAlign w:val="center"/>
            <w:hideMark/>
          </w:tcPr>
          <w:p w14:paraId="5FC02FB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6AF2917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76C4295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5E740DE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CE71096"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3DD5CD4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72 - Servicios Públicos</w:t>
            </w:r>
          </w:p>
        </w:tc>
        <w:tc>
          <w:tcPr>
            <w:tcW w:w="444" w:type="dxa"/>
            <w:tcBorders>
              <w:top w:val="nil"/>
              <w:left w:val="nil"/>
              <w:bottom w:val="single" w:sz="4" w:space="0" w:color="000000"/>
              <w:right w:val="single" w:sz="4" w:space="0" w:color="000000"/>
            </w:tcBorders>
            <w:shd w:val="clear" w:color="auto" w:fill="auto"/>
            <w:vAlign w:val="center"/>
            <w:hideMark/>
          </w:tcPr>
          <w:p w14:paraId="4E31908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A-2-0-4-8-7</w:t>
            </w:r>
          </w:p>
        </w:tc>
        <w:tc>
          <w:tcPr>
            <w:tcW w:w="978" w:type="dxa"/>
            <w:tcBorders>
              <w:top w:val="nil"/>
              <w:left w:val="nil"/>
              <w:bottom w:val="single" w:sz="4" w:space="0" w:color="000000"/>
              <w:right w:val="single" w:sz="4" w:space="0" w:color="000000"/>
            </w:tcBorders>
            <w:shd w:val="clear" w:color="auto" w:fill="auto"/>
            <w:vAlign w:val="center"/>
            <w:hideMark/>
          </w:tcPr>
          <w:p w14:paraId="5E82ACE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Otros servicios públicos</w:t>
            </w:r>
          </w:p>
        </w:tc>
        <w:tc>
          <w:tcPr>
            <w:tcW w:w="567" w:type="dxa"/>
            <w:tcBorders>
              <w:top w:val="nil"/>
              <w:left w:val="nil"/>
              <w:bottom w:val="single" w:sz="4" w:space="0" w:color="000000"/>
              <w:right w:val="single" w:sz="4" w:space="0" w:color="000000"/>
            </w:tcBorders>
            <w:shd w:val="clear" w:color="auto" w:fill="auto"/>
            <w:vAlign w:val="center"/>
            <w:hideMark/>
          </w:tcPr>
          <w:p w14:paraId="562F677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73A21D3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2D48D6E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5E6812E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59A95B3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r w:rsidR="00D95115" w:rsidRPr="00676199">
              <w:rPr>
                <w:rFonts w:ascii="Calibri" w:hAnsi="Calibri"/>
                <w:color w:val="000000"/>
                <w:sz w:val="12"/>
                <w:szCs w:val="12"/>
                <w:lang w:val="es-CO" w:eastAsia="es-CO"/>
              </w:rPr>
              <w:t>IVA</w:t>
            </w:r>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511C40A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249051001</w:t>
            </w:r>
          </w:p>
        </w:tc>
        <w:tc>
          <w:tcPr>
            <w:tcW w:w="708" w:type="dxa"/>
            <w:tcBorders>
              <w:top w:val="nil"/>
              <w:left w:val="nil"/>
              <w:bottom w:val="single" w:sz="4" w:space="0" w:color="000000"/>
              <w:right w:val="single" w:sz="4" w:space="0" w:color="000000"/>
            </w:tcBorders>
            <w:shd w:val="clear" w:color="auto" w:fill="auto"/>
            <w:vAlign w:val="center"/>
            <w:hideMark/>
          </w:tcPr>
          <w:p w14:paraId="43E8A54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Servicios públicos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4F1861A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75669ECD"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0AC23E7B"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47743CE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65 - Seguros</w:t>
            </w:r>
          </w:p>
        </w:tc>
        <w:tc>
          <w:tcPr>
            <w:tcW w:w="444" w:type="dxa"/>
            <w:tcBorders>
              <w:top w:val="nil"/>
              <w:left w:val="nil"/>
              <w:bottom w:val="single" w:sz="4" w:space="0" w:color="000000"/>
              <w:right w:val="single" w:sz="4" w:space="0" w:color="000000"/>
            </w:tcBorders>
            <w:shd w:val="clear" w:color="auto" w:fill="auto"/>
            <w:vAlign w:val="center"/>
            <w:hideMark/>
          </w:tcPr>
          <w:p w14:paraId="51517835"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A-2-0-4-9</w:t>
            </w:r>
          </w:p>
        </w:tc>
        <w:tc>
          <w:tcPr>
            <w:tcW w:w="978" w:type="dxa"/>
            <w:tcBorders>
              <w:top w:val="nil"/>
              <w:left w:val="nil"/>
              <w:bottom w:val="single" w:sz="4" w:space="0" w:color="000000"/>
              <w:right w:val="single" w:sz="4" w:space="0" w:color="000000"/>
            </w:tcBorders>
            <w:shd w:val="clear" w:color="auto" w:fill="auto"/>
            <w:vAlign w:val="center"/>
            <w:hideMark/>
          </w:tcPr>
          <w:p w14:paraId="3D7D609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Seguros</w:t>
            </w:r>
          </w:p>
        </w:tc>
        <w:tc>
          <w:tcPr>
            <w:tcW w:w="567" w:type="dxa"/>
            <w:tcBorders>
              <w:top w:val="nil"/>
              <w:left w:val="nil"/>
              <w:bottom w:val="single" w:sz="4" w:space="0" w:color="000000"/>
              <w:right w:val="single" w:sz="4" w:space="0" w:color="000000"/>
            </w:tcBorders>
            <w:shd w:val="clear" w:color="auto" w:fill="auto"/>
            <w:vAlign w:val="center"/>
            <w:hideMark/>
          </w:tcPr>
          <w:p w14:paraId="0DF085A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5F446C5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17 - Gastos de administración y </w:t>
            </w:r>
            <w:r w:rsidRPr="00676199">
              <w:rPr>
                <w:rFonts w:ascii="Calibri" w:hAnsi="Calibri"/>
                <w:color w:val="000000"/>
                <w:sz w:val="12"/>
                <w:szCs w:val="12"/>
                <w:lang w:val="es-CO" w:eastAsia="es-CO"/>
              </w:rPr>
              <w:lastRenderedPageBreak/>
              <w:t>operación-Contribuciones efectivas</w:t>
            </w:r>
          </w:p>
        </w:tc>
        <w:tc>
          <w:tcPr>
            <w:tcW w:w="460" w:type="dxa"/>
            <w:tcBorders>
              <w:top w:val="nil"/>
              <w:left w:val="nil"/>
              <w:bottom w:val="single" w:sz="4" w:space="0" w:color="000000"/>
              <w:right w:val="single" w:sz="4" w:space="0" w:color="000000"/>
            </w:tcBorders>
            <w:shd w:val="clear" w:color="auto" w:fill="auto"/>
            <w:vAlign w:val="center"/>
            <w:hideMark/>
          </w:tcPr>
          <w:p w14:paraId="5EFC946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lastRenderedPageBreak/>
              <w:t>NO</w:t>
            </w:r>
          </w:p>
        </w:tc>
        <w:tc>
          <w:tcPr>
            <w:tcW w:w="688" w:type="dxa"/>
            <w:tcBorders>
              <w:top w:val="nil"/>
              <w:left w:val="nil"/>
              <w:bottom w:val="single" w:sz="4" w:space="0" w:color="000000"/>
              <w:right w:val="single" w:sz="4" w:space="0" w:color="000000"/>
            </w:tcBorders>
            <w:shd w:val="clear" w:color="auto" w:fill="auto"/>
            <w:vAlign w:val="center"/>
            <w:hideMark/>
          </w:tcPr>
          <w:p w14:paraId="1AD51A1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510301001</w:t>
            </w:r>
          </w:p>
        </w:tc>
        <w:tc>
          <w:tcPr>
            <w:tcW w:w="1120" w:type="dxa"/>
            <w:tcBorders>
              <w:top w:val="nil"/>
              <w:left w:val="nil"/>
              <w:bottom w:val="single" w:sz="4" w:space="0" w:color="000000"/>
              <w:right w:val="single" w:sz="4" w:space="0" w:color="000000"/>
            </w:tcBorders>
            <w:shd w:val="clear" w:color="auto" w:fill="auto"/>
            <w:vAlign w:val="center"/>
            <w:hideMark/>
          </w:tcPr>
          <w:p w14:paraId="7C57B24F"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Seguros de vida</w:t>
            </w:r>
          </w:p>
        </w:tc>
        <w:tc>
          <w:tcPr>
            <w:tcW w:w="709" w:type="dxa"/>
            <w:tcBorders>
              <w:top w:val="nil"/>
              <w:left w:val="nil"/>
              <w:bottom w:val="single" w:sz="4" w:space="0" w:color="000000"/>
              <w:right w:val="single" w:sz="4" w:space="0" w:color="000000"/>
            </w:tcBorders>
            <w:shd w:val="clear" w:color="auto" w:fill="auto"/>
            <w:vAlign w:val="center"/>
            <w:hideMark/>
          </w:tcPr>
          <w:p w14:paraId="4B60707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249028001</w:t>
            </w:r>
          </w:p>
        </w:tc>
        <w:tc>
          <w:tcPr>
            <w:tcW w:w="708" w:type="dxa"/>
            <w:tcBorders>
              <w:top w:val="nil"/>
              <w:left w:val="nil"/>
              <w:bottom w:val="single" w:sz="4" w:space="0" w:color="000000"/>
              <w:right w:val="single" w:sz="4" w:space="0" w:color="000000"/>
            </w:tcBorders>
            <w:shd w:val="clear" w:color="auto" w:fill="auto"/>
            <w:vAlign w:val="center"/>
            <w:hideMark/>
          </w:tcPr>
          <w:p w14:paraId="4DC86BE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Seguros</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1CE0B731"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73E09BB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3D4A4108" w14:textId="77777777" w:rsidTr="00374C40">
        <w:trPr>
          <w:trHeight w:val="113"/>
        </w:trPr>
        <w:tc>
          <w:tcPr>
            <w:tcW w:w="916" w:type="dxa"/>
            <w:tcBorders>
              <w:top w:val="nil"/>
              <w:left w:val="single" w:sz="4" w:space="0" w:color="000000"/>
              <w:bottom w:val="single" w:sz="4" w:space="0" w:color="000000"/>
              <w:right w:val="single" w:sz="4" w:space="0" w:color="000000"/>
            </w:tcBorders>
            <w:shd w:val="clear" w:color="auto" w:fill="auto"/>
            <w:vAlign w:val="center"/>
            <w:hideMark/>
          </w:tcPr>
          <w:p w14:paraId="58E3B259"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118 - Arrendamiento Operativo</w:t>
            </w:r>
          </w:p>
        </w:tc>
        <w:tc>
          <w:tcPr>
            <w:tcW w:w="444" w:type="dxa"/>
            <w:tcBorders>
              <w:top w:val="nil"/>
              <w:left w:val="nil"/>
              <w:bottom w:val="single" w:sz="4" w:space="0" w:color="000000"/>
              <w:right w:val="single" w:sz="4" w:space="0" w:color="000000"/>
            </w:tcBorders>
            <w:shd w:val="clear" w:color="auto" w:fill="auto"/>
            <w:vAlign w:val="center"/>
            <w:hideMark/>
          </w:tcPr>
          <w:p w14:paraId="323DECF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A-2-0-4-10-1</w:t>
            </w:r>
          </w:p>
        </w:tc>
        <w:tc>
          <w:tcPr>
            <w:tcW w:w="978" w:type="dxa"/>
            <w:tcBorders>
              <w:top w:val="nil"/>
              <w:left w:val="nil"/>
              <w:bottom w:val="single" w:sz="4" w:space="0" w:color="000000"/>
              <w:right w:val="single" w:sz="4" w:space="0" w:color="000000"/>
            </w:tcBorders>
            <w:shd w:val="clear" w:color="auto" w:fill="auto"/>
            <w:vAlign w:val="center"/>
            <w:hideMark/>
          </w:tcPr>
          <w:p w14:paraId="0CB91B33"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Arrendamientos bienes muebles</w:t>
            </w:r>
          </w:p>
        </w:tc>
        <w:tc>
          <w:tcPr>
            <w:tcW w:w="567" w:type="dxa"/>
            <w:tcBorders>
              <w:top w:val="nil"/>
              <w:left w:val="nil"/>
              <w:bottom w:val="single" w:sz="4" w:space="0" w:color="000000"/>
              <w:right w:val="single" w:sz="4" w:space="0" w:color="000000"/>
            </w:tcBorders>
            <w:shd w:val="clear" w:color="auto" w:fill="auto"/>
            <w:vAlign w:val="center"/>
            <w:hideMark/>
          </w:tcPr>
          <w:p w14:paraId="345527F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1418" w:type="dxa"/>
            <w:tcBorders>
              <w:top w:val="nil"/>
              <w:left w:val="nil"/>
              <w:bottom w:val="single" w:sz="4" w:space="0" w:color="000000"/>
              <w:right w:val="single" w:sz="4" w:space="0" w:color="000000"/>
            </w:tcBorders>
            <w:shd w:val="clear" w:color="auto" w:fill="auto"/>
            <w:vAlign w:val="center"/>
            <w:hideMark/>
          </w:tcPr>
          <w:p w14:paraId="41EB815B"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2 - Devolución de IVA para Instituciones de Educación Superior</w:t>
            </w:r>
          </w:p>
        </w:tc>
        <w:tc>
          <w:tcPr>
            <w:tcW w:w="460" w:type="dxa"/>
            <w:tcBorders>
              <w:top w:val="nil"/>
              <w:left w:val="nil"/>
              <w:bottom w:val="single" w:sz="4" w:space="0" w:color="000000"/>
              <w:right w:val="single" w:sz="4" w:space="0" w:color="000000"/>
            </w:tcBorders>
            <w:shd w:val="clear" w:color="auto" w:fill="auto"/>
            <w:vAlign w:val="center"/>
            <w:hideMark/>
          </w:tcPr>
          <w:p w14:paraId="02CE4A3E"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3F02D942"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138413001</w:t>
            </w:r>
          </w:p>
        </w:tc>
        <w:tc>
          <w:tcPr>
            <w:tcW w:w="1120" w:type="dxa"/>
            <w:tcBorders>
              <w:top w:val="nil"/>
              <w:left w:val="nil"/>
              <w:bottom w:val="single" w:sz="4" w:space="0" w:color="000000"/>
              <w:right w:val="single" w:sz="4" w:space="0" w:color="000000"/>
            </w:tcBorders>
            <w:shd w:val="clear" w:color="auto" w:fill="auto"/>
            <w:vAlign w:val="center"/>
            <w:hideMark/>
          </w:tcPr>
          <w:p w14:paraId="6B557D50"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xml:space="preserve">Devolución </w:t>
            </w:r>
            <w:r w:rsidR="00D95115" w:rsidRPr="00676199">
              <w:rPr>
                <w:rFonts w:ascii="Calibri" w:hAnsi="Calibri"/>
                <w:color w:val="000000"/>
                <w:sz w:val="12"/>
                <w:szCs w:val="12"/>
                <w:lang w:val="es-CO" w:eastAsia="es-CO"/>
              </w:rPr>
              <w:t>IVA</w:t>
            </w:r>
            <w:r w:rsidRPr="00676199">
              <w:rPr>
                <w:rFonts w:ascii="Calibri" w:hAnsi="Calibri"/>
                <w:color w:val="000000"/>
                <w:sz w:val="12"/>
                <w:szCs w:val="12"/>
                <w:lang w:val="es-CO" w:eastAsia="es-CO"/>
              </w:rPr>
              <w:t xml:space="preserve"> para entidades de educación superior</w:t>
            </w:r>
          </w:p>
        </w:tc>
        <w:tc>
          <w:tcPr>
            <w:tcW w:w="709" w:type="dxa"/>
            <w:tcBorders>
              <w:top w:val="nil"/>
              <w:left w:val="nil"/>
              <w:bottom w:val="single" w:sz="4" w:space="0" w:color="000000"/>
              <w:right w:val="single" w:sz="4" w:space="0" w:color="000000"/>
            </w:tcBorders>
            <w:shd w:val="clear" w:color="auto" w:fill="auto"/>
            <w:vAlign w:val="center"/>
            <w:hideMark/>
          </w:tcPr>
          <w:p w14:paraId="49B549B8"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249058001</w:t>
            </w:r>
          </w:p>
        </w:tc>
        <w:tc>
          <w:tcPr>
            <w:tcW w:w="708" w:type="dxa"/>
            <w:tcBorders>
              <w:top w:val="nil"/>
              <w:left w:val="nil"/>
              <w:bottom w:val="single" w:sz="4" w:space="0" w:color="000000"/>
              <w:right w:val="single" w:sz="4" w:space="0" w:color="000000"/>
            </w:tcBorders>
            <w:shd w:val="clear" w:color="auto" w:fill="auto"/>
            <w:vAlign w:val="center"/>
            <w:hideMark/>
          </w:tcPr>
          <w:p w14:paraId="4AD9E1CC"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Arrendamiento operativo</w:t>
            </w:r>
          </w:p>
        </w:tc>
        <w:tc>
          <w:tcPr>
            <w:tcW w:w="567" w:type="dxa"/>
            <w:gridSpan w:val="2"/>
            <w:tcBorders>
              <w:top w:val="nil"/>
              <w:left w:val="nil"/>
              <w:bottom w:val="single" w:sz="4" w:space="0" w:color="000000"/>
              <w:right w:val="single" w:sz="4" w:space="0" w:color="000000"/>
            </w:tcBorders>
            <w:shd w:val="clear" w:color="auto" w:fill="auto"/>
            <w:vAlign w:val="center"/>
            <w:hideMark/>
          </w:tcPr>
          <w:p w14:paraId="23B833AA"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SI</w:t>
            </w:r>
          </w:p>
        </w:tc>
        <w:tc>
          <w:tcPr>
            <w:tcW w:w="621" w:type="dxa"/>
            <w:tcBorders>
              <w:top w:val="nil"/>
              <w:left w:val="nil"/>
              <w:bottom w:val="single" w:sz="4" w:space="0" w:color="000000"/>
              <w:right w:val="single" w:sz="4" w:space="0" w:color="000000"/>
            </w:tcBorders>
            <w:shd w:val="clear" w:color="auto" w:fill="auto"/>
            <w:vAlign w:val="center"/>
            <w:hideMark/>
          </w:tcPr>
          <w:p w14:paraId="6CA2D174" w14:textId="77777777" w:rsidR="00374C40" w:rsidRPr="00676199" w:rsidRDefault="00374C40" w:rsidP="00374C40">
            <w:pPr>
              <w:jc w:val="both"/>
              <w:rPr>
                <w:rFonts w:ascii="Calibri" w:hAnsi="Calibri"/>
                <w:color w:val="000000"/>
                <w:sz w:val="12"/>
                <w:szCs w:val="12"/>
                <w:lang w:val="es-CO" w:eastAsia="es-CO"/>
              </w:rPr>
            </w:pPr>
            <w:r w:rsidRPr="00676199">
              <w:rPr>
                <w:rFonts w:ascii="Calibri" w:hAnsi="Calibri"/>
                <w:color w:val="000000"/>
                <w:sz w:val="12"/>
                <w:szCs w:val="12"/>
                <w:lang w:val="es-CO" w:eastAsia="es-CO"/>
              </w:rPr>
              <w:t> </w:t>
            </w:r>
          </w:p>
        </w:tc>
      </w:tr>
      <w:tr w:rsidR="00374C40" w:rsidRPr="00676199" w14:paraId="76CB3A89" w14:textId="77777777" w:rsidTr="00374C40">
        <w:trPr>
          <w:trHeight w:val="113"/>
        </w:trPr>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DAD57" w14:textId="77777777" w:rsidR="00374C40" w:rsidRPr="00374C40" w:rsidRDefault="00374C40" w:rsidP="00374C40">
            <w:pPr>
              <w:jc w:val="both"/>
              <w:rPr>
                <w:rFonts w:ascii="Calibri" w:hAnsi="Calibri"/>
                <w:color w:val="000000"/>
                <w:sz w:val="12"/>
                <w:szCs w:val="12"/>
                <w:lang w:val="es-CO" w:eastAsia="es-CO"/>
              </w:rPr>
            </w:pPr>
            <w:r w:rsidRPr="00374C40">
              <w:rPr>
                <w:rFonts w:ascii="Calibri" w:hAnsi="Calibri"/>
                <w:color w:val="000000"/>
                <w:sz w:val="12"/>
                <w:szCs w:val="12"/>
              </w:rPr>
              <w:t>31 - Sistema General de Participaciones-Atención Integral para la Primera Infancia</w:t>
            </w:r>
          </w:p>
        </w:tc>
        <w:tc>
          <w:tcPr>
            <w:tcW w:w="444" w:type="dxa"/>
            <w:tcBorders>
              <w:top w:val="single" w:sz="4" w:space="0" w:color="000000"/>
              <w:left w:val="nil"/>
              <w:bottom w:val="single" w:sz="4" w:space="0" w:color="000000"/>
              <w:right w:val="single" w:sz="4" w:space="0" w:color="000000"/>
            </w:tcBorders>
            <w:shd w:val="clear" w:color="auto" w:fill="auto"/>
            <w:vAlign w:val="center"/>
          </w:tcPr>
          <w:p w14:paraId="75DFCFD9"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A-3-7-3-1-172</w:t>
            </w:r>
          </w:p>
        </w:tc>
        <w:tc>
          <w:tcPr>
            <w:tcW w:w="978" w:type="dxa"/>
            <w:tcBorders>
              <w:top w:val="single" w:sz="4" w:space="0" w:color="000000"/>
              <w:left w:val="nil"/>
              <w:bottom w:val="single" w:sz="4" w:space="0" w:color="000000"/>
              <w:right w:val="single" w:sz="4" w:space="0" w:color="000000"/>
            </w:tcBorders>
            <w:shd w:val="clear" w:color="auto" w:fill="auto"/>
            <w:vAlign w:val="center"/>
          </w:tcPr>
          <w:p w14:paraId="2635B198" w14:textId="77777777" w:rsidR="00374C40" w:rsidRPr="00374C40" w:rsidRDefault="00374C40" w:rsidP="00374C40">
            <w:pPr>
              <w:jc w:val="both"/>
              <w:rPr>
                <w:rFonts w:ascii="Calibri" w:hAnsi="Calibri"/>
                <w:color w:val="000000"/>
                <w:sz w:val="12"/>
                <w:szCs w:val="12"/>
              </w:rPr>
            </w:pPr>
            <w:r>
              <w:rPr>
                <w:rFonts w:ascii="Calibri" w:hAnsi="Calibri"/>
                <w:color w:val="000000"/>
                <w:sz w:val="12"/>
                <w:szCs w:val="12"/>
              </w:rPr>
              <w:t xml:space="preserve">Sistema general de </w:t>
            </w:r>
            <w:r w:rsidR="00D95115">
              <w:rPr>
                <w:rFonts w:ascii="Calibri" w:hAnsi="Calibri"/>
                <w:color w:val="000000"/>
                <w:sz w:val="12"/>
                <w:szCs w:val="12"/>
              </w:rPr>
              <w:t>P</w:t>
            </w:r>
            <w:r w:rsidR="00D95115" w:rsidRPr="00374C40">
              <w:rPr>
                <w:rFonts w:ascii="Calibri" w:hAnsi="Calibri"/>
                <w:color w:val="000000"/>
                <w:sz w:val="12"/>
                <w:szCs w:val="12"/>
              </w:rPr>
              <w:t>articipación</w:t>
            </w:r>
            <w:r w:rsidRPr="00374C40">
              <w:rPr>
                <w:rFonts w:ascii="Calibri" w:hAnsi="Calibri"/>
                <w:color w:val="000000"/>
                <w:sz w:val="12"/>
                <w:szCs w:val="12"/>
              </w:rPr>
              <w:t xml:space="preserve"> </w:t>
            </w:r>
            <w:r w:rsidR="00D95115" w:rsidRPr="00374C40">
              <w:rPr>
                <w:rFonts w:ascii="Calibri" w:hAnsi="Calibri"/>
                <w:color w:val="000000"/>
                <w:sz w:val="12"/>
                <w:szCs w:val="12"/>
              </w:rPr>
              <w:t>atención</w:t>
            </w:r>
            <w:r w:rsidRPr="00374C40">
              <w:rPr>
                <w:rFonts w:ascii="Calibri" w:hAnsi="Calibri"/>
                <w:color w:val="000000"/>
                <w:sz w:val="12"/>
                <w:szCs w:val="12"/>
              </w:rPr>
              <w:t xml:space="preserve"> integral de la primera infancia departamento de sucre</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4EACE2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SI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EF2FE36"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23 - Transferencias NO condicionadas</w:t>
            </w:r>
          </w:p>
        </w:tc>
        <w:tc>
          <w:tcPr>
            <w:tcW w:w="460" w:type="dxa"/>
            <w:tcBorders>
              <w:top w:val="single" w:sz="4" w:space="0" w:color="000000"/>
              <w:left w:val="nil"/>
              <w:bottom w:val="single" w:sz="4" w:space="0" w:color="000000"/>
              <w:right w:val="single" w:sz="4" w:space="0" w:color="000000"/>
            </w:tcBorders>
            <w:shd w:val="clear" w:color="auto" w:fill="auto"/>
            <w:vAlign w:val="center"/>
          </w:tcPr>
          <w:p w14:paraId="7B0F543A"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NO</w:t>
            </w:r>
          </w:p>
        </w:tc>
        <w:tc>
          <w:tcPr>
            <w:tcW w:w="688" w:type="dxa"/>
            <w:tcBorders>
              <w:top w:val="single" w:sz="4" w:space="0" w:color="000000"/>
              <w:left w:val="nil"/>
              <w:bottom w:val="single" w:sz="4" w:space="0" w:color="000000"/>
              <w:right w:val="single" w:sz="4" w:space="0" w:color="000000"/>
            </w:tcBorders>
            <w:shd w:val="clear" w:color="auto" w:fill="auto"/>
            <w:vAlign w:val="center"/>
          </w:tcPr>
          <w:p w14:paraId="161F2398"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540825001</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43A52EB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Atención integral a la primera infancia</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32FD508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240325001</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3B067001"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Sistema general de participaciones - atención integral a la primera infancia</w:t>
            </w:r>
          </w:p>
        </w:tc>
        <w:tc>
          <w:tcPr>
            <w:tcW w:w="567" w:type="dxa"/>
            <w:gridSpan w:val="2"/>
            <w:tcBorders>
              <w:top w:val="single" w:sz="4" w:space="0" w:color="000000"/>
              <w:left w:val="nil"/>
              <w:bottom w:val="single" w:sz="4" w:space="0" w:color="000000"/>
              <w:right w:val="single" w:sz="4" w:space="0" w:color="000000"/>
            </w:tcBorders>
            <w:shd w:val="clear" w:color="auto" w:fill="auto"/>
            <w:vAlign w:val="center"/>
          </w:tcPr>
          <w:p w14:paraId="0103BBF8"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SI</w:t>
            </w:r>
          </w:p>
        </w:tc>
        <w:tc>
          <w:tcPr>
            <w:tcW w:w="621" w:type="dxa"/>
            <w:tcBorders>
              <w:top w:val="single" w:sz="4" w:space="0" w:color="000000"/>
              <w:left w:val="nil"/>
              <w:bottom w:val="single" w:sz="4" w:space="0" w:color="000000"/>
              <w:right w:val="single" w:sz="4" w:space="0" w:color="000000"/>
            </w:tcBorders>
            <w:shd w:val="clear" w:color="auto" w:fill="auto"/>
            <w:vAlign w:val="center"/>
          </w:tcPr>
          <w:p w14:paraId="074ED84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011500000</w:t>
            </w:r>
          </w:p>
        </w:tc>
      </w:tr>
      <w:tr w:rsidR="00374C40" w:rsidRPr="00676199" w14:paraId="00CC336D" w14:textId="77777777" w:rsidTr="00374C40">
        <w:trPr>
          <w:trHeight w:val="113"/>
        </w:trPr>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187F3" w14:textId="77777777" w:rsidR="00374C40" w:rsidRPr="00374C40" w:rsidRDefault="00374C40" w:rsidP="00374C40">
            <w:pPr>
              <w:jc w:val="both"/>
              <w:rPr>
                <w:rFonts w:ascii="Calibri" w:hAnsi="Calibri"/>
                <w:color w:val="000000"/>
                <w:sz w:val="12"/>
                <w:szCs w:val="12"/>
                <w:lang w:val="es-CO" w:eastAsia="es-CO"/>
              </w:rPr>
            </w:pPr>
            <w:r w:rsidRPr="00374C40">
              <w:rPr>
                <w:rFonts w:ascii="Calibri" w:hAnsi="Calibri"/>
                <w:color w:val="000000"/>
                <w:sz w:val="12"/>
                <w:szCs w:val="12"/>
              </w:rPr>
              <w:t>163 - Deuda Pública - Gastos por Comisiones</w:t>
            </w:r>
          </w:p>
        </w:tc>
        <w:tc>
          <w:tcPr>
            <w:tcW w:w="444" w:type="dxa"/>
            <w:tcBorders>
              <w:top w:val="single" w:sz="4" w:space="0" w:color="000000"/>
              <w:left w:val="nil"/>
              <w:bottom w:val="single" w:sz="4" w:space="0" w:color="000000"/>
              <w:right w:val="single" w:sz="4" w:space="0" w:color="000000"/>
            </w:tcBorders>
            <w:shd w:val="clear" w:color="auto" w:fill="auto"/>
            <w:vAlign w:val="center"/>
          </w:tcPr>
          <w:p w14:paraId="03196659"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B-7-2-6-3-6</w:t>
            </w:r>
          </w:p>
        </w:tc>
        <w:tc>
          <w:tcPr>
            <w:tcW w:w="978" w:type="dxa"/>
            <w:tcBorders>
              <w:top w:val="single" w:sz="4" w:space="0" w:color="000000"/>
              <w:left w:val="nil"/>
              <w:bottom w:val="single" w:sz="4" w:space="0" w:color="000000"/>
              <w:right w:val="single" w:sz="4" w:space="0" w:color="000000"/>
            </w:tcBorders>
            <w:shd w:val="clear" w:color="auto" w:fill="auto"/>
            <w:vAlign w:val="center"/>
          </w:tcPr>
          <w:p w14:paraId="00781B8F"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COMISIONES TES B</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1AC5EB69"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NO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5E4D6EF"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28 - Otros gastos-Comisiones</w:t>
            </w:r>
          </w:p>
        </w:tc>
        <w:tc>
          <w:tcPr>
            <w:tcW w:w="460" w:type="dxa"/>
            <w:tcBorders>
              <w:top w:val="single" w:sz="4" w:space="0" w:color="000000"/>
              <w:left w:val="nil"/>
              <w:bottom w:val="single" w:sz="4" w:space="0" w:color="000000"/>
              <w:right w:val="single" w:sz="4" w:space="0" w:color="000000"/>
            </w:tcBorders>
            <w:shd w:val="clear" w:color="auto" w:fill="auto"/>
            <w:vAlign w:val="center"/>
          </w:tcPr>
          <w:p w14:paraId="2716539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NO</w:t>
            </w:r>
          </w:p>
        </w:tc>
        <w:tc>
          <w:tcPr>
            <w:tcW w:w="688" w:type="dxa"/>
            <w:tcBorders>
              <w:top w:val="single" w:sz="4" w:space="0" w:color="000000"/>
              <w:left w:val="nil"/>
              <w:bottom w:val="single" w:sz="4" w:space="0" w:color="000000"/>
              <w:right w:val="single" w:sz="4" w:space="0" w:color="000000"/>
            </w:tcBorders>
            <w:shd w:val="clear" w:color="auto" w:fill="auto"/>
            <w:vAlign w:val="center"/>
          </w:tcPr>
          <w:p w14:paraId="1E90E7CD"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580240001</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38195C32"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Comisiones servicios financieros</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3FF2B0E6"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249053001</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5C792D03"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Comisiones</w:t>
            </w:r>
          </w:p>
        </w:tc>
        <w:tc>
          <w:tcPr>
            <w:tcW w:w="567" w:type="dxa"/>
            <w:gridSpan w:val="2"/>
            <w:tcBorders>
              <w:top w:val="single" w:sz="4" w:space="0" w:color="000000"/>
              <w:left w:val="nil"/>
              <w:bottom w:val="single" w:sz="4" w:space="0" w:color="000000"/>
              <w:right w:val="single" w:sz="4" w:space="0" w:color="000000"/>
            </w:tcBorders>
            <w:shd w:val="clear" w:color="auto" w:fill="auto"/>
            <w:vAlign w:val="center"/>
          </w:tcPr>
          <w:p w14:paraId="2FC0B48B"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SI</w:t>
            </w:r>
          </w:p>
        </w:tc>
        <w:tc>
          <w:tcPr>
            <w:tcW w:w="621" w:type="dxa"/>
            <w:tcBorders>
              <w:top w:val="single" w:sz="4" w:space="0" w:color="000000"/>
              <w:left w:val="nil"/>
              <w:bottom w:val="single" w:sz="4" w:space="0" w:color="000000"/>
              <w:right w:val="single" w:sz="4" w:space="0" w:color="000000"/>
            </w:tcBorders>
            <w:shd w:val="clear" w:color="auto" w:fill="auto"/>
            <w:vAlign w:val="center"/>
          </w:tcPr>
          <w:p w14:paraId="0EDAF3EB" w14:textId="77777777" w:rsidR="00374C40" w:rsidRPr="00374C40" w:rsidRDefault="00374C40" w:rsidP="00374C40">
            <w:pPr>
              <w:jc w:val="both"/>
              <w:rPr>
                <w:rFonts w:ascii="Calibri" w:hAnsi="Calibri"/>
                <w:color w:val="000000"/>
                <w:sz w:val="12"/>
                <w:szCs w:val="12"/>
              </w:rPr>
            </w:pPr>
            <w:r w:rsidRPr="00374C40">
              <w:rPr>
                <w:rFonts w:ascii="Calibri" w:hAnsi="Calibri"/>
                <w:color w:val="000000"/>
                <w:sz w:val="12"/>
                <w:szCs w:val="12"/>
              </w:rPr>
              <w:t> </w:t>
            </w:r>
          </w:p>
        </w:tc>
      </w:tr>
    </w:tbl>
    <w:p w14:paraId="34DD80CA" w14:textId="77777777" w:rsidR="00C81DC4" w:rsidRDefault="00C81DC4" w:rsidP="00C81DC4">
      <w:pPr>
        <w:pStyle w:val="Ttulo2"/>
        <w:rPr>
          <w:rFonts w:ascii="Arial" w:hAnsi="Arial" w:cs="Arial"/>
          <w:color w:val="000000"/>
          <w:sz w:val="24"/>
          <w:szCs w:val="24"/>
        </w:rPr>
      </w:pPr>
    </w:p>
    <w:p w14:paraId="30A294F6" w14:textId="77777777" w:rsidR="00C81DC4" w:rsidRPr="00781361" w:rsidRDefault="00C81DC4" w:rsidP="00EF3D59">
      <w:pPr>
        <w:spacing w:line="288" w:lineRule="auto"/>
        <w:jc w:val="both"/>
        <w:rPr>
          <w:rFonts w:ascii="Arial" w:hAnsi="Arial" w:cs="Arial"/>
          <w:color w:val="000000"/>
          <w:sz w:val="22"/>
          <w:szCs w:val="22"/>
        </w:rPr>
      </w:pPr>
      <w:r w:rsidRPr="00781361">
        <w:rPr>
          <w:rFonts w:ascii="Arial" w:hAnsi="Arial" w:cs="Arial"/>
          <w:b/>
          <w:color w:val="000000"/>
          <w:sz w:val="22"/>
          <w:szCs w:val="22"/>
        </w:rPr>
        <w:t>Deducciones de la obligación presupuestal:</w:t>
      </w:r>
      <w:r w:rsidRPr="00781361">
        <w:rPr>
          <w:rFonts w:ascii="Arial" w:hAnsi="Arial" w:cs="Arial"/>
          <w:color w:val="000000"/>
          <w:sz w:val="22"/>
          <w:szCs w:val="22"/>
        </w:rPr>
        <w:t xml:space="preserve"> Las deducciones en la obligación presupuestal corresponden a los descuentos legalmente</w:t>
      </w:r>
      <w:r w:rsidR="00591280" w:rsidRPr="00781361">
        <w:rPr>
          <w:rFonts w:ascii="Arial" w:hAnsi="Arial" w:cs="Arial"/>
          <w:color w:val="000000"/>
          <w:sz w:val="22"/>
          <w:szCs w:val="22"/>
        </w:rPr>
        <w:t xml:space="preserve"> </w:t>
      </w:r>
      <w:r w:rsidRPr="00781361">
        <w:rPr>
          <w:rFonts w:ascii="Arial" w:hAnsi="Arial" w:cs="Arial"/>
          <w:color w:val="000000"/>
          <w:sz w:val="22"/>
          <w:szCs w:val="22"/>
        </w:rPr>
        <w:t>autorizados que disminuyen el valor bruto obligado. Estas deducciones se originan en la ejecución presupuestal y se hacen con el fin de ser pagadas a un tercero diferente al beneficiario de la obligación principal.</w:t>
      </w:r>
    </w:p>
    <w:p w14:paraId="68395C99" w14:textId="77777777" w:rsidR="00C81DC4" w:rsidRPr="00781361" w:rsidRDefault="00C81DC4" w:rsidP="00EF3D59">
      <w:pPr>
        <w:spacing w:line="288" w:lineRule="auto"/>
        <w:jc w:val="both"/>
        <w:rPr>
          <w:rFonts w:ascii="Arial" w:hAnsi="Arial" w:cs="Arial"/>
          <w:sz w:val="22"/>
          <w:szCs w:val="22"/>
        </w:rPr>
      </w:pPr>
    </w:p>
    <w:p w14:paraId="7BA236C1" w14:textId="77777777" w:rsidR="00C81DC4" w:rsidRPr="00781361" w:rsidRDefault="00C81DC4" w:rsidP="00EF3D59">
      <w:pPr>
        <w:spacing w:line="288" w:lineRule="auto"/>
        <w:jc w:val="both"/>
        <w:rPr>
          <w:rFonts w:ascii="Arial" w:hAnsi="Arial" w:cs="Arial"/>
          <w:color w:val="000000"/>
          <w:sz w:val="22"/>
          <w:szCs w:val="22"/>
        </w:rPr>
      </w:pPr>
      <w:r w:rsidRPr="00781361">
        <w:rPr>
          <w:rFonts w:ascii="Arial" w:hAnsi="Arial" w:cs="Arial"/>
          <w:color w:val="000000"/>
          <w:sz w:val="22"/>
          <w:szCs w:val="22"/>
        </w:rPr>
        <w:t xml:space="preserve">Para el registro de las deducciones, el sistema tiene dispuesto un </w:t>
      </w:r>
      <w:r w:rsidRPr="00C74A64">
        <w:rPr>
          <w:rFonts w:ascii="Arial" w:hAnsi="Arial" w:cs="Arial"/>
          <w:i/>
          <w:iCs/>
          <w:color w:val="000000"/>
          <w:sz w:val="22"/>
          <w:szCs w:val="22"/>
        </w:rPr>
        <w:t>“Catálogo de pagos no presupuestal, PPNP”</w:t>
      </w:r>
      <w:r w:rsidRPr="00781361">
        <w:rPr>
          <w:rFonts w:ascii="Arial" w:hAnsi="Arial" w:cs="Arial"/>
          <w:color w:val="000000"/>
          <w:sz w:val="22"/>
          <w:szCs w:val="22"/>
        </w:rPr>
        <w:t xml:space="preserve"> que identifica en su estructura con el número 2 “crédito” y marca denominada “deducciones” las posiciones que registran los diferentes conceptos de deducción.</w:t>
      </w:r>
    </w:p>
    <w:p w14:paraId="191B721E" w14:textId="77777777" w:rsidR="00C81DC4" w:rsidRPr="00781361" w:rsidRDefault="00C81DC4" w:rsidP="00EF3D59">
      <w:pPr>
        <w:spacing w:line="288" w:lineRule="auto"/>
        <w:jc w:val="both"/>
        <w:rPr>
          <w:rFonts w:ascii="Arial" w:hAnsi="Arial" w:cs="Arial"/>
          <w:color w:val="000000"/>
          <w:sz w:val="22"/>
          <w:szCs w:val="22"/>
        </w:rPr>
      </w:pPr>
    </w:p>
    <w:p w14:paraId="4CF5A0DF" w14:textId="77777777" w:rsidR="00C81DC4" w:rsidRPr="00781361" w:rsidRDefault="00C81DC4" w:rsidP="00EF3D59">
      <w:pPr>
        <w:spacing w:line="288" w:lineRule="auto"/>
        <w:jc w:val="both"/>
        <w:rPr>
          <w:rFonts w:ascii="Arial" w:hAnsi="Arial" w:cs="Arial"/>
          <w:color w:val="000000"/>
          <w:sz w:val="22"/>
          <w:szCs w:val="22"/>
        </w:rPr>
      </w:pPr>
      <w:r w:rsidRPr="00781361">
        <w:rPr>
          <w:rFonts w:ascii="Arial" w:hAnsi="Arial" w:cs="Arial"/>
          <w:color w:val="000000"/>
          <w:sz w:val="22"/>
          <w:szCs w:val="22"/>
        </w:rPr>
        <w:t xml:space="preserve">La </w:t>
      </w:r>
      <w:proofErr w:type="spellStart"/>
      <w:r w:rsidRPr="00781361">
        <w:rPr>
          <w:rFonts w:ascii="Arial" w:hAnsi="Arial" w:cs="Arial"/>
          <w:color w:val="000000"/>
          <w:sz w:val="22"/>
          <w:szCs w:val="22"/>
        </w:rPr>
        <w:t>causación</w:t>
      </w:r>
      <w:proofErr w:type="spellEnd"/>
      <w:r w:rsidRPr="00781361">
        <w:rPr>
          <w:rFonts w:ascii="Arial" w:hAnsi="Arial" w:cs="Arial"/>
          <w:color w:val="000000"/>
          <w:sz w:val="22"/>
          <w:szCs w:val="22"/>
        </w:rPr>
        <w:t xml:space="preserve"> de la deducción se registra en el mismo comprobante de la obligación y el código contable del crédito de la deducción, se toma de la tabla TCON08, de acuerdo con el concepto de la PPNP.</w:t>
      </w:r>
    </w:p>
    <w:p w14:paraId="062958CB" w14:textId="77777777" w:rsidR="00C81DC4" w:rsidRPr="00781361" w:rsidRDefault="00C81DC4" w:rsidP="00EF3D59">
      <w:pPr>
        <w:spacing w:line="288" w:lineRule="auto"/>
        <w:jc w:val="both"/>
        <w:rPr>
          <w:rFonts w:ascii="Arial" w:hAnsi="Arial" w:cs="Arial"/>
          <w:color w:val="000000"/>
          <w:sz w:val="22"/>
          <w:szCs w:val="22"/>
        </w:rPr>
      </w:pPr>
    </w:p>
    <w:p w14:paraId="7B4005AF" w14:textId="77777777" w:rsidR="00C81DC4" w:rsidRPr="00781361" w:rsidRDefault="00C81DC4" w:rsidP="00EF3D59">
      <w:pPr>
        <w:spacing w:line="288" w:lineRule="auto"/>
        <w:jc w:val="both"/>
        <w:rPr>
          <w:rFonts w:ascii="Arial" w:hAnsi="Arial" w:cs="Arial"/>
          <w:b/>
          <w:color w:val="000000"/>
          <w:sz w:val="22"/>
          <w:szCs w:val="22"/>
        </w:rPr>
      </w:pPr>
      <w:r w:rsidRPr="00781361">
        <w:rPr>
          <w:rFonts w:ascii="Arial" w:hAnsi="Arial" w:cs="Arial"/>
          <w:b/>
          <w:color w:val="000000"/>
          <w:sz w:val="22"/>
          <w:szCs w:val="22"/>
        </w:rPr>
        <w:t>Tablas de eventos relacionadas con las deducciones en la obligación</w:t>
      </w:r>
    </w:p>
    <w:p w14:paraId="622715A4" w14:textId="77777777" w:rsidR="00C81DC4" w:rsidRPr="00781361" w:rsidRDefault="00C81DC4" w:rsidP="00EF3D59">
      <w:pPr>
        <w:spacing w:line="288" w:lineRule="auto"/>
        <w:jc w:val="both"/>
        <w:rPr>
          <w:rFonts w:ascii="Arial" w:hAnsi="Arial" w:cs="Arial"/>
          <w:sz w:val="22"/>
          <w:szCs w:val="22"/>
        </w:rPr>
      </w:pPr>
    </w:p>
    <w:p w14:paraId="10761337" w14:textId="77777777" w:rsidR="00C81DC4" w:rsidRPr="00A0134B" w:rsidRDefault="00C81DC4" w:rsidP="00343ECE">
      <w:pPr>
        <w:pStyle w:val="unico"/>
        <w:numPr>
          <w:ilvl w:val="0"/>
          <w:numId w:val="18"/>
        </w:numPr>
        <w:tabs>
          <w:tab w:val="left" w:pos="851"/>
        </w:tabs>
        <w:spacing w:before="0" w:beforeAutospacing="0" w:after="0" w:afterAutospacing="0" w:line="288" w:lineRule="auto"/>
        <w:ind w:left="142" w:hanging="142"/>
        <w:jc w:val="both"/>
        <w:rPr>
          <w:rFonts w:ascii="Arial" w:hAnsi="Arial" w:cs="Arial"/>
          <w:color w:val="000000"/>
          <w:sz w:val="22"/>
          <w:szCs w:val="22"/>
        </w:rPr>
      </w:pPr>
      <w:r w:rsidRPr="00A0134B">
        <w:rPr>
          <w:rFonts w:ascii="Arial" w:hAnsi="Arial" w:cs="Arial"/>
          <w:b/>
          <w:color w:val="000000"/>
          <w:sz w:val="22"/>
          <w:szCs w:val="22"/>
        </w:rPr>
        <w:t>T-CON08 Pagos no presupuestal:</w:t>
      </w:r>
      <w:r w:rsidRPr="00A0134B">
        <w:rPr>
          <w:rFonts w:ascii="Arial" w:hAnsi="Arial" w:cs="Arial"/>
          <w:color w:val="000000"/>
          <w:sz w:val="22"/>
          <w:szCs w:val="22"/>
        </w:rPr>
        <w:t xml:space="preserve"> Esta tabla contiene el efecto contable de la </w:t>
      </w:r>
      <w:proofErr w:type="spellStart"/>
      <w:r w:rsidRPr="00A0134B">
        <w:rPr>
          <w:rFonts w:ascii="Arial" w:hAnsi="Arial" w:cs="Arial"/>
          <w:color w:val="000000"/>
          <w:sz w:val="22"/>
          <w:szCs w:val="22"/>
        </w:rPr>
        <w:t>causación</w:t>
      </w:r>
      <w:proofErr w:type="spellEnd"/>
      <w:r w:rsidRPr="00A0134B">
        <w:rPr>
          <w:rFonts w:ascii="Arial" w:hAnsi="Arial" w:cs="Arial"/>
          <w:color w:val="000000"/>
          <w:sz w:val="22"/>
          <w:szCs w:val="22"/>
        </w:rPr>
        <w:t xml:space="preserve"> en el haber y el pago de las deducciones en </w:t>
      </w:r>
      <w:proofErr w:type="spellStart"/>
      <w:r w:rsidRPr="00A0134B">
        <w:rPr>
          <w:rFonts w:ascii="Arial" w:hAnsi="Arial" w:cs="Arial"/>
          <w:color w:val="000000"/>
          <w:sz w:val="22"/>
          <w:szCs w:val="22"/>
        </w:rPr>
        <w:t>el</w:t>
      </w:r>
      <w:proofErr w:type="spellEnd"/>
      <w:r w:rsidRPr="00A0134B">
        <w:rPr>
          <w:rFonts w:ascii="Arial" w:hAnsi="Arial" w:cs="Arial"/>
          <w:color w:val="000000"/>
          <w:sz w:val="22"/>
          <w:szCs w:val="22"/>
        </w:rPr>
        <w:t xml:space="preserve"> debe, que se originan en la cadena presupuestal de gastos.</w:t>
      </w:r>
    </w:p>
    <w:p w14:paraId="1CCBE845" w14:textId="77777777" w:rsidR="00C81DC4" w:rsidRPr="00A0134B" w:rsidRDefault="00C81DC4" w:rsidP="00EF3D59">
      <w:pPr>
        <w:pStyle w:val="unico"/>
        <w:spacing w:before="0" w:beforeAutospacing="0" w:after="0" w:afterAutospacing="0" w:line="288" w:lineRule="auto"/>
        <w:ind w:left="142" w:hanging="142"/>
        <w:jc w:val="both"/>
        <w:rPr>
          <w:rFonts w:ascii="Arial" w:hAnsi="Arial" w:cs="Arial"/>
          <w:color w:val="000000"/>
          <w:sz w:val="22"/>
          <w:szCs w:val="22"/>
        </w:rPr>
      </w:pPr>
    </w:p>
    <w:p w14:paraId="559A56E3" w14:textId="77777777" w:rsidR="00C81DC4" w:rsidRPr="00A0134B" w:rsidRDefault="00C81DC4"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 xml:space="preserve">La </w:t>
      </w:r>
      <w:proofErr w:type="spellStart"/>
      <w:r w:rsidRPr="00A0134B">
        <w:rPr>
          <w:rFonts w:ascii="Arial" w:hAnsi="Arial" w:cs="Arial"/>
          <w:color w:val="000000"/>
          <w:sz w:val="22"/>
          <w:szCs w:val="22"/>
        </w:rPr>
        <w:t>causación</w:t>
      </w:r>
      <w:proofErr w:type="spellEnd"/>
      <w:r w:rsidRPr="00A0134B">
        <w:rPr>
          <w:rFonts w:ascii="Arial" w:hAnsi="Arial" w:cs="Arial"/>
          <w:color w:val="000000"/>
          <w:sz w:val="22"/>
          <w:szCs w:val="22"/>
        </w:rPr>
        <w:t xml:space="preserve"> de la deducción se constituye con las variables ya definidas para la obligación y registra el código contable crédito por cada PPNP por el valor de la deducción de acuerdo con la definición del haber de la TCON08.</w:t>
      </w:r>
    </w:p>
    <w:p w14:paraId="1D0428AB" w14:textId="77777777" w:rsidR="00C81DC4" w:rsidRPr="00A0134B" w:rsidRDefault="00C81DC4" w:rsidP="00EF3D59">
      <w:pPr>
        <w:pStyle w:val="unico"/>
        <w:spacing w:before="0" w:beforeAutospacing="0" w:after="0" w:afterAutospacing="0" w:line="288" w:lineRule="auto"/>
        <w:ind w:left="142" w:hanging="142"/>
        <w:jc w:val="both"/>
        <w:rPr>
          <w:rFonts w:ascii="Arial" w:hAnsi="Arial" w:cs="Arial"/>
          <w:color w:val="000000"/>
          <w:sz w:val="22"/>
          <w:szCs w:val="22"/>
        </w:rPr>
      </w:pPr>
    </w:p>
    <w:p w14:paraId="4398F8AB" w14:textId="77777777" w:rsidR="00C81DC4" w:rsidRPr="00A0134B" w:rsidRDefault="00C81DC4"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El pago de la deducción se registra en la TCON014 y el sistema valida el registro débito con el de la tabla TCON08.</w:t>
      </w:r>
    </w:p>
    <w:p w14:paraId="5E889C13" w14:textId="77777777" w:rsidR="00C81DC4" w:rsidRPr="00A0134B" w:rsidRDefault="00C81DC4" w:rsidP="00EF3D59">
      <w:pPr>
        <w:tabs>
          <w:tab w:val="left" w:pos="851"/>
        </w:tabs>
        <w:spacing w:line="288" w:lineRule="auto"/>
        <w:jc w:val="both"/>
        <w:rPr>
          <w:rFonts w:ascii="Arial" w:hAnsi="Arial" w:cs="Arial"/>
          <w:b/>
          <w:color w:val="000000"/>
          <w:sz w:val="22"/>
          <w:szCs w:val="22"/>
        </w:rPr>
      </w:pPr>
    </w:p>
    <w:p w14:paraId="39D86A95" w14:textId="77777777" w:rsidR="00C81DC4" w:rsidRPr="00C74A64" w:rsidRDefault="00C81DC4" w:rsidP="00EF3D59">
      <w:pPr>
        <w:spacing w:line="288" w:lineRule="auto"/>
        <w:jc w:val="both"/>
        <w:rPr>
          <w:rFonts w:ascii="Arial" w:hAnsi="Arial" w:cs="Arial"/>
          <w:i/>
          <w:iCs/>
          <w:color w:val="000000"/>
          <w:sz w:val="22"/>
          <w:szCs w:val="22"/>
        </w:rPr>
      </w:pPr>
      <w:r w:rsidRPr="000A1C5B">
        <w:rPr>
          <w:rFonts w:ascii="Arial" w:hAnsi="Arial" w:cs="Arial"/>
          <w:b/>
          <w:color w:val="000000"/>
          <w:sz w:val="22"/>
          <w:szCs w:val="22"/>
        </w:rPr>
        <w:t>Reintegros de la vigencia fiscal actual</w:t>
      </w:r>
      <w:r w:rsidR="00591280" w:rsidRPr="000A1C5B">
        <w:rPr>
          <w:rFonts w:ascii="Arial" w:hAnsi="Arial" w:cs="Arial"/>
          <w:b/>
          <w:color w:val="000000"/>
          <w:sz w:val="22"/>
          <w:szCs w:val="22"/>
        </w:rPr>
        <w:t xml:space="preserve">: </w:t>
      </w:r>
      <w:r w:rsidRPr="000A1C5B">
        <w:rPr>
          <w:rFonts w:ascii="Arial" w:hAnsi="Arial" w:cs="Arial"/>
          <w:color w:val="000000"/>
          <w:sz w:val="22"/>
          <w:szCs w:val="22"/>
        </w:rPr>
        <w:t>De acuerdo con lo definido en</w:t>
      </w:r>
      <w:r w:rsidR="00BD7AA9" w:rsidRPr="000A1C5B">
        <w:rPr>
          <w:rFonts w:ascii="Arial" w:hAnsi="Arial" w:cs="Arial"/>
          <w:color w:val="000000"/>
          <w:sz w:val="22"/>
          <w:szCs w:val="22"/>
        </w:rPr>
        <w:t xml:space="preserve"> los Procedimientos Contables del Marco Normativo para Entidades de Gobierno,</w:t>
      </w:r>
      <w:r w:rsidR="0059020A" w:rsidRPr="000A1C5B">
        <w:rPr>
          <w:rFonts w:ascii="Arial" w:hAnsi="Arial" w:cs="Arial"/>
          <w:color w:val="000000"/>
          <w:sz w:val="22"/>
          <w:szCs w:val="22"/>
        </w:rPr>
        <w:t xml:space="preserve"> del Régimen de Contabilidad </w:t>
      </w:r>
      <w:r w:rsidR="0059020A" w:rsidRPr="000A1C5B">
        <w:rPr>
          <w:rFonts w:ascii="Arial" w:hAnsi="Arial" w:cs="Arial"/>
          <w:color w:val="000000"/>
          <w:sz w:val="22"/>
          <w:szCs w:val="22"/>
        </w:rPr>
        <w:lastRenderedPageBreak/>
        <w:t xml:space="preserve">Pública, </w:t>
      </w:r>
      <w:r w:rsidRPr="000A1C5B">
        <w:rPr>
          <w:rFonts w:ascii="Arial" w:hAnsi="Arial" w:cs="Arial"/>
          <w:color w:val="000000"/>
          <w:sz w:val="22"/>
          <w:szCs w:val="22"/>
        </w:rPr>
        <w:t xml:space="preserve">los reintegros corresponden: </w:t>
      </w:r>
      <w:r w:rsidRPr="00C74A64">
        <w:rPr>
          <w:rFonts w:ascii="Arial" w:hAnsi="Arial" w:cs="Arial"/>
          <w:i/>
          <w:iCs/>
          <w:color w:val="000000"/>
          <w:sz w:val="22"/>
          <w:szCs w:val="22"/>
        </w:rPr>
        <w:t>“</w:t>
      </w:r>
      <w:r w:rsidR="00BD7AA9" w:rsidRPr="00C74A64">
        <w:rPr>
          <w:rFonts w:ascii="Arial" w:hAnsi="Arial" w:cs="Arial"/>
          <w:i/>
          <w:iCs/>
          <w:color w:val="000000"/>
          <w:sz w:val="22"/>
          <w:szCs w:val="22"/>
        </w:rPr>
        <w:t>a los recursos restituidos a la tesorería centralizada por parte de la entidad o de un beneficiario final, con ocasión de la devolución de bienes y servicios adquiridos</w:t>
      </w:r>
      <w:r w:rsidRPr="00C74A64">
        <w:rPr>
          <w:rFonts w:ascii="Arial" w:hAnsi="Arial" w:cs="Arial"/>
          <w:i/>
          <w:iCs/>
          <w:color w:val="000000"/>
          <w:sz w:val="22"/>
          <w:szCs w:val="22"/>
        </w:rPr>
        <w:t>”.</w:t>
      </w:r>
    </w:p>
    <w:p w14:paraId="3E7D9C43" w14:textId="77777777" w:rsidR="00BD7AA9" w:rsidRPr="00A0134B" w:rsidRDefault="00BD7AA9" w:rsidP="00EF3D59">
      <w:pPr>
        <w:spacing w:line="288" w:lineRule="auto"/>
        <w:jc w:val="both"/>
        <w:rPr>
          <w:rFonts w:ascii="Arial" w:hAnsi="Arial" w:cs="Arial"/>
          <w:sz w:val="22"/>
          <w:szCs w:val="22"/>
        </w:rPr>
      </w:pPr>
    </w:p>
    <w:p w14:paraId="73E090C7"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proceso para el registro de reintegros en el sistema se genera a partir de un documento de recaudo por clasificar, con la carga del extracto. Para el reconocimiento de esta transacción debe diferenciarse si la tesorería es centralizada o si es de la misma ECP.</w:t>
      </w:r>
    </w:p>
    <w:p w14:paraId="091F055A"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p>
    <w:p w14:paraId="061D0645"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se consignan los recursos en la tesorería centralizada-DTN, el sistema genera un comprobante de partida doble que debita la subcuenta que corresponda de la cuenta 1110-depósitos en instituciones financieras y acredita la subcuenta 472080-recaudos; este registro está determinado en la </w:t>
      </w:r>
      <w:r w:rsidRPr="00C74A64">
        <w:rPr>
          <w:rFonts w:ascii="Arial" w:hAnsi="Arial" w:cs="Arial"/>
          <w:i/>
          <w:iCs/>
          <w:color w:val="000000"/>
          <w:sz w:val="22"/>
          <w:szCs w:val="22"/>
        </w:rPr>
        <w:t>“creación”</w:t>
      </w:r>
      <w:r w:rsidRPr="00A0134B">
        <w:rPr>
          <w:rFonts w:ascii="Arial" w:hAnsi="Arial" w:cs="Arial"/>
          <w:color w:val="000000"/>
          <w:sz w:val="22"/>
          <w:szCs w:val="22"/>
        </w:rPr>
        <w:t xml:space="preserve"> de la cuenta bancaria al definir los códigos contables.</w:t>
      </w:r>
    </w:p>
    <w:p w14:paraId="22863DDD"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p>
    <w:p w14:paraId="130014FD"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Tratándose de la tesorería de la misma ECP, el sistema genera un comprobante de partida doble que debita la subcuenta que corresponda de la cuenta 1110-depósitos en instituciones financieras y acredita la subcuenta </w:t>
      </w:r>
      <w:r w:rsidR="0059020A" w:rsidRPr="00A0134B">
        <w:rPr>
          <w:rFonts w:ascii="Arial" w:hAnsi="Arial" w:cs="Arial"/>
          <w:color w:val="000000"/>
          <w:sz w:val="22"/>
          <w:szCs w:val="22"/>
        </w:rPr>
        <w:t xml:space="preserve">240720 </w:t>
      </w:r>
      <w:r w:rsidRPr="00A0134B">
        <w:rPr>
          <w:rFonts w:ascii="Arial" w:hAnsi="Arial" w:cs="Arial"/>
          <w:color w:val="000000"/>
          <w:sz w:val="22"/>
          <w:szCs w:val="22"/>
        </w:rPr>
        <w:t>-</w:t>
      </w:r>
      <w:r w:rsidR="0059020A" w:rsidRPr="00A0134B">
        <w:rPr>
          <w:rFonts w:ascii="Arial" w:hAnsi="Arial" w:cs="Arial"/>
          <w:color w:val="000000"/>
          <w:sz w:val="22"/>
          <w:szCs w:val="22"/>
        </w:rPr>
        <w:t xml:space="preserve"> R</w:t>
      </w:r>
      <w:r w:rsidRPr="00A0134B">
        <w:rPr>
          <w:rFonts w:ascii="Arial" w:hAnsi="Arial" w:cs="Arial"/>
          <w:color w:val="000000"/>
          <w:sz w:val="22"/>
          <w:szCs w:val="22"/>
        </w:rPr>
        <w:t>ecaudos por clasificar.</w:t>
      </w:r>
    </w:p>
    <w:p w14:paraId="0531EF40"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p>
    <w:p w14:paraId="67B42CB6"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usuario de la ECP, a través del macroproceso de ejecución presupuestal de gasto, EPG, identifica la orden de pago a reintegrar y la obligación que la originó. El sistema presenta los ítems de afectación del gasto con los valores tanto brutos, como las deducciones.</w:t>
      </w:r>
    </w:p>
    <w:p w14:paraId="06242061" w14:textId="77777777" w:rsidR="00591280" w:rsidRPr="00A0134B" w:rsidRDefault="00591280" w:rsidP="00EF3D59">
      <w:pPr>
        <w:pStyle w:val="unico"/>
        <w:spacing w:before="0" w:beforeAutospacing="0" w:after="0" w:afterAutospacing="0" w:line="288" w:lineRule="auto"/>
        <w:jc w:val="both"/>
        <w:rPr>
          <w:rFonts w:ascii="Arial" w:hAnsi="Arial" w:cs="Arial"/>
          <w:color w:val="000000"/>
          <w:sz w:val="22"/>
          <w:szCs w:val="22"/>
        </w:rPr>
      </w:pPr>
    </w:p>
    <w:p w14:paraId="32FAF00C"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efecto contable del reintegro es la disminución de los conceptos registrados por cada ítem de afectación del gasto y las deducciones correspondientes. Si el reintegro se realiza en la tesorería centralizada- DTN, y lo aplica una ECP diferente, la contrapartida afecta las operaciones de fondos entregados y recibidos, respectivamente. Los reintegros que se realizan en la tesorería de la misma ECP que efectuó la cadena presupuestal, afectan la subcuenta del recaudo (</w:t>
      </w:r>
      <w:r w:rsidR="00F23000" w:rsidRPr="00A0134B">
        <w:rPr>
          <w:rFonts w:ascii="Arial" w:hAnsi="Arial" w:cs="Arial"/>
          <w:color w:val="000000"/>
          <w:sz w:val="22"/>
          <w:szCs w:val="22"/>
        </w:rPr>
        <w:t>240720</w:t>
      </w:r>
      <w:r w:rsidRPr="00A0134B">
        <w:rPr>
          <w:rFonts w:ascii="Arial" w:hAnsi="Arial" w:cs="Arial"/>
          <w:color w:val="000000"/>
          <w:sz w:val="22"/>
          <w:szCs w:val="22"/>
        </w:rPr>
        <w:t>-</w:t>
      </w:r>
      <w:r w:rsidR="00F23000" w:rsidRPr="00A0134B">
        <w:rPr>
          <w:rFonts w:ascii="Arial" w:hAnsi="Arial" w:cs="Arial"/>
          <w:color w:val="000000"/>
          <w:sz w:val="22"/>
          <w:szCs w:val="22"/>
        </w:rPr>
        <w:t>R</w:t>
      </w:r>
      <w:r w:rsidRPr="00A0134B">
        <w:rPr>
          <w:rFonts w:ascii="Arial" w:hAnsi="Arial" w:cs="Arial"/>
          <w:color w:val="000000"/>
          <w:sz w:val="22"/>
          <w:szCs w:val="22"/>
        </w:rPr>
        <w:t>ecaudos</w:t>
      </w:r>
      <w:r w:rsidR="00F23000" w:rsidRPr="00A0134B">
        <w:rPr>
          <w:rFonts w:ascii="Arial" w:hAnsi="Arial" w:cs="Arial"/>
          <w:color w:val="000000"/>
          <w:sz w:val="22"/>
          <w:szCs w:val="22"/>
        </w:rPr>
        <w:t xml:space="preserve"> por clasificar</w:t>
      </w:r>
      <w:r w:rsidRPr="00A0134B">
        <w:rPr>
          <w:rFonts w:ascii="Arial" w:hAnsi="Arial" w:cs="Arial"/>
          <w:color w:val="000000"/>
          <w:sz w:val="22"/>
          <w:szCs w:val="22"/>
        </w:rPr>
        <w:t>).</w:t>
      </w:r>
    </w:p>
    <w:p w14:paraId="5FD7C8C9" w14:textId="77777777" w:rsidR="00F23000" w:rsidRPr="00A0134B" w:rsidRDefault="00F23000" w:rsidP="00EF3D59">
      <w:pPr>
        <w:pStyle w:val="unico"/>
        <w:spacing w:before="0" w:beforeAutospacing="0" w:after="0" w:afterAutospacing="0" w:line="288" w:lineRule="auto"/>
        <w:jc w:val="both"/>
        <w:rPr>
          <w:rFonts w:ascii="Arial" w:hAnsi="Arial" w:cs="Arial"/>
          <w:color w:val="000000"/>
          <w:sz w:val="22"/>
          <w:szCs w:val="22"/>
        </w:rPr>
      </w:pPr>
    </w:p>
    <w:p w14:paraId="743EAB58" w14:textId="77777777" w:rsidR="00C81DC4" w:rsidRPr="00A0134B" w:rsidRDefault="00C81DC4"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En caso de que el valor del documento de recaudo por clasificar sea mayor o menor al valor reintegrado, como resultado de una diferencia a favor por modificaciones en la tasa de cambio, (porque existe un saldo diferente de cero en el atributo </w:t>
      </w:r>
      <w:r w:rsidRPr="00C74A64">
        <w:rPr>
          <w:rFonts w:ascii="Arial" w:hAnsi="Arial" w:cs="Arial"/>
          <w:i/>
          <w:iCs/>
          <w:color w:val="000000"/>
          <w:sz w:val="22"/>
          <w:szCs w:val="22"/>
        </w:rPr>
        <w:t>“diferencial cambiario”</w:t>
      </w:r>
      <w:r w:rsidRPr="00A0134B">
        <w:rPr>
          <w:rFonts w:ascii="Arial" w:hAnsi="Arial" w:cs="Arial"/>
          <w:color w:val="000000"/>
          <w:sz w:val="22"/>
          <w:szCs w:val="22"/>
        </w:rPr>
        <w:t>), la ECP deberá efectuar el registro de imputación del ingreso/gasto correspondiente por el valor que corresponda al diferencial cambiario.</w:t>
      </w:r>
    </w:p>
    <w:p w14:paraId="2340577D" w14:textId="77777777" w:rsidR="00C81DC4" w:rsidRPr="00A0134B" w:rsidRDefault="00C81DC4" w:rsidP="00EF3D59">
      <w:pPr>
        <w:tabs>
          <w:tab w:val="left" w:pos="851"/>
        </w:tabs>
        <w:spacing w:line="288" w:lineRule="auto"/>
        <w:jc w:val="both"/>
        <w:rPr>
          <w:rFonts w:ascii="Arial" w:hAnsi="Arial" w:cs="Arial"/>
          <w:b/>
          <w:color w:val="000000"/>
          <w:sz w:val="22"/>
          <w:szCs w:val="22"/>
        </w:rPr>
      </w:pPr>
    </w:p>
    <w:p w14:paraId="76692E73" w14:textId="77777777" w:rsidR="000853A3" w:rsidRPr="000A1C5B" w:rsidRDefault="000853A3" w:rsidP="00EF3D59">
      <w:pPr>
        <w:spacing w:line="288" w:lineRule="auto"/>
        <w:jc w:val="both"/>
        <w:rPr>
          <w:rFonts w:ascii="Arial" w:hAnsi="Arial" w:cs="Arial"/>
          <w:color w:val="000000"/>
          <w:sz w:val="22"/>
          <w:szCs w:val="22"/>
        </w:rPr>
      </w:pPr>
      <w:r w:rsidRPr="000A1C5B">
        <w:rPr>
          <w:rFonts w:ascii="Arial" w:hAnsi="Arial" w:cs="Arial"/>
          <w:b/>
          <w:color w:val="000000"/>
          <w:sz w:val="22"/>
          <w:szCs w:val="22"/>
        </w:rPr>
        <w:t>Caja menor</w:t>
      </w:r>
      <w:r w:rsidRPr="000A1C5B">
        <w:rPr>
          <w:rStyle w:val="Refdenotaalpie"/>
          <w:rFonts w:ascii="Arial" w:hAnsi="Arial" w:cs="Arial"/>
          <w:b/>
          <w:color w:val="000000"/>
          <w:sz w:val="22"/>
          <w:szCs w:val="22"/>
        </w:rPr>
        <w:footnoteReference w:id="6"/>
      </w:r>
      <w:r w:rsidRPr="000A1C5B">
        <w:rPr>
          <w:rFonts w:ascii="Arial" w:hAnsi="Arial" w:cs="Arial"/>
          <w:b/>
          <w:color w:val="000000"/>
          <w:sz w:val="22"/>
          <w:szCs w:val="22"/>
        </w:rPr>
        <w:t xml:space="preserve">: </w:t>
      </w:r>
      <w:r w:rsidRPr="000A1C5B">
        <w:rPr>
          <w:rFonts w:ascii="Arial" w:hAnsi="Arial" w:cs="Arial"/>
          <w:color w:val="000000"/>
          <w:sz w:val="22"/>
          <w:szCs w:val="22"/>
        </w:rPr>
        <w:t xml:space="preserve">La constitución de la caja menor se registra con una cadena presupuestal de gasto, donde se selecciona el atributo contable de </w:t>
      </w:r>
      <w:r w:rsidRPr="00C74A64">
        <w:rPr>
          <w:rFonts w:ascii="Arial" w:hAnsi="Arial" w:cs="Arial"/>
          <w:i/>
          <w:iCs/>
          <w:color w:val="000000"/>
          <w:sz w:val="22"/>
          <w:szCs w:val="22"/>
        </w:rPr>
        <w:t>“caja menor”</w:t>
      </w:r>
      <w:r w:rsidRPr="000A1C5B">
        <w:rPr>
          <w:rFonts w:ascii="Arial" w:hAnsi="Arial" w:cs="Arial"/>
          <w:color w:val="000000"/>
          <w:sz w:val="22"/>
          <w:szCs w:val="22"/>
        </w:rPr>
        <w:t xml:space="preserve">. </w:t>
      </w:r>
    </w:p>
    <w:p w14:paraId="3C27DC07" w14:textId="77777777" w:rsidR="000853A3" w:rsidRPr="000A1C5B" w:rsidRDefault="000853A3" w:rsidP="00EF3D59">
      <w:pPr>
        <w:pStyle w:val="unico"/>
        <w:spacing w:before="0" w:beforeAutospacing="0" w:after="0" w:afterAutospacing="0" w:line="288" w:lineRule="auto"/>
        <w:jc w:val="both"/>
        <w:rPr>
          <w:rFonts w:ascii="Arial" w:hAnsi="Arial" w:cs="Arial"/>
          <w:color w:val="000000"/>
          <w:sz w:val="22"/>
          <w:szCs w:val="22"/>
        </w:rPr>
      </w:pPr>
    </w:p>
    <w:p w14:paraId="6030C1E5" w14:textId="77777777" w:rsidR="000853A3" w:rsidRPr="00A0134B" w:rsidRDefault="000853A3"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Cuando la entidad que realiza la cadena presupuestal de gasto es la misma que paga, el reconocimiento se hace con un débito de la subcuenta 110502-caja menor en el auxiliar que corresponda, con contrapartida en la subcuenta relacionada de la cuenta 1110-depósito en instituciones financieras; en caso contrario, la contrapartida corresponde a las subcuentas de la cuenta de fondos recibidos.</w:t>
      </w:r>
    </w:p>
    <w:p w14:paraId="498B67BA" w14:textId="77777777" w:rsidR="000853A3" w:rsidRPr="00A0134B" w:rsidRDefault="000853A3" w:rsidP="00EF3D59">
      <w:pPr>
        <w:pStyle w:val="unico"/>
        <w:spacing w:before="0" w:beforeAutospacing="0" w:after="0" w:afterAutospacing="0" w:line="288" w:lineRule="auto"/>
        <w:jc w:val="both"/>
        <w:rPr>
          <w:rFonts w:ascii="Arial" w:hAnsi="Arial" w:cs="Arial"/>
          <w:color w:val="000000"/>
          <w:sz w:val="22"/>
          <w:szCs w:val="22"/>
        </w:rPr>
      </w:pPr>
    </w:p>
    <w:p w14:paraId="041715E1" w14:textId="77777777" w:rsidR="00A008AC" w:rsidRPr="000A1C5B" w:rsidRDefault="00A008AC" w:rsidP="00EF3D59">
      <w:pPr>
        <w:spacing w:line="288" w:lineRule="auto"/>
        <w:jc w:val="both"/>
        <w:rPr>
          <w:rFonts w:ascii="Arial" w:hAnsi="Arial" w:cs="Arial"/>
          <w:color w:val="000000"/>
          <w:sz w:val="22"/>
          <w:szCs w:val="22"/>
        </w:rPr>
      </w:pPr>
      <w:r w:rsidRPr="000A1C5B">
        <w:rPr>
          <w:rFonts w:ascii="Arial" w:hAnsi="Arial" w:cs="Arial"/>
          <w:b/>
          <w:color w:val="000000"/>
          <w:sz w:val="22"/>
          <w:szCs w:val="22"/>
        </w:rPr>
        <w:t xml:space="preserve">Registros contables cuando se administra una obligación: </w:t>
      </w:r>
      <w:r w:rsidRPr="000A1C5B">
        <w:rPr>
          <w:rFonts w:ascii="Arial" w:hAnsi="Arial" w:cs="Arial"/>
          <w:color w:val="000000"/>
          <w:sz w:val="22"/>
          <w:szCs w:val="22"/>
        </w:rPr>
        <w:t>La adición de una obligación genera en la contabilidad un asiento de partida doble igual al asiento de creación de la obligación por el mayor valor adicionado.</w:t>
      </w:r>
    </w:p>
    <w:p w14:paraId="04AEFAE9" w14:textId="77777777" w:rsidR="00A008AC" w:rsidRPr="00A0134B" w:rsidRDefault="00A008AC" w:rsidP="00EF3D59">
      <w:pPr>
        <w:spacing w:line="288" w:lineRule="auto"/>
        <w:jc w:val="both"/>
        <w:rPr>
          <w:rFonts w:ascii="Arial" w:hAnsi="Arial" w:cs="Arial"/>
          <w:sz w:val="22"/>
          <w:szCs w:val="22"/>
        </w:rPr>
      </w:pPr>
    </w:p>
    <w:p w14:paraId="47DC6987" w14:textId="77777777" w:rsidR="00A008AC" w:rsidRPr="00A0134B" w:rsidRDefault="00A008AC"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reducción y la anulación de la obligación generan en la contabilidad asientos de partida doble afectando los mismos códigos contables del registro de creación, por los menores valores reducidos o anulados.</w:t>
      </w:r>
    </w:p>
    <w:p w14:paraId="6DC93250" w14:textId="77777777" w:rsidR="00A008AC" w:rsidRPr="00A0134B" w:rsidRDefault="00A008AC" w:rsidP="00EF3D59">
      <w:pPr>
        <w:pStyle w:val="Ttulo2"/>
        <w:spacing w:line="288" w:lineRule="auto"/>
        <w:rPr>
          <w:rFonts w:ascii="Arial" w:hAnsi="Arial" w:cs="Arial"/>
          <w:color w:val="000000"/>
          <w:sz w:val="22"/>
          <w:szCs w:val="22"/>
        </w:rPr>
      </w:pPr>
    </w:p>
    <w:p w14:paraId="5A9C11D6" w14:textId="77777777" w:rsidR="00A008AC" w:rsidRPr="000A1C5B" w:rsidRDefault="000A1C5B" w:rsidP="00EF3D59">
      <w:pPr>
        <w:spacing w:line="288" w:lineRule="auto"/>
        <w:jc w:val="both"/>
        <w:rPr>
          <w:rFonts w:ascii="Arial" w:hAnsi="Arial" w:cs="Arial"/>
          <w:b/>
          <w:color w:val="000000"/>
          <w:sz w:val="22"/>
          <w:szCs w:val="22"/>
        </w:rPr>
      </w:pPr>
      <w:r w:rsidRPr="000A1C5B">
        <w:rPr>
          <w:rFonts w:ascii="Arial" w:hAnsi="Arial" w:cs="Arial"/>
          <w:b/>
          <w:color w:val="000000"/>
          <w:sz w:val="22"/>
          <w:szCs w:val="22"/>
        </w:rPr>
        <w:t>Otros aspectos por considerar</w:t>
      </w:r>
      <w:r w:rsidR="00A008AC" w:rsidRPr="000A1C5B">
        <w:rPr>
          <w:rFonts w:ascii="Arial" w:hAnsi="Arial" w:cs="Arial"/>
          <w:b/>
          <w:color w:val="000000"/>
          <w:sz w:val="22"/>
          <w:szCs w:val="22"/>
        </w:rPr>
        <w:t xml:space="preserve"> en el registro de la ejecución presupuestal de gastos, EPG</w:t>
      </w:r>
    </w:p>
    <w:p w14:paraId="30651270" w14:textId="77777777" w:rsidR="00A008AC" w:rsidRPr="000A1C5B" w:rsidRDefault="00A008AC" w:rsidP="00EF3D59">
      <w:pPr>
        <w:spacing w:line="288" w:lineRule="auto"/>
        <w:jc w:val="both"/>
        <w:rPr>
          <w:rFonts w:ascii="Arial" w:hAnsi="Arial" w:cs="Arial"/>
          <w:b/>
          <w:sz w:val="22"/>
          <w:szCs w:val="22"/>
        </w:rPr>
      </w:pPr>
    </w:p>
    <w:p w14:paraId="30812868" w14:textId="516E2C70" w:rsidR="000A1C5B" w:rsidRDefault="00A008AC" w:rsidP="00343ECE">
      <w:pPr>
        <w:numPr>
          <w:ilvl w:val="0"/>
          <w:numId w:val="22"/>
        </w:numPr>
        <w:spacing w:line="288" w:lineRule="auto"/>
        <w:ind w:left="142" w:hanging="142"/>
        <w:jc w:val="both"/>
        <w:rPr>
          <w:rFonts w:ascii="Arial" w:hAnsi="Arial" w:cs="Arial"/>
          <w:color w:val="000000"/>
          <w:sz w:val="22"/>
          <w:szCs w:val="22"/>
        </w:rPr>
      </w:pPr>
      <w:r w:rsidRPr="00251DAD">
        <w:rPr>
          <w:rFonts w:ascii="Arial" w:hAnsi="Arial" w:cs="Arial"/>
          <w:b/>
          <w:color w:val="000000"/>
          <w:sz w:val="22"/>
          <w:szCs w:val="22"/>
        </w:rPr>
        <w:t>Bienes muebles en bodega</w:t>
      </w:r>
      <w:r w:rsidR="005F2F05" w:rsidRPr="00251DAD">
        <w:rPr>
          <w:rFonts w:ascii="Arial" w:hAnsi="Arial" w:cs="Arial"/>
          <w:b/>
          <w:color w:val="000000"/>
          <w:sz w:val="22"/>
          <w:szCs w:val="22"/>
        </w:rPr>
        <w:t>:</w:t>
      </w:r>
      <w:r w:rsidR="005F2F05" w:rsidRPr="00251DAD">
        <w:rPr>
          <w:rFonts w:ascii="Arial" w:hAnsi="Arial" w:cs="Arial"/>
          <w:color w:val="000000"/>
          <w:sz w:val="22"/>
          <w:szCs w:val="22"/>
        </w:rPr>
        <w:t xml:space="preserve"> E</w:t>
      </w:r>
      <w:r w:rsidRPr="00251DAD">
        <w:rPr>
          <w:rFonts w:ascii="Arial" w:hAnsi="Arial" w:cs="Arial"/>
          <w:color w:val="000000"/>
          <w:sz w:val="22"/>
          <w:szCs w:val="22"/>
        </w:rPr>
        <w:t>l registro de los bienes muebles en bodega, tienen la característica de permanentes y su finalidad es que estos muebles sean utilizados en el futuro, en actividades de producción o administración. Se han considerado en el macroproceso con el nombre de bienes y servicios, BYS. No obstante, mientras se implementa este macroproceso, se estableció que la adquisición de los bienes tangibles utilizados en el desarrollo de las funciones de cometido estatal, se reconozca en las subcuentas que identifiquen la naturaleza del bien adquirido.</w:t>
      </w:r>
    </w:p>
    <w:p w14:paraId="4285B4B1" w14:textId="77777777" w:rsidR="00C63BFD" w:rsidRPr="00251DAD" w:rsidRDefault="00C63BFD" w:rsidP="00EF3D59">
      <w:pPr>
        <w:spacing w:line="288" w:lineRule="auto"/>
        <w:ind w:left="142" w:hanging="142"/>
        <w:jc w:val="both"/>
        <w:rPr>
          <w:rFonts w:ascii="Arial" w:hAnsi="Arial" w:cs="Arial"/>
          <w:sz w:val="22"/>
          <w:szCs w:val="22"/>
        </w:rPr>
      </w:pPr>
    </w:p>
    <w:p w14:paraId="1E71D201" w14:textId="77777777" w:rsidR="007C50C1" w:rsidRPr="00251DAD" w:rsidRDefault="007C50C1" w:rsidP="00343ECE">
      <w:pPr>
        <w:numPr>
          <w:ilvl w:val="0"/>
          <w:numId w:val="22"/>
        </w:numPr>
        <w:spacing w:line="288" w:lineRule="auto"/>
        <w:ind w:left="142" w:hanging="142"/>
        <w:jc w:val="both"/>
        <w:rPr>
          <w:rFonts w:ascii="Arial" w:hAnsi="Arial" w:cs="Arial"/>
          <w:b/>
          <w:color w:val="000000"/>
          <w:sz w:val="22"/>
          <w:szCs w:val="22"/>
        </w:rPr>
      </w:pPr>
      <w:r w:rsidRPr="00251DAD">
        <w:rPr>
          <w:rFonts w:ascii="Arial" w:hAnsi="Arial" w:cs="Arial"/>
          <w:b/>
          <w:color w:val="000000"/>
          <w:sz w:val="22"/>
          <w:szCs w:val="22"/>
        </w:rPr>
        <w:t>Obligaciones en moneda extranjera</w:t>
      </w:r>
    </w:p>
    <w:p w14:paraId="0F9232D4" w14:textId="77777777" w:rsidR="007C50C1" w:rsidRPr="00251DAD" w:rsidRDefault="007C50C1" w:rsidP="00EF3D59">
      <w:pPr>
        <w:pStyle w:val="Ttulo2"/>
        <w:tabs>
          <w:tab w:val="left" w:pos="851"/>
        </w:tabs>
        <w:spacing w:line="288" w:lineRule="auto"/>
        <w:ind w:left="142" w:hanging="142"/>
        <w:rPr>
          <w:rFonts w:ascii="Arial" w:hAnsi="Arial" w:cs="Arial"/>
          <w:b w:val="0"/>
          <w:color w:val="000000"/>
          <w:sz w:val="22"/>
          <w:szCs w:val="22"/>
        </w:rPr>
      </w:pPr>
    </w:p>
    <w:p w14:paraId="76B4A6E9" w14:textId="77777777" w:rsidR="007C50C1" w:rsidRPr="00743046" w:rsidRDefault="007C50C1" w:rsidP="00EF3D59">
      <w:pPr>
        <w:spacing w:line="288" w:lineRule="auto"/>
        <w:ind w:left="142"/>
        <w:jc w:val="both"/>
        <w:rPr>
          <w:rFonts w:ascii="Arial" w:hAnsi="Arial" w:cs="Arial"/>
          <w:color w:val="000000"/>
          <w:sz w:val="22"/>
          <w:szCs w:val="22"/>
        </w:rPr>
      </w:pPr>
      <w:r w:rsidRPr="00743046">
        <w:rPr>
          <w:rFonts w:ascii="Arial" w:hAnsi="Arial" w:cs="Arial"/>
          <w:color w:val="000000"/>
          <w:sz w:val="22"/>
          <w:szCs w:val="22"/>
        </w:rPr>
        <w:t xml:space="preserve">En el momento del pago de las obligaciones en moneda extranjera, la diferencia entre la tasa presupuestal registrada y la tasa representativa del mercado, TRM en la fecha de pago, genera una </w:t>
      </w:r>
      <w:r w:rsidRPr="00821AE5">
        <w:rPr>
          <w:rFonts w:ascii="Arial" w:hAnsi="Arial" w:cs="Arial"/>
          <w:i/>
          <w:iCs/>
          <w:color w:val="000000"/>
          <w:sz w:val="22"/>
          <w:szCs w:val="22"/>
        </w:rPr>
        <w:t>“reducción”</w:t>
      </w:r>
      <w:r w:rsidRPr="00743046">
        <w:rPr>
          <w:rFonts w:ascii="Arial" w:hAnsi="Arial" w:cs="Arial"/>
          <w:color w:val="000000"/>
          <w:sz w:val="22"/>
          <w:szCs w:val="22"/>
        </w:rPr>
        <w:t xml:space="preserve"> de la cadena presupuestal que tiene efecto contable en los registros de la obligación, disminuyendo el valor del activo, gasto y pasivo, al igual que el de las deducciones registradas. No se trata de un diferencial cambiario, toda vez que no corresponde a la comparación entre tasas representativas del mercado en fechas diferentes.</w:t>
      </w:r>
    </w:p>
    <w:p w14:paraId="0B7425D2" w14:textId="77777777" w:rsidR="007C50C1" w:rsidRPr="00743046" w:rsidRDefault="007C50C1" w:rsidP="00EF3D59">
      <w:pPr>
        <w:spacing w:line="288" w:lineRule="auto"/>
        <w:ind w:left="142" w:hanging="142"/>
        <w:jc w:val="both"/>
        <w:rPr>
          <w:rFonts w:ascii="Arial" w:hAnsi="Arial" w:cs="Arial"/>
          <w:color w:val="000000"/>
          <w:sz w:val="22"/>
          <w:szCs w:val="22"/>
        </w:rPr>
      </w:pPr>
    </w:p>
    <w:p w14:paraId="01DB8F6F" w14:textId="77777777" w:rsidR="007C50C1" w:rsidRPr="006005C1" w:rsidRDefault="007C50C1" w:rsidP="00343ECE">
      <w:pPr>
        <w:numPr>
          <w:ilvl w:val="0"/>
          <w:numId w:val="23"/>
        </w:numPr>
        <w:spacing w:line="288" w:lineRule="auto"/>
        <w:ind w:left="142" w:hanging="142"/>
        <w:rPr>
          <w:rFonts w:ascii="Arial" w:hAnsi="Arial" w:cs="Arial"/>
          <w:b/>
          <w:color w:val="000000"/>
          <w:sz w:val="22"/>
          <w:szCs w:val="22"/>
        </w:rPr>
      </w:pPr>
      <w:r w:rsidRPr="006005C1">
        <w:rPr>
          <w:rFonts w:ascii="Arial" w:hAnsi="Arial" w:cs="Arial"/>
          <w:b/>
          <w:color w:val="000000"/>
          <w:sz w:val="22"/>
          <w:szCs w:val="22"/>
        </w:rPr>
        <w:lastRenderedPageBreak/>
        <w:t>Vinculación de DIPS en una orden de pago presupuestal de gastos</w:t>
      </w:r>
    </w:p>
    <w:p w14:paraId="5F1A33E5" w14:textId="77777777" w:rsidR="007C50C1" w:rsidRPr="00A0134B" w:rsidRDefault="007C50C1" w:rsidP="00EF3D59">
      <w:pPr>
        <w:pStyle w:val="unico"/>
        <w:spacing w:before="0" w:beforeAutospacing="0" w:after="0" w:afterAutospacing="0" w:line="288" w:lineRule="auto"/>
        <w:ind w:left="142" w:hanging="142"/>
        <w:jc w:val="both"/>
        <w:rPr>
          <w:rFonts w:ascii="Arial" w:hAnsi="Arial" w:cs="Arial"/>
          <w:color w:val="000000"/>
          <w:sz w:val="22"/>
          <w:szCs w:val="22"/>
        </w:rPr>
      </w:pPr>
    </w:p>
    <w:p w14:paraId="0B45B63B" w14:textId="77777777" w:rsidR="007C50C1" w:rsidRPr="00A0134B" w:rsidRDefault="007C50C1"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Se trata de la modificación en los datos del tercero de la obligación, debido a que en las transacciones que requieren pagos en el exterior o se refieren a deuda pública, es necesario incorporar varios terceros con sus respectivos valores por cada ítem de afectación del gasto.</w:t>
      </w:r>
    </w:p>
    <w:p w14:paraId="0C6CBE58" w14:textId="77777777" w:rsidR="007C50C1" w:rsidRPr="00A0134B" w:rsidRDefault="007C50C1" w:rsidP="00EF3D59">
      <w:pPr>
        <w:pStyle w:val="unico"/>
        <w:spacing w:before="0" w:beforeAutospacing="0" w:after="0" w:afterAutospacing="0" w:line="288" w:lineRule="auto"/>
        <w:ind w:left="142" w:hanging="142"/>
        <w:jc w:val="both"/>
        <w:rPr>
          <w:rFonts w:ascii="Arial" w:hAnsi="Arial" w:cs="Arial"/>
          <w:color w:val="000000"/>
          <w:sz w:val="22"/>
          <w:szCs w:val="22"/>
        </w:rPr>
      </w:pPr>
    </w:p>
    <w:p w14:paraId="42CEDF54" w14:textId="77777777" w:rsidR="007C50C1" w:rsidRPr="00A0134B" w:rsidRDefault="007C50C1"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Esta transacción se realiza después de la obligación y con la aprobación de órdenes de pago, se contabiliza el impacto de los terceros en los DIPS registrados.</w:t>
      </w:r>
    </w:p>
    <w:p w14:paraId="155A7D8C" w14:textId="77777777" w:rsidR="007C50C1" w:rsidRPr="00A0134B" w:rsidRDefault="007C50C1" w:rsidP="00EF3D59">
      <w:pPr>
        <w:pStyle w:val="unico"/>
        <w:spacing w:before="0" w:beforeAutospacing="0" w:after="0" w:afterAutospacing="0" w:line="288" w:lineRule="auto"/>
        <w:ind w:left="142" w:hanging="142"/>
        <w:jc w:val="both"/>
        <w:rPr>
          <w:rFonts w:ascii="Arial" w:hAnsi="Arial" w:cs="Arial"/>
          <w:color w:val="000000"/>
          <w:sz w:val="22"/>
          <w:szCs w:val="22"/>
        </w:rPr>
      </w:pPr>
    </w:p>
    <w:p w14:paraId="4B8F2A24" w14:textId="77777777" w:rsidR="007C50C1" w:rsidRPr="00A0134B" w:rsidRDefault="007C50C1"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 xml:space="preserve">El registro contable de la modificación en los datos del </w:t>
      </w:r>
      <w:r w:rsidR="006005C1" w:rsidRPr="00A0134B">
        <w:rPr>
          <w:rFonts w:ascii="Arial" w:hAnsi="Arial" w:cs="Arial"/>
          <w:color w:val="000000"/>
          <w:sz w:val="22"/>
          <w:szCs w:val="22"/>
        </w:rPr>
        <w:t>tercero</w:t>
      </w:r>
      <w:r w:rsidRPr="00A0134B">
        <w:rPr>
          <w:rFonts w:ascii="Arial" w:hAnsi="Arial" w:cs="Arial"/>
          <w:color w:val="000000"/>
          <w:sz w:val="22"/>
          <w:szCs w:val="22"/>
        </w:rPr>
        <w:t xml:space="preserve"> genera comprobantes contables con asientos de partida doble que corresponden a la “reclasificación de auxiliares”; tanto en </w:t>
      </w:r>
      <w:proofErr w:type="spellStart"/>
      <w:r w:rsidRPr="00A0134B">
        <w:rPr>
          <w:rFonts w:ascii="Arial" w:hAnsi="Arial" w:cs="Arial"/>
          <w:color w:val="000000"/>
          <w:sz w:val="22"/>
          <w:szCs w:val="22"/>
        </w:rPr>
        <w:t>el</w:t>
      </w:r>
      <w:proofErr w:type="spellEnd"/>
      <w:r w:rsidRPr="00A0134B">
        <w:rPr>
          <w:rFonts w:ascii="Arial" w:hAnsi="Arial" w:cs="Arial"/>
          <w:color w:val="000000"/>
          <w:sz w:val="22"/>
          <w:szCs w:val="22"/>
        </w:rPr>
        <w:t xml:space="preserve"> debe como en el haber del nuevo asiento se utiliza el o los mismos códigos contables del haber del asiento de la obligación, identificando los datos del auxiliar tercero.</w:t>
      </w:r>
    </w:p>
    <w:p w14:paraId="18B450C5" w14:textId="77777777" w:rsidR="00DF1706" w:rsidRPr="00A0134B" w:rsidRDefault="00DF1706" w:rsidP="00EF3D59">
      <w:pPr>
        <w:tabs>
          <w:tab w:val="left" w:pos="851"/>
        </w:tabs>
        <w:spacing w:line="288" w:lineRule="auto"/>
        <w:ind w:left="142" w:hanging="142"/>
        <w:jc w:val="both"/>
        <w:rPr>
          <w:rFonts w:ascii="Arial" w:hAnsi="Arial" w:cs="Arial"/>
          <w:color w:val="000000"/>
          <w:sz w:val="22"/>
          <w:szCs w:val="22"/>
          <w:lang w:val="es-CO" w:eastAsia="es-CO"/>
        </w:rPr>
      </w:pPr>
    </w:p>
    <w:p w14:paraId="588B44FF" w14:textId="77777777" w:rsidR="00122CFA" w:rsidRPr="006005C1" w:rsidRDefault="00122CFA" w:rsidP="00343ECE">
      <w:pPr>
        <w:numPr>
          <w:ilvl w:val="0"/>
          <w:numId w:val="24"/>
        </w:numPr>
        <w:spacing w:line="288" w:lineRule="auto"/>
        <w:ind w:left="142" w:hanging="142"/>
        <w:jc w:val="both"/>
        <w:rPr>
          <w:rFonts w:ascii="Arial" w:hAnsi="Arial" w:cs="Arial"/>
          <w:b/>
          <w:color w:val="000000"/>
          <w:sz w:val="22"/>
          <w:szCs w:val="22"/>
          <w:lang w:val="es-CO" w:eastAsia="es-CO"/>
        </w:rPr>
      </w:pPr>
      <w:r w:rsidRPr="006005C1">
        <w:rPr>
          <w:rFonts w:ascii="Arial" w:hAnsi="Arial" w:cs="Arial"/>
          <w:b/>
          <w:color w:val="000000"/>
          <w:sz w:val="22"/>
          <w:szCs w:val="22"/>
        </w:rPr>
        <w:t>Deducciones de retención en la fuente e identificación del tercero beneficiario de la deducción</w:t>
      </w:r>
      <w:r w:rsidRPr="006005C1">
        <w:rPr>
          <w:rStyle w:val="Refdenotaalpie"/>
          <w:rFonts w:ascii="Arial" w:hAnsi="Arial" w:cs="Arial"/>
          <w:b/>
          <w:color w:val="000000"/>
          <w:sz w:val="22"/>
          <w:szCs w:val="22"/>
        </w:rPr>
        <w:footnoteReference w:id="7"/>
      </w:r>
      <w:r w:rsidRPr="006005C1">
        <w:rPr>
          <w:rFonts w:ascii="Arial" w:hAnsi="Arial" w:cs="Arial"/>
          <w:b/>
          <w:color w:val="000000"/>
          <w:sz w:val="22"/>
          <w:szCs w:val="22"/>
        </w:rPr>
        <w:t xml:space="preserve"> </w:t>
      </w:r>
    </w:p>
    <w:p w14:paraId="71E2C3A6" w14:textId="77777777" w:rsidR="00122CFA" w:rsidRPr="006005C1" w:rsidRDefault="00122CFA" w:rsidP="00EF3D59">
      <w:pPr>
        <w:spacing w:line="288" w:lineRule="auto"/>
        <w:ind w:left="142" w:hanging="142"/>
        <w:jc w:val="both"/>
        <w:rPr>
          <w:rFonts w:ascii="Arial" w:hAnsi="Arial" w:cs="Arial"/>
          <w:b/>
          <w:color w:val="000000"/>
          <w:sz w:val="22"/>
          <w:szCs w:val="22"/>
          <w:lang w:val="es-CO" w:eastAsia="es-CO"/>
        </w:rPr>
      </w:pPr>
    </w:p>
    <w:p w14:paraId="2378AF6B" w14:textId="77777777" w:rsidR="007C50C1" w:rsidRPr="006005C1" w:rsidRDefault="007C50C1" w:rsidP="00343ECE">
      <w:pPr>
        <w:numPr>
          <w:ilvl w:val="0"/>
          <w:numId w:val="24"/>
        </w:numPr>
        <w:spacing w:line="288" w:lineRule="auto"/>
        <w:ind w:left="142" w:hanging="142"/>
        <w:jc w:val="both"/>
        <w:rPr>
          <w:rFonts w:ascii="Arial" w:hAnsi="Arial" w:cs="Arial"/>
          <w:b/>
          <w:color w:val="000000"/>
          <w:sz w:val="22"/>
          <w:szCs w:val="22"/>
          <w:lang w:val="es-CO" w:eastAsia="es-CO"/>
        </w:rPr>
      </w:pPr>
      <w:r w:rsidRPr="006005C1">
        <w:rPr>
          <w:rFonts w:ascii="Arial" w:hAnsi="Arial" w:cs="Arial"/>
          <w:b/>
          <w:color w:val="000000"/>
          <w:sz w:val="22"/>
          <w:szCs w:val="22"/>
        </w:rPr>
        <w:t>Legalización de atributos contables</w:t>
      </w:r>
    </w:p>
    <w:p w14:paraId="67EE55F0" w14:textId="77777777" w:rsidR="007C50C1" w:rsidRPr="00A0134B" w:rsidRDefault="007C50C1" w:rsidP="00EF3D59">
      <w:pPr>
        <w:pStyle w:val="unico"/>
        <w:spacing w:before="0" w:beforeAutospacing="0" w:after="0" w:afterAutospacing="0" w:line="288" w:lineRule="auto"/>
        <w:ind w:left="567"/>
        <w:jc w:val="both"/>
        <w:rPr>
          <w:rFonts w:ascii="Arial" w:hAnsi="Arial" w:cs="Arial"/>
          <w:color w:val="000000"/>
          <w:sz w:val="22"/>
          <w:szCs w:val="22"/>
        </w:rPr>
      </w:pPr>
    </w:p>
    <w:p w14:paraId="3D63CFA0" w14:textId="77777777" w:rsidR="007C50C1" w:rsidRPr="00A0134B" w:rsidRDefault="007C50C1" w:rsidP="00EF3D59">
      <w:pPr>
        <w:pStyle w:val="unico"/>
        <w:spacing w:before="0" w:beforeAutospacing="0" w:after="0" w:afterAutospacing="0" w:line="288" w:lineRule="auto"/>
        <w:ind w:left="142"/>
        <w:jc w:val="both"/>
        <w:rPr>
          <w:rFonts w:ascii="Arial" w:hAnsi="Arial" w:cs="Arial"/>
          <w:color w:val="000000"/>
          <w:sz w:val="22"/>
          <w:szCs w:val="22"/>
        </w:rPr>
      </w:pPr>
      <w:r w:rsidRPr="00A0134B">
        <w:rPr>
          <w:rFonts w:ascii="Arial" w:hAnsi="Arial" w:cs="Arial"/>
          <w:color w:val="000000"/>
          <w:sz w:val="22"/>
          <w:szCs w:val="22"/>
        </w:rPr>
        <w:t xml:space="preserve">Al legalizar obligaciones marcadas con atributo </w:t>
      </w:r>
      <w:r w:rsidRPr="00FB7B51">
        <w:rPr>
          <w:rFonts w:ascii="Arial" w:hAnsi="Arial" w:cs="Arial"/>
          <w:i/>
          <w:iCs/>
          <w:color w:val="000000"/>
          <w:sz w:val="22"/>
          <w:szCs w:val="22"/>
        </w:rPr>
        <w:t xml:space="preserve">“anticipo”, “Anticipo para proyectos de inversión”, </w:t>
      </w:r>
      <w:r w:rsidRPr="00FB7B51">
        <w:rPr>
          <w:rFonts w:ascii="Arial" w:hAnsi="Arial" w:cs="Arial"/>
          <w:color w:val="000000"/>
          <w:sz w:val="22"/>
          <w:szCs w:val="22"/>
        </w:rPr>
        <w:t>y</w:t>
      </w:r>
      <w:r w:rsidRPr="00FB7B51">
        <w:rPr>
          <w:rFonts w:ascii="Arial" w:hAnsi="Arial" w:cs="Arial"/>
          <w:i/>
          <w:iCs/>
          <w:color w:val="000000"/>
          <w:sz w:val="22"/>
          <w:szCs w:val="22"/>
        </w:rPr>
        <w:t xml:space="preserve"> “pagos anticipados”</w:t>
      </w:r>
      <w:r w:rsidRPr="00A0134B">
        <w:rPr>
          <w:rFonts w:ascii="Arial" w:hAnsi="Arial" w:cs="Arial"/>
          <w:color w:val="000000"/>
          <w:sz w:val="22"/>
          <w:szCs w:val="22"/>
        </w:rPr>
        <w:t xml:space="preserve"> para el registro contable débito, el sistema utiliza las tablas de eventos contables del registro de la obligación por cada rubro presupuestal, y para el crédito utiliza el atributo registrado en el pago.</w:t>
      </w:r>
    </w:p>
    <w:p w14:paraId="3920F522" w14:textId="77777777" w:rsidR="005F7F9D" w:rsidRPr="00A0134B" w:rsidRDefault="005F7F9D" w:rsidP="00EF3D59">
      <w:pPr>
        <w:pStyle w:val="unico"/>
        <w:spacing w:before="0" w:beforeAutospacing="0" w:after="0" w:afterAutospacing="0" w:line="288" w:lineRule="auto"/>
        <w:ind w:left="567"/>
        <w:jc w:val="both"/>
        <w:rPr>
          <w:rFonts w:ascii="Arial" w:hAnsi="Arial" w:cs="Arial"/>
          <w:color w:val="000000"/>
          <w:sz w:val="22"/>
          <w:szCs w:val="22"/>
        </w:rPr>
      </w:pPr>
    </w:p>
    <w:p w14:paraId="4068E22F" w14:textId="77777777" w:rsidR="00A07950" w:rsidRPr="00852A89" w:rsidRDefault="00A07950" w:rsidP="00343ECE">
      <w:pPr>
        <w:pStyle w:val="Ttulo3"/>
        <w:numPr>
          <w:ilvl w:val="2"/>
          <w:numId w:val="15"/>
        </w:numPr>
        <w:spacing w:line="288" w:lineRule="auto"/>
        <w:rPr>
          <w:rFonts w:ascii="Arial" w:hAnsi="Arial" w:cs="Arial"/>
          <w:b/>
          <w:sz w:val="22"/>
          <w:szCs w:val="22"/>
        </w:rPr>
      </w:pPr>
      <w:bookmarkStart w:id="147" w:name="_Toc397936266"/>
      <w:bookmarkStart w:id="148" w:name="_Toc459991366"/>
      <w:bookmarkStart w:id="149" w:name="_Toc490726966"/>
      <w:bookmarkStart w:id="150" w:name="_Toc490727914"/>
      <w:bookmarkStart w:id="151" w:name="_Toc59377836"/>
      <w:r w:rsidRPr="00852A89">
        <w:rPr>
          <w:rFonts w:ascii="Arial" w:hAnsi="Arial" w:cs="Arial"/>
          <w:b/>
          <w:sz w:val="22"/>
          <w:szCs w:val="22"/>
        </w:rPr>
        <w:t>Operaciones automáticas generadas en el pago-PAG</w:t>
      </w:r>
      <w:bookmarkEnd w:id="147"/>
      <w:bookmarkEnd w:id="148"/>
      <w:bookmarkEnd w:id="149"/>
      <w:bookmarkEnd w:id="150"/>
      <w:bookmarkEnd w:id="151"/>
    </w:p>
    <w:p w14:paraId="12B9EDD5" w14:textId="77777777" w:rsidR="00A07950" w:rsidRPr="00A0134B" w:rsidRDefault="00A07950" w:rsidP="00EF3D59">
      <w:pPr>
        <w:spacing w:line="288" w:lineRule="auto"/>
        <w:jc w:val="both"/>
        <w:rPr>
          <w:rFonts w:ascii="Arial" w:hAnsi="Arial" w:cs="Arial"/>
          <w:b/>
          <w:sz w:val="22"/>
          <w:szCs w:val="22"/>
        </w:rPr>
      </w:pPr>
    </w:p>
    <w:p w14:paraId="01E5C62C" w14:textId="77777777" w:rsidR="00C63BFD" w:rsidRPr="00A0134B" w:rsidRDefault="00C63BFD"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Las órdenes de pago presupuestales generadas con base en el compromiso y la obligación, contienen información relevante para el registro contable del pago, como: El </w:t>
      </w:r>
      <w:r w:rsidRPr="00FB7B51">
        <w:rPr>
          <w:rFonts w:ascii="Arial" w:hAnsi="Arial" w:cs="Arial"/>
          <w:i/>
          <w:iCs/>
          <w:color w:val="000000"/>
          <w:sz w:val="22"/>
          <w:szCs w:val="22"/>
        </w:rPr>
        <w:t>“atributo contable”</w:t>
      </w:r>
      <w:r w:rsidRPr="00A0134B">
        <w:rPr>
          <w:rFonts w:ascii="Arial" w:hAnsi="Arial" w:cs="Arial"/>
          <w:color w:val="000000"/>
          <w:sz w:val="22"/>
          <w:szCs w:val="22"/>
        </w:rPr>
        <w:t>, los ítems de afectación del gasto, el medio de pago, la fuente de financiación, la situación de fondos y el tipo de beneficiario. El registro contable está definido en la tabla de eventos TCON09-pagos presupuestales.</w:t>
      </w:r>
    </w:p>
    <w:p w14:paraId="66F02587" w14:textId="77777777" w:rsidR="00133D5B" w:rsidRPr="00A0134B" w:rsidRDefault="00133D5B" w:rsidP="00EF3D59">
      <w:pPr>
        <w:pStyle w:val="unico"/>
        <w:spacing w:before="0" w:beforeAutospacing="0" w:after="0" w:afterAutospacing="0" w:line="288" w:lineRule="auto"/>
        <w:jc w:val="both"/>
        <w:rPr>
          <w:rFonts w:ascii="Arial" w:hAnsi="Arial" w:cs="Arial"/>
          <w:color w:val="000000"/>
          <w:sz w:val="22"/>
          <w:szCs w:val="22"/>
        </w:rPr>
      </w:pPr>
    </w:p>
    <w:p w14:paraId="25DC97F2" w14:textId="77777777" w:rsidR="00C63BFD" w:rsidRPr="00A0134B" w:rsidRDefault="00C63BFD"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lastRenderedPageBreak/>
        <w:t xml:space="preserve">Los insumos para generar un comprobante de pago presupuestal que están definidos como requisitos en la tabla de eventos TCON09 pagos presupuestales, son los siguientes: Tipo de operación de la tabla TCON12; medio de pago que puede ser abono en cuenta, cheque, giro o títulos; tipo de título que puede ser fideicomiso, encargo fiduciario, fondos en administración y títulos de tesorería, TES; atributo contable que se define en la obligación; el tipo de beneficiario que puede ser beneficiario final o traspaso a pagaduría; </w:t>
      </w:r>
      <w:r w:rsidRPr="00FB7B51">
        <w:rPr>
          <w:rFonts w:ascii="Arial" w:hAnsi="Arial" w:cs="Arial"/>
          <w:i/>
          <w:iCs/>
          <w:color w:val="000000"/>
          <w:sz w:val="22"/>
          <w:szCs w:val="22"/>
        </w:rPr>
        <w:t>“misma ECP”</w:t>
      </w:r>
      <w:r w:rsidRPr="00A0134B">
        <w:rPr>
          <w:rFonts w:ascii="Arial" w:hAnsi="Arial" w:cs="Arial"/>
          <w:color w:val="000000"/>
          <w:sz w:val="22"/>
          <w:szCs w:val="22"/>
        </w:rPr>
        <w:t xml:space="preserve"> con valor </w:t>
      </w:r>
      <w:r w:rsidRPr="00FB7B51">
        <w:rPr>
          <w:rFonts w:ascii="Arial" w:hAnsi="Arial" w:cs="Arial"/>
          <w:i/>
          <w:iCs/>
          <w:color w:val="000000"/>
          <w:sz w:val="22"/>
          <w:szCs w:val="22"/>
        </w:rPr>
        <w:t>“SÍ”</w:t>
      </w:r>
      <w:r w:rsidRPr="00A0134B">
        <w:rPr>
          <w:rFonts w:ascii="Arial" w:hAnsi="Arial" w:cs="Arial"/>
          <w:color w:val="000000"/>
          <w:sz w:val="22"/>
          <w:szCs w:val="22"/>
        </w:rPr>
        <w:t xml:space="preserve"> o </w:t>
      </w:r>
      <w:r w:rsidRPr="00FB7B51">
        <w:rPr>
          <w:rFonts w:ascii="Arial" w:hAnsi="Arial" w:cs="Arial"/>
          <w:i/>
          <w:iCs/>
          <w:color w:val="000000"/>
          <w:sz w:val="22"/>
          <w:szCs w:val="22"/>
        </w:rPr>
        <w:t>“NO”</w:t>
      </w:r>
      <w:r w:rsidRPr="00A0134B">
        <w:rPr>
          <w:rFonts w:ascii="Arial" w:hAnsi="Arial" w:cs="Arial"/>
          <w:color w:val="000000"/>
          <w:sz w:val="22"/>
          <w:szCs w:val="22"/>
        </w:rPr>
        <w:t>, el sistema valida que las órdenes de pago generadas por posición de catálogo institucional, PCI(s), tienen vinculado igual o diferente código de consolidación de la PCI que genera la orden bancaria, es decir la que paga.</w:t>
      </w:r>
    </w:p>
    <w:p w14:paraId="1ABDD89D" w14:textId="77777777" w:rsidR="00133D5B" w:rsidRPr="00A0134B" w:rsidRDefault="00133D5B" w:rsidP="00EF3D59">
      <w:pPr>
        <w:pStyle w:val="unico"/>
        <w:spacing w:before="0" w:beforeAutospacing="0" w:after="0" w:afterAutospacing="0" w:line="288" w:lineRule="auto"/>
        <w:jc w:val="both"/>
        <w:rPr>
          <w:rFonts w:ascii="Arial" w:hAnsi="Arial" w:cs="Arial"/>
          <w:color w:val="000000"/>
          <w:sz w:val="22"/>
          <w:szCs w:val="22"/>
        </w:rPr>
      </w:pPr>
    </w:p>
    <w:p w14:paraId="002BAD45" w14:textId="77777777" w:rsidR="00C63BFD" w:rsidRPr="00A0134B" w:rsidRDefault="00C63BFD"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En caso que la marca </w:t>
      </w:r>
      <w:r w:rsidRPr="00FB7B51">
        <w:rPr>
          <w:rFonts w:ascii="Arial" w:hAnsi="Arial" w:cs="Arial"/>
          <w:i/>
          <w:iCs/>
          <w:color w:val="000000"/>
          <w:sz w:val="22"/>
          <w:szCs w:val="22"/>
        </w:rPr>
        <w:t>“misma ECP”</w:t>
      </w:r>
      <w:r w:rsidRPr="00A0134B">
        <w:rPr>
          <w:rFonts w:ascii="Arial" w:hAnsi="Arial" w:cs="Arial"/>
          <w:color w:val="000000"/>
          <w:sz w:val="22"/>
          <w:szCs w:val="22"/>
        </w:rPr>
        <w:t xml:space="preserve"> tenga valor </w:t>
      </w:r>
      <w:r w:rsidRPr="00FB7B51">
        <w:rPr>
          <w:rFonts w:ascii="Arial" w:hAnsi="Arial" w:cs="Arial"/>
          <w:i/>
          <w:iCs/>
          <w:color w:val="000000"/>
          <w:sz w:val="22"/>
          <w:szCs w:val="22"/>
        </w:rPr>
        <w:t>“SÍ”</w:t>
      </w:r>
      <w:r w:rsidRPr="00A0134B">
        <w:rPr>
          <w:rFonts w:ascii="Arial" w:hAnsi="Arial" w:cs="Arial"/>
          <w:color w:val="000000"/>
          <w:sz w:val="22"/>
          <w:szCs w:val="22"/>
        </w:rPr>
        <w:t xml:space="preserve">, el sistema genera un comprobante contable automático de partida doble cancelando el pasivo en la PCI que tiene vinculada la orden de pago y disminuyendo el valor registrado en la cuenta bancaria de la PCI que tiene vinculada la orden bancaria, con igual código de consolidación en las </w:t>
      </w:r>
      <w:proofErr w:type="spellStart"/>
      <w:r w:rsidRPr="00A0134B">
        <w:rPr>
          <w:rFonts w:ascii="Arial" w:hAnsi="Arial" w:cs="Arial"/>
          <w:color w:val="000000"/>
          <w:sz w:val="22"/>
          <w:szCs w:val="22"/>
        </w:rPr>
        <w:t>PCIs</w:t>
      </w:r>
      <w:proofErr w:type="spellEnd"/>
      <w:r w:rsidRPr="00A0134B">
        <w:rPr>
          <w:rFonts w:ascii="Arial" w:hAnsi="Arial" w:cs="Arial"/>
          <w:color w:val="000000"/>
          <w:sz w:val="22"/>
          <w:szCs w:val="22"/>
        </w:rPr>
        <w:t xml:space="preserve"> que intervienen.</w:t>
      </w:r>
    </w:p>
    <w:p w14:paraId="26A2E651" w14:textId="77777777" w:rsidR="00133D5B" w:rsidRPr="00A0134B" w:rsidRDefault="00133D5B" w:rsidP="00A0134B">
      <w:pPr>
        <w:pStyle w:val="unico"/>
        <w:spacing w:before="0" w:beforeAutospacing="0" w:after="0" w:afterAutospacing="0" w:line="288" w:lineRule="auto"/>
        <w:jc w:val="both"/>
        <w:rPr>
          <w:rFonts w:ascii="Arial" w:hAnsi="Arial" w:cs="Arial"/>
          <w:color w:val="000000"/>
          <w:sz w:val="22"/>
          <w:szCs w:val="22"/>
        </w:rPr>
      </w:pPr>
    </w:p>
    <w:p w14:paraId="526A7862" w14:textId="77777777" w:rsidR="00C63BFD" w:rsidRPr="00A0134B" w:rsidRDefault="00C63BFD"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el registro tiene la marca </w:t>
      </w:r>
      <w:r w:rsidRPr="00FB7B51">
        <w:rPr>
          <w:rFonts w:ascii="Arial" w:hAnsi="Arial" w:cs="Arial"/>
          <w:i/>
          <w:iCs/>
          <w:color w:val="000000"/>
          <w:sz w:val="22"/>
          <w:szCs w:val="22"/>
        </w:rPr>
        <w:t>“misma ECP”</w:t>
      </w:r>
      <w:r w:rsidRPr="00A0134B">
        <w:rPr>
          <w:rFonts w:ascii="Arial" w:hAnsi="Arial" w:cs="Arial"/>
          <w:color w:val="000000"/>
          <w:sz w:val="22"/>
          <w:szCs w:val="22"/>
        </w:rPr>
        <w:t xml:space="preserve"> con valor </w:t>
      </w:r>
      <w:r w:rsidRPr="00FB7B51">
        <w:rPr>
          <w:rFonts w:ascii="Arial" w:hAnsi="Arial" w:cs="Arial"/>
          <w:i/>
          <w:iCs/>
          <w:color w:val="000000"/>
          <w:sz w:val="22"/>
          <w:szCs w:val="22"/>
        </w:rPr>
        <w:t>“NO”</w:t>
      </w:r>
      <w:r w:rsidRPr="00A0134B">
        <w:rPr>
          <w:rFonts w:ascii="Arial" w:hAnsi="Arial" w:cs="Arial"/>
          <w:color w:val="000000"/>
          <w:sz w:val="22"/>
          <w:szCs w:val="22"/>
        </w:rPr>
        <w:t>, el sistema valida que la orden de pago por PCI(s) tengan vinculado diferente código de consolidación del de la PCI que realiza la orden bancaria (tesorería centralizada DTN); en este caso, el sistema genera dos comprobantes contables:</w:t>
      </w:r>
    </w:p>
    <w:p w14:paraId="5999305A" w14:textId="77777777" w:rsidR="00DF1744" w:rsidRPr="00A0134B" w:rsidRDefault="00DF1744" w:rsidP="00EF3D59">
      <w:pPr>
        <w:pStyle w:val="unico"/>
        <w:spacing w:before="0" w:beforeAutospacing="0" w:after="0" w:afterAutospacing="0" w:line="288" w:lineRule="auto"/>
        <w:jc w:val="both"/>
        <w:rPr>
          <w:rFonts w:ascii="Arial" w:hAnsi="Arial" w:cs="Arial"/>
          <w:color w:val="000000"/>
          <w:sz w:val="22"/>
          <w:szCs w:val="22"/>
        </w:rPr>
      </w:pPr>
    </w:p>
    <w:p w14:paraId="64E0C3FC" w14:textId="77777777" w:rsidR="00C63BFD" w:rsidRPr="00A0134B" w:rsidRDefault="00C63BFD" w:rsidP="00EF3D59">
      <w:pPr>
        <w:pStyle w:val="unico"/>
        <w:tabs>
          <w:tab w:val="left" w:pos="851"/>
        </w:tabs>
        <w:spacing w:before="0" w:beforeAutospacing="0" w:after="0" w:afterAutospacing="0" w:line="288" w:lineRule="auto"/>
        <w:ind w:left="142" w:hanging="142"/>
        <w:jc w:val="both"/>
        <w:rPr>
          <w:rFonts w:ascii="Arial" w:hAnsi="Arial" w:cs="Arial"/>
          <w:color w:val="000000"/>
          <w:sz w:val="22"/>
          <w:szCs w:val="22"/>
        </w:rPr>
      </w:pPr>
      <w:r w:rsidRPr="00A0134B">
        <w:rPr>
          <w:rFonts w:ascii="Arial" w:hAnsi="Arial" w:cs="Arial"/>
          <w:color w:val="000000"/>
          <w:sz w:val="22"/>
          <w:szCs w:val="22"/>
        </w:rPr>
        <w:t>• Un comprobante contable por cada orden de pago para cada ECP, con un débito en la subcuenta del pasivo definido por cada tipo de operación de la tabla TCON07 y un crédito en la subcuenta que corresponda de la cuenta 4705-fondos recibidos, la cual identifica el concepto de gasto (funcionamiento, inversión y deuda) que se va a financiar; estos registros corresponden al asiento uno (1) de la tabla de eventos TCON9-pagos presupuestales. No debe ser objeto de reclasificación, con registros manuales, el registro crédito en las subcuentas de la cuenta 4705, porque generan saldos por conciliar en el proceso de consolidación.</w:t>
      </w:r>
    </w:p>
    <w:p w14:paraId="1DCB8BD7" w14:textId="77777777" w:rsidR="00DF1744" w:rsidRPr="00A0134B" w:rsidRDefault="00DF1744" w:rsidP="00EF3D59">
      <w:pPr>
        <w:pStyle w:val="unico"/>
        <w:tabs>
          <w:tab w:val="left" w:pos="851"/>
        </w:tabs>
        <w:spacing w:before="0" w:beforeAutospacing="0" w:after="0" w:afterAutospacing="0" w:line="288" w:lineRule="auto"/>
        <w:ind w:left="142" w:hanging="142"/>
        <w:jc w:val="both"/>
        <w:rPr>
          <w:rFonts w:ascii="Arial" w:hAnsi="Arial" w:cs="Arial"/>
          <w:color w:val="000000"/>
          <w:sz w:val="22"/>
          <w:szCs w:val="22"/>
        </w:rPr>
      </w:pPr>
    </w:p>
    <w:p w14:paraId="24C08329" w14:textId="77777777" w:rsidR="00C63BFD" w:rsidRPr="00A0134B" w:rsidRDefault="00C63BFD" w:rsidP="00EF3D59">
      <w:pPr>
        <w:pStyle w:val="unico"/>
        <w:tabs>
          <w:tab w:val="left" w:pos="851"/>
        </w:tabs>
        <w:spacing w:before="0" w:beforeAutospacing="0" w:after="0" w:afterAutospacing="0" w:line="288" w:lineRule="auto"/>
        <w:ind w:left="142" w:hanging="142"/>
        <w:jc w:val="both"/>
        <w:rPr>
          <w:rFonts w:ascii="Arial" w:hAnsi="Arial" w:cs="Arial"/>
          <w:color w:val="000000"/>
          <w:sz w:val="22"/>
          <w:szCs w:val="22"/>
        </w:rPr>
      </w:pPr>
      <w:r w:rsidRPr="00A0134B">
        <w:rPr>
          <w:rFonts w:ascii="Arial" w:hAnsi="Arial" w:cs="Arial"/>
          <w:color w:val="000000"/>
          <w:sz w:val="22"/>
          <w:szCs w:val="22"/>
        </w:rPr>
        <w:t>• Un comprobante contable por el valor total de la orden bancaria para la dirección del tesoro nacional, DTN, con un débito en la subcuenta de la cuenta 5705-fondos entregados, que identifique el concepto de gasto (funcionamiento, inversión y deuda) que se va a financiar y un crédito en la subcuenta de la cuenta bancaria. Corresponde al asiento dos (2) de la tabla de eventos TCON9. El registro débito en las subcuentas de la cuenta 5705, no deben ser objeto de reclasificación con registros manuales, porque generan saldos por conciliar en el proceso de consolidación.</w:t>
      </w:r>
    </w:p>
    <w:p w14:paraId="63FC466D" w14:textId="6365B336" w:rsidR="00F70400" w:rsidRDefault="00F70400" w:rsidP="00EF3D59">
      <w:pPr>
        <w:pStyle w:val="unico"/>
        <w:tabs>
          <w:tab w:val="left" w:pos="851"/>
        </w:tabs>
        <w:spacing w:before="0" w:beforeAutospacing="0" w:after="0" w:afterAutospacing="0" w:line="288" w:lineRule="auto"/>
        <w:ind w:left="567"/>
        <w:jc w:val="both"/>
        <w:rPr>
          <w:rFonts w:ascii="Arial" w:hAnsi="Arial" w:cs="Arial"/>
          <w:color w:val="000000"/>
          <w:sz w:val="22"/>
          <w:szCs w:val="22"/>
        </w:rPr>
      </w:pPr>
    </w:p>
    <w:p w14:paraId="4F990DF6" w14:textId="3DB96D0F" w:rsidR="00DB6F34" w:rsidRDefault="00DB6F34" w:rsidP="00EF3D59">
      <w:pPr>
        <w:pStyle w:val="unico"/>
        <w:tabs>
          <w:tab w:val="left" w:pos="851"/>
        </w:tabs>
        <w:spacing w:before="0" w:beforeAutospacing="0" w:after="0" w:afterAutospacing="0" w:line="288" w:lineRule="auto"/>
        <w:ind w:left="567"/>
        <w:jc w:val="both"/>
        <w:rPr>
          <w:rFonts w:ascii="Arial" w:hAnsi="Arial" w:cs="Arial"/>
          <w:color w:val="000000"/>
          <w:sz w:val="22"/>
          <w:szCs w:val="22"/>
        </w:rPr>
      </w:pPr>
    </w:p>
    <w:p w14:paraId="0D99B85C" w14:textId="5D426814" w:rsidR="00DB6F34" w:rsidRDefault="00DB6F34" w:rsidP="00EF3D59">
      <w:pPr>
        <w:pStyle w:val="unico"/>
        <w:tabs>
          <w:tab w:val="left" w:pos="851"/>
        </w:tabs>
        <w:spacing w:before="0" w:beforeAutospacing="0" w:after="0" w:afterAutospacing="0" w:line="288" w:lineRule="auto"/>
        <w:ind w:left="567"/>
        <w:jc w:val="both"/>
        <w:rPr>
          <w:rFonts w:ascii="Arial" w:hAnsi="Arial" w:cs="Arial"/>
          <w:color w:val="000000"/>
          <w:sz w:val="22"/>
          <w:szCs w:val="22"/>
        </w:rPr>
      </w:pPr>
    </w:p>
    <w:p w14:paraId="579FAC1E" w14:textId="77777777" w:rsidR="00DB6F34" w:rsidRPr="00A0134B" w:rsidRDefault="00DB6F34" w:rsidP="00EF3D59">
      <w:pPr>
        <w:pStyle w:val="unico"/>
        <w:tabs>
          <w:tab w:val="left" w:pos="851"/>
        </w:tabs>
        <w:spacing w:before="0" w:beforeAutospacing="0" w:after="0" w:afterAutospacing="0" w:line="288" w:lineRule="auto"/>
        <w:ind w:left="567"/>
        <w:jc w:val="both"/>
        <w:rPr>
          <w:rFonts w:ascii="Arial" w:hAnsi="Arial" w:cs="Arial"/>
          <w:color w:val="000000"/>
          <w:sz w:val="22"/>
          <w:szCs w:val="22"/>
        </w:rPr>
      </w:pPr>
    </w:p>
    <w:p w14:paraId="77FAE8FF" w14:textId="77777777" w:rsidR="00C63BFD" w:rsidRPr="00AF5B17" w:rsidRDefault="00C63BFD" w:rsidP="00EF3D59">
      <w:pPr>
        <w:spacing w:line="288" w:lineRule="auto"/>
        <w:rPr>
          <w:rFonts w:ascii="Arial" w:hAnsi="Arial" w:cs="Arial"/>
          <w:b/>
          <w:color w:val="000000"/>
          <w:sz w:val="22"/>
          <w:szCs w:val="22"/>
        </w:rPr>
      </w:pPr>
      <w:r w:rsidRPr="00AF5B17">
        <w:rPr>
          <w:rFonts w:ascii="Arial" w:hAnsi="Arial" w:cs="Arial"/>
          <w:b/>
          <w:color w:val="000000"/>
          <w:sz w:val="22"/>
          <w:szCs w:val="22"/>
        </w:rPr>
        <w:lastRenderedPageBreak/>
        <w:t>T-CON9 Pagos presupuestales:</w:t>
      </w:r>
    </w:p>
    <w:p w14:paraId="6FC97B04" w14:textId="77777777" w:rsidR="00C63BFD" w:rsidRDefault="00C63BFD" w:rsidP="00EF3D59">
      <w:pPr>
        <w:pStyle w:val="unico"/>
        <w:spacing w:before="0" w:beforeAutospacing="0" w:after="0" w:afterAutospacing="0" w:line="288" w:lineRule="auto"/>
        <w:jc w:val="both"/>
        <w:rPr>
          <w:rFonts w:ascii="Arial" w:hAnsi="Arial" w:cs="Arial"/>
          <w:color w:val="000000"/>
          <w:sz w:val="22"/>
          <w:szCs w:val="22"/>
        </w:rPr>
      </w:pPr>
      <w:r w:rsidRPr="00C63BFD">
        <w:rPr>
          <w:rFonts w:ascii="Arial" w:hAnsi="Arial" w:cs="Arial"/>
          <w:color w:val="000000"/>
          <w:sz w:val="22"/>
          <w:szCs w:val="22"/>
        </w:rPr>
        <w:t> </w:t>
      </w:r>
    </w:p>
    <w:tbl>
      <w:tblPr>
        <w:tblW w:w="9371" w:type="dxa"/>
        <w:tblInd w:w="55" w:type="dxa"/>
        <w:tblLayout w:type="fixed"/>
        <w:tblCellMar>
          <w:left w:w="70" w:type="dxa"/>
          <w:right w:w="70" w:type="dxa"/>
        </w:tblCellMar>
        <w:tblLook w:val="04A0" w:firstRow="1" w:lastRow="0" w:firstColumn="1" w:lastColumn="0" w:noHBand="0" w:noVBand="1"/>
      </w:tblPr>
      <w:tblGrid>
        <w:gridCol w:w="724"/>
        <w:gridCol w:w="567"/>
        <w:gridCol w:w="567"/>
        <w:gridCol w:w="425"/>
        <w:gridCol w:w="709"/>
        <w:gridCol w:w="709"/>
        <w:gridCol w:w="709"/>
        <w:gridCol w:w="850"/>
        <w:gridCol w:w="567"/>
        <w:gridCol w:w="709"/>
        <w:gridCol w:w="567"/>
        <w:gridCol w:w="709"/>
        <w:gridCol w:w="567"/>
        <w:gridCol w:w="567"/>
        <w:gridCol w:w="425"/>
      </w:tblGrid>
      <w:tr w:rsidR="00133D5B" w:rsidRPr="00676199" w14:paraId="5FE193BE" w14:textId="77777777" w:rsidTr="00133D5B">
        <w:trPr>
          <w:trHeight w:val="113"/>
          <w:tblHeader/>
        </w:trPr>
        <w:tc>
          <w:tcPr>
            <w:tcW w:w="724"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F813660"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 xml:space="preserve">Tipo </w:t>
            </w:r>
            <w:r w:rsidR="00D95115" w:rsidRPr="00676199">
              <w:rPr>
                <w:rFonts w:ascii="Calibri" w:hAnsi="Calibri"/>
                <w:b/>
                <w:bCs/>
                <w:color w:val="FFFFFF"/>
                <w:sz w:val="11"/>
                <w:szCs w:val="11"/>
                <w:lang w:val="es-CO" w:eastAsia="es-CO"/>
              </w:rPr>
              <w:t>Operación</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B0FC656"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Medio de Pago</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7389354"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Atributos Contables</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078DF4D"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Misma ECP</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81B4206"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Tipo Beneficiario</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8C0AABD"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Tipo Titulo</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262C955"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Código</w:t>
            </w:r>
            <w:r w:rsidR="00133D5B" w:rsidRPr="00676199">
              <w:rPr>
                <w:rFonts w:ascii="Calibri" w:hAnsi="Calibri"/>
                <w:b/>
                <w:bCs/>
                <w:color w:val="FFFFFF"/>
                <w:sz w:val="11"/>
                <w:szCs w:val="11"/>
                <w:lang w:val="es-CO" w:eastAsia="es-CO"/>
              </w:rPr>
              <w:t xml:space="preserve"> Asiento1 Debe</w:t>
            </w:r>
          </w:p>
        </w:tc>
        <w:tc>
          <w:tcPr>
            <w:tcW w:w="850"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2D2B652"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Descripción</w:t>
            </w:r>
            <w:r w:rsidR="00133D5B" w:rsidRPr="00676199">
              <w:rPr>
                <w:rFonts w:ascii="Calibri" w:hAnsi="Calibri"/>
                <w:b/>
                <w:bCs/>
                <w:color w:val="FFFFFF"/>
                <w:sz w:val="11"/>
                <w:szCs w:val="11"/>
                <w:lang w:val="es-CO" w:eastAsia="es-CO"/>
              </w:rPr>
              <w:t xml:space="preserve"> Asiento1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8A9259A"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Código</w:t>
            </w:r>
            <w:r w:rsidR="00133D5B" w:rsidRPr="00676199">
              <w:rPr>
                <w:rFonts w:ascii="Calibri" w:hAnsi="Calibri"/>
                <w:b/>
                <w:bCs/>
                <w:color w:val="FFFFFF"/>
                <w:sz w:val="11"/>
                <w:szCs w:val="11"/>
                <w:lang w:val="es-CO" w:eastAsia="es-CO"/>
              </w:rPr>
              <w:t xml:space="preserve"> Asiento1 Haber</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C147F88"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Descripción</w:t>
            </w:r>
            <w:r w:rsidR="00133D5B" w:rsidRPr="00676199">
              <w:rPr>
                <w:rFonts w:ascii="Calibri" w:hAnsi="Calibri"/>
                <w:b/>
                <w:bCs/>
                <w:color w:val="FFFFFF"/>
                <w:sz w:val="11"/>
                <w:szCs w:val="11"/>
                <w:lang w:val="es-CO" w:eastAsia="es-CO"/>
              </w:rPr>
              <w:t xml:space="preserve"> Asiento1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96D552D"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Código</w:t>
            </w:r>
            <w:r w:rsidR="00133D5B" w:rsidRPr="00676199">
              <w:rPr>
                <w:rFonts w:ascii="Calibri" w:hAnsi="Calibri"/>
                <w:b/>
                <w:bCs/>
                <w:color w:val="FFFFFF"/>
                <w:sz w:val="11"/>
                <w:szCs w:val="11"/>
                <w:lang w:val="es-CO" w:eastAsia="es-CO"/>
              </w:rPr>
              <w:t xml:space="preserve"> Asiento2 Debe</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2699834"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Descripción</w:t>
            </w:r>
            <w:r w:rsidR="00133D5B" w:rsidRPr="00676199">
              <w:rPr>
                <w:rFonts w:ascii="Calibri" w:hAnsi="Calibri"/>
                <w:b/>
                <w:bCs/>
                <w:color w:val="FFFFFF"/>
                <w:sz w:val="11"/>
                <w:szCs w:val="11"/>
                <w:lang w:val="es-CO" w:eastAsia="es-CO"/>
              </w:rPr>
              <w:t xml:space="preserve"> Asiento2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80102A4"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Código</w:t>
            </w:r>
            <w:r w:rsidR="00133D5B" w:rsidRPr="00676199">
              <w:rPr>
                <w:rFonts w:ascii="Calibri" w:hAnsi="Calibri"/>
                <w:b/>
                <w:bCs/>
                <w:color w:val="FFFFFF"/>
                <w:sz w:val="11"/>
                <w:szCs w:val="11"/>
                <w:lang w:val="es-CO" w:eastAsia="es-CO"/>
              </w:rPr>
              <w:t xml:space="preserve"> Asiento2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9CF423E" w14:textId="77777777" w:rsidR="00133D5B" w:rsidRPr="00676199" w:rsidRDefault="00D95115"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Descripción</w:t>
            </w:r>
            <w:r w:rsidR="00133D5B" w:rsidRPr="00676199">
              <w:rPr>
                <w:rFonts w:ascii="Calibri" w:hAnsi="Calibri"/>
                <w:b/>
                <w:bCs/>
                <w:color w:val="FFFFFF"/>
                <w:sz w:val="11"/>
                <w:szCs w:val="11"/>
                <w:lang w:val="es-CO" w:eastAsia="es-CO"/>
              </w:rPr>
              <w:t xml:space="preserve"> Asiento2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F2D173E" w14:textId="77777777" w:rsidR="00133D5B" w:rsidRPr="00676199" w:rsidRDefault="00133D5B" w:rsidP="00133D5B">
            <w:pPr>
              <w:jc w:val="center"/>
              <w:rPr>
                <w:rFonts w:ascii="Calibri" w:hAnsi="Calibri"/>
                <w:b/>
                <w:bCs/>
                <w:color w:val="FFFFFF"/>
                <w:sz w:val="11"/>
                <w:szCs w:val="11"/>
                <w:lang w:val="es-CO" w:eastAsia="es-CO"/>
              </w:rPr>
            </w:pPr>
            <w:r w:rsidRPr="00676199">
              <w:rPr>
                <w:rFonts w:ascii="Calibri" w:hAnsi="Calibri"/>
                <w:b/>
                <w:bCs/>
                <w:color w:val="FFFFFF"/>
                <w:sz w:val="11"/>
                <w:szCs w:val="11"/>
                <w:lang w:val="es-CO" w:eastAsia="es-CO"/>
              </w:rPr>
              <w:t>Vigente</w:t>
            </w:r>
          </w:p>
        </w:tc>
      </w:tr>
      <w:tr w:rsidR="00133D5B" w:rsidRPr="00676199" w14:paraId="3038D59C"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BEDC147"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151 - Adquisición de Bienes y Servicios Nacionales -Inversión</w:t>
            </w:r>
          </w:p>
        </w:tc>
        <w:tc>
          <w:tcPr>
            <w:tcW w:w="567" w:type="dxa"/>
            <w:tcBorders>
              <w:top w:val="nil"/>
              <w:left w:val="nil"/>
              <w:bottom w:val="single" w:sz="4" w:space="0" w:color="000000"/>
              <w:right w:val="single" w:sz="4" w:space="0" w:color="000000"/>
            </w:tcBorders>
            <w:shd w:val="clear" w:color="auto" w:fill="auto"/>
            <w:vAlign w:val="center"/>
            <w:hideMark/>
          </w:tcPr>
          <w:p w14:paraId="1B1CB828"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37D197A5"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xml:space="preserve">08 </w:t>
            </w:r>
            <w:r w:rsidR="00A0134B">
              <w:rPr>
                <w:rFonts w:ascii="Calibri" w:hAnsi="Calibri"/>
                <w:color w:val="000000"/>
                <w:sz w:val="11"/>
                <w:szCs w:val="11"/>
                <w:lang w:val="es-CO" w:eastAsia="es-CO"/>
              </w:rPr>
              <w:t>–</w:t>
            </w:r>
            <w:r w:rsidRPr="00676199">
              <w:rPr>
                <w:rFonts w:ascii="Calibri" w:hAnsi="Calibri"/>
                <w:color w:val="000000"/>
                <w:sz w:val="11"/>
                <w:szCs w:val="11"/>
                <w:lang w:val="es-CO" w:eastAsia="es-CO"/>
              </w:rPr>
              <w:t xml:space="preserve"> PRESTAMOS</w:t>
            </w:r>
          </w:p>
        </w:tc>
        <w:tc>
          <w:tcPr>
            <w:tcW w:w="425" w:type="dxa"/>
            <w:tcBorders>
              <w:top w:val="nil"/>
              <w:left w:val="nil"/>
              <w:bottom w:val="single" w:sz="4" w:space="0" w:color="000000"/>
              <w:right w:val="single" w:sz="4" w:space="0" w:color="000000"/>
            </w:tcBorders>
            <w:shd w:val="clear" w:color="auto" w:fill="auto"/>
            <w:vAlign w:val="center"/>
            <w:hideMark/>
          </w:tcPr>
          <w:p w14:paraId="7EB368DC"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43CAAA8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50FD829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2888C55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141527001</w:t>
            </w:r>
          </w:p>
        </w:tc>
        <w:tc>
          <w:tcPr>
            <w:tcW w:w="850" w:type="dxa"/>
            <w:tcBorders>
              <w:top w:val="nil"/>
              <w:left w:val="nil"/>
              <w:bottom w:val="single" w:sz="4" w:space="0" w:color="000000"/>
              <w:right w:val="single" w:sz="4" w:space="0" w:color="000000"/>
            </w:tcBorders>
            <w:shd w:val="clear" w:color="auto" w:fill="auto"/>
            <w:vAlign w:val="center"/>
            <w:hideMark/>
          </w:tcPr>
          <w:p w14:paraId="22082BB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Préstamos concedidos por instituciones no financieras</w:t>
            </w:r>
          </w:p>
        </w:tc>
        <w:tc>
          <w:tcPr>
            <w:tcW w:w="567" w:type="dxa"/>
            <w:tcBorders>
              <w:top w:val="nil"/>
              <w:left w:val="nil"/>
              <w:bottom w:val="single" w:sz="4" w:space="0" w:color="000000"/>
              <w:right w:val="single" w:sz="4" w:space="0" w:color="000000"/>
            </w:tcBorders>
            <w:shd w:val="clear" w:color="auto" w:fill="auto"/>
            <w:vAlign w:val="center"/>
            <w:hideMark/>
          </w:tcPr>
          <w:p w14:paraId="2E820EC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470510</w:t>
            </w:r>
          </w:p>
        </w:tc>
        <w:tc>
          <w:tcPr>
            <w:tcW w:w="709" w:type="dxa"/>
            <w:tcBorders>
              <w:top w:val="nil"/>
              <w:left w:val="nil"/>
              <w:bottom w:val="single" w:sz="4" w:space="0" w:color="000000"/>
              <w:right w:val="single" w:sz="4" w:space="0" w:color="000000"/>
            </w:tcBorders>
            <w:shd w:val="clear" w:color="auto" w:fill="auto"/>
            <w:vAlign w:val="center"/>
            <w:hideMark/>
          </w:tcPr>
          <w:p w14:paraId="4E7CE4F1"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Inversión</w:t>
            </w:r>
          </w:p>
        </w:tc>
        <w:tc>
          <w:tcPr>
            <w:tcW w:w="567" w:type="dxa"/>
            <w:tcBorders>
              <w:top w:val="nil"/>
              <w:left w:val="nil"/>
              <w:bottom w:val="single" w:sz="4" w:space="0" w:color="000000"/>
              <w:right w:val="single" w:sz="4" w:space="0" w:color="000000"/>
            </w:tcBorders>
            <w:shd w:val="clear" w:color="auto" w:fill="auto"/>
            <w:vAlign w:val="center"/>
            <w:hideMark/>
          </w:tcPr>
          <w:p w14:paraId="2867E1C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570510</w:t>
            </w:r>
          </w:p>
        </w:tc>
        <w:tc>
          <w:tcPr>
            <w:tcW w:w="709" w:type="dxa"/>
            <w:tcBorders>
              <w:top w:val="nil"/>
              <w:left w:val="nil"/>
              <w:bottom w:val="single" w:sz="4" w:space="0" w:color="000000"/>
              <w:right w:val="single" w:sz="4" w:space="0" w:color="000000"/>
            </w:tcBorders>
            <w:shd w:val="clear" w:color="auto" w:fill="auto"/>
            <w:vAlign w:val="center"/>
            <w:hideMark/>
          </w:tcPr>
          <w:p w14:paraId="344E0655"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Inversión</w:t>
            </w:r>
          </w:p>
        </w:tc>
        <w:tc>
          <w:tcPr>
            <w:tcW w:w="567" w:type="dxa"/>
            <w:tcBorders>
              <w:top w:val="nil"/>
              <w:left w:val="nil"/>
              <w:bottom w:val="single" w:sz="4" w:space="0" w:color="000000"/>
              <w:right w:val="single" w:sz="4" w:space="0" w:color="000000"/>
            </w:tcBorders>
            <w:shd w:val="clear" w:color="auto" w:fill="auto"/>
            <w:vAlign w:val="center"/>
            <w:hideMark/>
          </w:tcPr>
          <w:p w14:paraId="3055BFB3"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64A8012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1C4222AC"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26C066BF"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F679332"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22 - Otras Transferencias</w:t>
            </w:r>
          </w:p>
        </w:tc>
        <w:tc>
          <w:tcPr>
            <w:tcW w:w="567" w:type="dxa"/>
            <w:tcBorders>
              <w:top w:val="nil"/>
              <w:left w:val="nil"/>
              <w:bottom w:val="single" w:sz="4" w:space="0" w:color="000000"/>
              <w:right w:val="single" w:sz="4" w:space="0" w:color="000000"/>
            </w:tcBorders>
            <w:shd w:val="clear" w:color="auto" w:fill="auto"/>
            <w:vAlign w:val="center"/>
            <w:hideMark/>
          </w:tcPr>
          <w:p w14:paraId="1386B09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xml:space="preserve">TT - </w:t>
            </w:r>
            <w:r w:rsidR="00D95115" w:rsidRPr="00676199">
              <w:rPr>
                <w:rFonts w:ascii="Calibri" w:hAnsi="Calibri"/>
                <w:color w:val="000000"/>
                <w:sz w:val="11"/>
                <w:szCs w:val="11"/>
                <w:lang w:val="es-CO" w:eastAsia="es-CO"/>
              </w:rPr>
              <w:t>Títulos</w:t>
            </w:r>
          </w:p>
        </w:tc>
        <w:tc>
          <w:tcPr>
            <w:tcW w:w="567" w:type="dxa"/>
            <w:tcBorders>
              <w:top w:val="nil"/>
              <w:left w:val="nil"/>
              <w:bottom w:val="single" w:sz="4" w:space="0" w:color="000000"/>
              <w:right w:val="single" w:sz="4" w:space="0" w:color="000000"/>
            </w:tcBorders>
            <w:shd w:val="clear" w:color="auto" w:fill="auto"/>
            <w:vAlign w:val="center"/>
            <w:hideMark/>
          </w:tcPr>
          <w:p w14:paraId="313273D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7793D6A6"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7D9E97A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482E1EA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TES Títulos de Tesorería</w:t>
            </w:r>
          </w:p>
        </w:tc>
        <w:tc>
          <w:tcPr>
            <w:tcW w:w="709" w:type="dxa"/>
            <w:tcBorders>
              <w:top w:val="nil"/>
              <w:left w:val="nil"/>
              <w:bottom w:val="single" w:sz="4" w:space="0" w:color="000000"/>
              <w:right w:val="single" w:sz="4" w:space="0" w:color="000000"/>
            </w:tcBorders>
            <w:shd w:val="clear" w:color="auto" w:fill="auto"/>
            <w:vAlign w:val="center"/>
            <w:hideMark/>
          </w:tcPr>
          <w:p w14:paraId="2C5B56F8"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240315001</w:t>
            </w:r>
          </w:p>
        </w:tc>
        <w:tc>
          <w:tcPr>
            <w:tcW w:w="850" w:type="dxa"/>
            <w:tcBorders>
              <w:top w:val="nil"/>
              <w:left w:val="nil"/>
              <w:bottom w:val="single" w:sz="4" w:space="0" w:color="000000"/>
              <w:right w:val="single" w:sz="4" w:space="0" w:color="000000"/>
            </w:tcBorders>
            <w:shd w:val="clear" w:color="auto" w:fill="auto"/>
            <w:vAlign w:val="center"/>
            <w:hideMark/>
          </w:tcPr>
          <w:p w14:paraId="4724418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Otras transferencias</w:t>
            </w:r>
          </w:p>
        </w:tc>
        <w:tc>
          <w:tcPr>
            <w:tcW w:w="567" w:type="dxa"/>
            <w:tcBorders>
              <w:top w:val="nil"/>
              <w:left w:val="nil"/>
              <w:bottom w:val="single" w:sz="4" w:space="0" w:color="000000"/>
              <w:right w:val="single" w:sz="4" w:space="0" w:color="000000"/>
            </w:tcBorders>
            <w:shd w:val="clear" w:color="auto" w:fill="auto"/>
            <w:vAlign w:val="center"/>
            <w:hideMark/>
          </w:tcPr>
          <w:p w14:paraId="54F3E02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472210</w:t>
            </w:r>
          </w:p>
        </w:tc>
        <w:tc>
          <w:tcPr>
            <w:tcW w:w="709" w:type="dxa"/>
            <w:tcBorders>
              <w:top w:val="nil"/>
              <w:left w:val="nil"/>
              <w:bottom w:val="single" w:sz="4" w:space="0" w:color="000000"/>
              <w:right w:val="single" w:sz="4" w:space="0" w:color="000000"/>
            </w:tcBorders>
            <w:shd w:val="clear" w:color="auto" w:fill="auto"/>
            <w:vAlign w:val="center"/>
            <w:hideMark/>
          </w:tcPr>
          <w:p w14:paraId="2AEAB313"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Pago de obligaciones con títulos</w:t>
            </w:r>
          </w:p>
        </w:tc>
        <w:tc>
          <w:tcPr>
            <w:tcW w:w="567" w:type="dxa"/>
            <w:tcBorders>
              <w:top w:val="nil"/>
              <w:left w:val="nil"/>
              <w:bottom w:val="single" w:sz="4" w:space="0" w:color="000000"/>
              <w:right w:val="single" w:sz="4" w:space="0" w:color="000000"/>
            </w:tcBorders>
            <w:shd w:val="clear" w:color="auto" w:fill="auto"/>
            <w:vAlign w:val="center"/>
            <w:hideMark/>
          </w:tcPr>
          <w:p w14:paraId="08E4AC4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572210</w:t>
            </w:r>
          </w:p>
        </w:tc>
        <w:tc>
          <w:tcPr>
            <w:tcW w:w="709" w:type="dxa"/>
            <w:tcBorders>
              <w:top w:val="nil"/>
              <w:left w:val="nil"/>
              <w:bottom w:val="single" w:sz="4" w:space="0" w:color="000000"/>
              <w:right w:val="single" w:sz="4" w:space="0" w:color="000000"/>
            </w:tcBorders>
            <w:shd w:val="clear" w:color="auto" w:fill="auto"/>
            <w:vAlign w:val="center"/>
            <w:hideMark/>
          </w:tcPr>
          <w:p w14:paraId="47B116F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Pago de obligaciones con títulos</w:t>
            </w:r>
          </w:p>
        </w:tc>
        <w:tc>
          <w:tcPr>
            <w:tcW w:w="567" w:type="dxa"/>
            <w:tcBorders>
              <w:top w:val="nil"/>
              <w:left w:val="nil"/>
              <w:bottom w:val="single" w:sz="4" w:space="0" w:color="000000"/>
              <w:right w:val="single" w:sz="4" w:space="0" w:color="000000"/>
            </w:tcBorders>
            <w:shd w:val="clear" w:color="auto" w:fill="auto"/>
            <w:vAlign w:val="center"/>
            <w:hideMark/>
          </w:tcPr>
          <w:p w14:paraId="6FCB34B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121101001</w:t>
            </w:r>
          </w:p>
        </w:tc>
        <w:tc>
          <w:tcPr>
            <w:tcW w:w="567" w:type="dxa"/>
            <w:tcBorders>
              <w:top w:val="nil"/>
              <w:left w:val="nil"/>
              <w:bottom w:val="single" w:sz="4" w:space="0" w:color="000000"/>
              <w:right w:val="single" w:sz="4" w:space="0" w:color="000000"/>
            </w:tcBorders>
            <w:shd w:val="clear" w:color="auto" w:fill="auto"/>
            <w:vAlign w:val="center"/>
            <w:hideMark/>
          </w:tcPr>
          <w:p w14:paraId="61B2E7D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Títulos de tesorería (tes)</w:t>
            </w:r>
          </w:p>
        </w:tc>
        <w:tc>
          <w:tcPr>
            <w:tcW w:w="425" w:type="dxa"/>
            <w:tcBorders>
              <w:top w:val="nil"/>
              <w:left w:val="nil"/>
              <w:bottom w:val="single" w:sz="4" w:space="0" w:color="000000"/>
              <w:right w:val="single" w:sz="4" w:space="0" w:color="000000"/>
            </w:tcBorders>
            <w:shd w:val="clear" w:color="auto" w:fill="auto"/>
            <w:vAlign w:val="center"/>
            <w:hideMark/>
          </w:tcPr>
          <w:p w14:paraId="2773F666"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66564687"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E327000"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151 - Adquisición de Bienes y Servicios Nacionales -Inversión</w:t>
            </w:r>
          </w:p>
        </w:tc>
        <w:tc>
          <w:tcPr>
            <w:tcW w:w="567" w:type="dxa"/>
            <w:tcBorders>
              <w:top w:val="nil"/>
              <w:left w:val="nil"/>
              <w:bottom w:val="single" w:sz="4" w:space="0" w:color="000000"/>
              <w:right w:val="single" w:sz="4" w:space="0" w:color="000000"/>
            </w:tcBorders>
            <w:shd w:val="clear" w:color="auto" w:fill="auto"/>
            <w:vAlign w:val="center"/>
            <w:hideMark/>
          </w:tcPr>
          <w:p w14:paraId="2FFF75D6"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7658514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353410E0"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29783ED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050E7873"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172F80D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240101001</w:t>
            </w:r>
          </w:p>
        </w:tc>
        <w:tc>
          <w:tcPr>
            <w:tcW w:w="850" w:type="dxa"/>
            <w:tcBorders>
              <w:top w:val="nil"/>
              <w:left w:val="nil"/>
              <w:bottom w:val="single" w:sz="4" w:space="0" w:color="000000"/>
              <w:right w:val="single" w:sz="4" w:space="0" w:color="000000"/>
            </w:tcBorders>
            <w:shd w:val="clear" w:color="auto" w:fill="auto"/>
            <w:vAlign w:val="center"/>
            <w:hideMark/>
          </w:tcPr>
          <w:p w14:paraId="146D656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Bienes y servicios</w:t>
            </w:r>
          </w:p>
        </w:tc>
        <w:tc>
          <w:tcPr>
            <w:tcW w:w="567" w:type="dxa"/>
            <w:tcBorders>
              <w:top w:val="nil"/>
              <w:left w:val="nil"/>
              <w:bottom w:val="single" w:sz="4" w:space="0" w:color="000000"/>
              <w:right w:val="single" w:sz="4" w:space="0" w:color="000000"/>
            </w:tcBorders>
            <w:shd w:val="clear" w:color="auto" w:fill="auto"/>
            <w:vAlign w:val="center"/>
            <w:hideMark/>
          </w:tcPr>
          <w:p w14:paraId="43D8295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470510</w:t>
            </w:r>
          </w:p>
        </w:tc>
        <w:tc>
          <w:tcPr>
            <w:tcW w:w="709" w:type="dxa"/>
            <w:tcBorders>
              <w:top w:val="nil"/>
              <w:left w:val="nil"/>
              <w:bottom w:val="single" w:sz="4" w:space="0" w:color="000000"/>
              <w:right w:val="single" w:sz="4" w:space="0" w:color="000000"/>
            </w:tcBorders>
            <w:shd w:val="clear" w:color="auto" w:fill="auto"/>
            <w:vAlign w:val="center"/>
            <w:hideMark/>
          </w:tcPr>
          <w:p w14:paraId="56B5B66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Inversión</w:t>
            </w:r>
          </w:p>
        </w:tc>
        <w:tc>
          <w:tcPr>
            <w:tcW w:w="567" w:type="dxa"/>
            <w:tcBorders>
              <w:top w:val="nil"/>
              <w:left w:val="nil"/>
              <w:bottom w:val="single" w:sz="4" w:space="0" w:color="000000"/>
              <w:right w:val="single" w:sz="4" w:space="0" w:color="000000"/>
            </w:tcBorders>
            <w:shd w:val="clear" w:color="auto" w:fill="auto"/>
            <w:vAlign w:val="center"/>
            <w:hideMark/>
          </w:tcPr>
          <w:p w14:paraId="1424880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570510</w:t>
            </w:r>
          </w:p>
        </w:tc>
        <w:tc>
          <w:tcPr>
            <w:tcW w:w="709" w:type="dxa"/>
            <w:tcBorders>
              <w:top w:val="nil"/>
              <w:left w:val="nil"/>
              <w:bottom w:val="single" w:sz="4" w:space="0" w:color="000000"/>
              <w:right w:val="single" w:sz="4" w:space="0" w:color="000000"/>
            </w:tcBorders>
            <w:shd w:val="clear" w:color="auto" w:fill="auto"/>
            <w:vAlign w:val="center"/>
            <w:hideMark/>
          </w:tcPr>
          <w:p w14:paraId="58836E3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Inversión</w:t>
            </w:r>
          </w:p>
        </w:tc>
        <w:tc>
          <w:tcPr>
            <w:tcW w:w="567" w:type="dxa"/>
            <w:tcBorders>
              <w:top w:val="nil"/>
              <w:left w:val="nil"/>
              <w:bottom w:val="single" w:sz="4" w:space="0" w:color="000000"/>
              <w:right w:val="single" w:sz="4" w:space="0" w:color="000000"/>
            </w:tcBorders>
            <w:shd w:val="clear" w:color="auto" w:fill="auto"/>
            <w:vAlign w:val="center"/>
            <w:hideMark/>
          </w:tcPr>
          <w:p w14:paraId="4528804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3DCF3D5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527179B0"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2A984943"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6DC90F9"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08 - Préstamos por pagar-Financiamiento interno-Préstamos banca comercial-Capital</w:t>
            </w:r>
          </w:p>
        </w:tc>
        <w:tc>
          <w:tcPr>
            <w:tcW w:w="567" w:type="dxa"/>
            <w:tcBorders>
              <w:top w:val="nil"/>
              <w:left w:val="nil"/>
              <w:bottom w:val="single" w:sz="4" w:space="0" w:color="000000"/>
              <w:right w:val="single" w:sz="4" w:space="0" w:color="000000"/>
            </w:tcBorders>
            <w:shd w:val="clear" w:color="auto" w:fill="auto"/>
            <w:vAlign w:val="center"/>
            <w:hideMark/>
          </w:tcPr>
          <w:p w14:paraId="26B25176"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21EBEDC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730D4022"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5E624093"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7A543AB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0C5D6D3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231401001</w:t>
            </w:r>
          </w:p>
        </w:tc>
        <w:tc>
          <w:tcPr>
            <w:tcW w:w="850" w:type="dxa"/>
            <w:tcBorders>
              <w:top w:val="nil"/>
              <w:left w:val="nil"/>
              <w:bottom w:val="single" w:sz="4" w:space="0" w:color="000000"/>
              <w:right w:val="single" w:sz="4" w:space="0" w:color="000000"/>
            </w:tcBorders>
            <w:shd w:val="clear" w:color="auto" w:fill="auto"/>
            <w:vAlign w:val="center"/>
            <w:hideMark/>
          </w:tcPr>
          <w:p w14:paraId="77340F8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Préstamos banca comercial - capital</w:t>
            </w:r>
          </w:p>
        </w:tc>
        <w:tc>
          <w:tcPr>
            <w:tcW w:w="567" w:type="dxa"/>
            <w:tcBorders>
              <w:top w:val="nil"/>
              <w:left w:val="nil"/>
              <w:bottom w:val="single" w:sz="4" w:space="0" w:color="000000"/>
              <w:right w:val="single" w:sz="4" w:space="0" w:color="000000"/>
            </w:tcBorders>
            <w:shd w:val="clear" w:color="auto" w:fill="auto"/>
            <w:vAlign w:val="center"/>
            <w:hideMark/>
          </w:tcPr>
          <w:p w14:paraId="2344967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470509</w:t>
            </w:r>
          </w:p>
        </w:tc>
        <w:tc>
          <w:tcPr>
            <w:tcW w:w="709" w:type="dxa"/>
            <w:tcBorders>
              <w:top w:val="nil"/>
              <w:left w:val="nil"/>
              <w:bottom w:val="single" w:sz="4" w:space="0" w:color="000000"/>
              <w:right w:val="single" w:sz="4" w:space="0" w:color="000000"/>
            </w:tcBorders>
            <w:shd w:val="clear" w:color="auto" w:fill="auto"/>
            <w:vAlign w:val="center"/>
            <w:hideMark/>
          </w:tcPr>
          <w:p w14:paraId="194E41B5"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Servicio de la deuda</w:t>
            </w:r>
          </w:p>
        </w:tc>
        <w:tc>
          <w:tcPr>
            <w:tcW w:w="567" w:type="dxa"/>
            <w:tcBorders>
              <w:top w:val="nil"/>
              <w:left w:val="nil"/>
              <w:bottom w:val="single" w:sz="4" w:space="0" w:color="000000"/>
              <w:right w:val="single" w:sz="4" w:space="0" w:color="000000"/>
            </w:tcBorders>
            <w:shd w:val="clear" w:color="auto" w:fill="auto"/>
            <w:vAlign w:val="center"/>
            <w:hideMark/>
          </w:tcPr>
          <w:p w14:paraId="6A3B7FBD"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570509</w:t>
            </w:r>
          </w:p>
        </w:tc>
        <w:tc>
          <w:tcPr>
            <w:tcW w:w="709" w:type="dxa"/>
            <w:tcBorders>
              <w:top w:val="nil"/>
              <w:left w:val="nil"/>
              <w:bottom w:val="single" w:sz="4" w:space="0" w:color="000000"/>
              <w:right w:val="single" w:sz="4" w:space="0" w:color="000000"/>
            </w:tcBorders>
            <w:shd w:val="clear" w:color="auto" w:fill="auto"/>
            <w:vAlign w:val="center"/>
            <w:hideMark/>
          </w:tcPr>
          <w:p w14:paraId="07A05E5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Servicio de la deuda</w:t>
            </w:r>
          </w:p>
        </w:tc>
        <w:tc>
          <w:tcPr>
            <w:tcW w:w="567" w:type="dxa"/>
            <w:tcBorders>
              <w:top w:val="nil"/>
              <w:left w:val="nil"/>
              <w:bottom w:val="single" w:sz="4" w:space="0" w:color="000000"/>
              <w:right w:val="single" w:sz="4" w:space="0" w:color="000000"/>
            </w:tcBorders>
            <w:shd w:val="clear" w:color="auto" w:fill="auto"/>
            <w:vAlign w:val="center"/>
            <w:hideMark/>
          </w:tcPr>
          <w:p w14:paraId="2E4FD991"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485A5EB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4DF0D13F"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59B52435"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2F3F4DFB"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100 - Beneficios Terminación Vínculo Laboral-Indemnizaciones</w:t>
            </w:r>
          </w:p>
        </w:tc>
        <w:tc>
          <w:tcPr>
            <w:tcW w:w="567" w:type="dxa"/>
            <w:tcBorders>
              <w:top w:val="nil"/>
              <w:left w:val="nil"/>
              <w:bottom w:val="single" w:sz="4" w:space="0" w:color="000000"/>
              <w:right w:val="single" w:sz="4" w:space="0" w:color="000000"/>
            </w:tcBorders>
            <w:shd w:val="clear" w:color="auto" w:fill="auto"/>
            <w:vAlign w:val="center"/>
            <w:hideMark/>
          </w:tcPr>
          <w:p w14:paraId="2A9F6A5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40BEF1A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784A7FE4"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5D194C4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2E913D8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14F335A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251301001</w:t>
            </w:r>
          </w:p>
        </w:tc>
        <w:tc>
          <w:tcPr>
            <w:tcW w:w="850" w:type="dxa"/>
            <w:tcBorders>
              <w:top w:val="nil"/>
              <w:left w:val="nil"/>
              <w:bottom w:val="single" w:sz="4" w:space="0" w:color="000000"/>
              <w:right w:val="single" w:sz="4" w:space="0" w:color="000000"/>
            </w:tcBorders>
            <w:shd w:val="clear" w:color="auto" w:fill="auto"/>
            <w:vAlign w:val="center"/>
            <w:hideMark/>
          </w:tcPr>
          <w:p w14:paraId="515ECD18"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Indemnizaciones</w:t>
            </w:r>
          </w:p>
        </w:tc>
        <w:tc>
          <w:tcPr>
            <w:tcW w:w="567" w:type="dxa"/>
            <w:tcBorders>
              <w:top w:val="nil"/>
              <w:left w:val="nil"/>
              <w:bottom w:val="single" w:sz="4" w:space="0" w:color="000000"/>
              <w:right w:val="single" w:sz="4" w:space="0" w:color="000000"/>
            </w:tcBorders>
            <w:shd w:val="clear" w:color="auto" w:fill="auto"/>
            <w:vAlign w:val="center"/>
            <w:hideMark/>
          </w:tcPr>
          <w:p w14:paraId="3CEEE1B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470508</w:t>
            </w:r>
          </w:p>
        </w:tc>
        <w:tc>
          <w:tcPr>
            <w:tcW w:w="709" w:type="dxa"/>
            <w:tcBorders>
              <w:top w:val="nil"/>
              <w:left w:val="nil"/>
              <w:bottom w:val="single" w:sz="4" w:space="0" w:color="000000"/>
              <w:right w:val="single" w:sz="4" w:space="0" w:color="000000"/>
            </w:tcBorders>
            <w:shd w:val="clear" w:color="auto" w:fill="auto"/>
            <w:vAlign w:val="center"/>
            <w:hideMark/>
          </w:tcPr>
          <w:p w14:paraId="33570F9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2DFCE37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570508</w:t>
            </w:r>
          </w:p>
        </w:tc>
        <w:tc>
          <w:tcPr>
            <w:tcW w:w="709" w:type="dxa"/>
            <w:tcBorders>
              <w:top w:val="nil"/>
              <w:left w:val="nil"/>
              <w:bottom w:val="single" w:sz="4" w:space="0" w:color="000000"/>
              <w:right w:val="single" w:sz="4" w:space="0" w:color="000000"/>
            </w:tcBorders>
            <w:shd w:val="clear" w:color="auto" w:fill="auto"/>
            <w:vAlign w:val="center"/>
            <w:hideMark/>
          </w:tcPr>
          <w:p w14:paraId="59AF82D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3D3AF21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1966CFA6"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1838E4FB"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778E22EB"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53AF9D8"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102 - Beneficios Posempleo- Pensiones de Jubilación Patronales</w:t>
            </w:r>
          </w:p>
        </w:tc>
        <w:tc>
          <w:tcPr>
            <w:tcW w:w="567" w:type="dxa"/>
            <w:tcBorders>
              <w:top w:val="nil"/>
              <w:left w:val="nil"/>
              <w:bottom w:val="single" w:sz="4" w:space="0" w:color="000000"/>
              <w:right w:val="single" w:sz="4" w:space="0" w:color="000000"/>
            </w:tcBorders>
            <w:shd w:val="clear" w:color="auto" w:fill="auto"/>
            <w:vAlign w:val="center"/>
            <w:hideMark/>
          </w:tcPr>
          <w:p w14:paraId="128F9F3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2ADC19B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58D22F75"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1273700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719D6BD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3F3E48B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251401001</w:t>
            </w:r>
          </w:p>
        </w:tc>
        <w:tc>
          <w:tcPr>
            <w:tcW w:w="850" w:type="dxa"/>
            <w:tcBorders>
              <w:top w:val="nil"/>
              <w:left w:val="nil"/>
              <w:bottom w:val="single" w:sz="4" w:space="0" w:color="000000"/>
              <w:right w:val="single" w:sz="4" w:space="0" w:color="000000"/>
            </w:tcBorders>
            <w:shd w:val="clear" w:color="auto" w:fill="auto"/>
            <w:vAlign w:val="center"/>
            <w:hideMark/>
          </w:tcPr>
          <w:p w14:paraId="5379081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Pensiones de jubilación patronales</w:t>
            </w:r>
          </w:p>
        </w:tc>
        <w:tc>
          <w:tcPr>
            <w:tcW w:w="567" w:type="dxa"/>
            <w:tcBorders>
              <w:top w:val="nil"/>
              <w:left w:val="nil"/>
              <w:bottom w:val="single" w:sz="4" w:space="0" w:color="000000"/>
              <w:right w:val="single" w:sz="4" w:space="0" w:color="000000"/>
            </w:tcBorders>
            <w:shd w:val="clear" w:color="auto" w:fill="auto"/>
            <w:vAlign w:val="center"/>
            <w:hideMark/>
          </w:tcPr>
          <w:p w14:paraId="65378815"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470508</w:t>
            </w:r>
          </w:p>
        </w:tc>
        <w:tc>
          <w:tcPr>
            <w:tcW w:w="709" w:type="dxa"/>
            <w:tcBorders>
              <w:top w:val="nil"/>
              <w:left w:val="nil"/>
              <w:bottom w:val="single" w:sz="4" w:space="0" w:color="000000"/>
              <w:right w:val="single" w:sz="4" w:space="0" w:color="000000"/>
            </w:tcBorders>
            <w:shd w:val="clear" w:color="auto" w:fill="auto"/>
            <w:vAlign w:val="center"/>
            <w:hideMark/>
          </w:tcPr>
          <w:p w14:paraId="1E6C7CE6"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4300534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570508</w:t>
            </w:r>
          </w:p>
        </w:tc>
        <w:tc>
          <w:tcPr>
            <w:tcW w:w="709" w:type="dxa"/>
            <w:tcBorders>
              <w:top w:val="nil"/>
              <w:left w:val="nil"/>
              <w:bottom w:val="single" w:sz="4" w:space="0" w:color="000000"/>
              <w:right w:val="single" w:sz="4" w:space="0" w:color="000000"/>
            </w:tcBorders>
            <w:shd w:val="clear" w:color="auto" w:fill="auto"/>
            <w:vAlign w:val="center"/>
            <w:hideMark/>
          </w:tcPr>
          <w:p w14:paraId="7E87AED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364A9AF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6726AB5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51885E15"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3306493E"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22DE82AA" w14:textId="77777777" w:rsidR="00133D5B" w:rsidRPr="00676199" w:rsidRDefault="00133D5B" w:rsidP="00133D5B">
            <w:pPr>
              <w:jc w:val="both"/>
              <w:rPr>
                <w:rFonts w:ascii="Calibri" w:hAnsi="Calibri"/>
                <w:color w:val="000000"/>
                <w:sz w:val="11"/>
                <w:szCs w:val="11"/>
                <w:lang w:val="es-CO" w:eastAsia="es-CO"/>
              </w:rPr>
            </w:pPr>
            <w:r w:rsidRPr="00676199">
              <w:rPr>
                <w:rFonts w:ascii="Calibri" w:hAnsi="Calibri"/>
                <w:color w:val="000000"/>
                <w:sz w:val="11"/>
                <w:szCs w:val="11"/>
                <w:lang w:val="es-CO" w:eastAsia="es-CO"/>
              </w:rPr>
              <w:t>105 - Beneficios Posempleo- Cuotas Partes de Pensiones</w:t>
            </w:r>
          </w:p>
        </w:tc>
        <w:tc>
          <w:tcPr>
            <w:tcW w:w="567" w:type="dxa"/>
            <w:tcBorders>
              <w:top w:val="nil"/>
              <w:left w:val="nil"/>
              <w:bottom w:val="single" w:sz="4" w:space="0" w:color="000000"/>
              <w:right w:val="single" w:sz="4" w:space="0" w:color="000000"/>
            </w:tcBorders>
            <w:shd w:val="clear" w:color="auto" w:fill="auto"/>
            <w:vAlign w:val="center"/>
            <w:hideMark/>
          </w:tcPr>
          <w:p w14:paraId="4D477FCF"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4AFF100D"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3617931F"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4173E248"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15BCABB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021450DE"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251405001</w:t>
            </w:r>
          </w:p>
        </w:tc>
        <w:tc>
          <w:tcPr>
            <w:tcW w:w="850" w:type="dxa"/>
            <w:tcBorders>
              <w:top w:val="nil"/>
              <w:left w:val="nil"/>
              <w:bottom w:val="single" w:sz="4" w:space="0" w:color="000000"/>
              <w:right w:val="single" w:sz="4" w:space="0" w:color="000000"/>
            </w:tcBorders>
            <w:shd w:val="clear" w:color="auto" w:fill="auto"/>
            <w:vAlign w:val="center"/>
            <w:hideMark/>
          </w:tcPr>
          <w:p w14:paraId="606F0FC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Cuotas partes de pensiones</w:t>
            </w:r>
          </w:p>
        </w:tc>
        <w:tc>
          <w:tcPr>
            <w:tcW w:w="567" w:type="dxa"/>
            <w:tcBorders>
              <w:top w:val="nil"/>
              <w:left w:val="nil"/>
              <w:bottom w:val="single" w:sz="4" w:space="0" w:color="000000"/>
              <w:right w:val="single" w:sz="4" w:space="0" w:color="000000"/>
            </w:tcBorders>
            <w:shd w:val="clear" w:color="auto" w:fill="auto"/>
            <w:vAlign w:val="center"/>
            <w:hideMark/>
          </w:tcPr>
          <w:p w14:paraId="1FBCB81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470508</w:t>
            </w:r>
          </w:p>
        </w:tc>
        <w:tc>
          <w:tcPr>
            <w:tcW w:w="709" w:type="dxa"/>
            <w:tcBorders>
              <w:top w:val="nil"/>
              <w:left w:val="nil"/>
              <w:bottom w:val="single" w:sz="4" w:space="0" w:color="000000"/>
              <w:right w:val="single" w:sz="4" w:space="0" w:color="000000"/>
            </w:tcBorders>
            <w:shd w:val="clear" w:color="auto" w:fill="auto"/>
            <w:vAlign w:val="center"/>
            <w:hideMark/>
          </w:tcPr>
          <w:p w14:paraId="25EFD5DA"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7CEBD133"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570508</w:t>
            </w:r>
          </w:p>
        </w:tc>
        <w:tc>
          <w:tcPr>
            <w:tcW w:w="709" w:type="dxa"/>
            <w:tcBorders>
              <w:top w:val="nil"/>
              <w:left w:val="nil"/>
              <w:bottom w:val="single" w:sz="4" w:space="0" w:color="000000"/>
              <w:right w:val="single" w:sz="4" w:space="0" w:color="000000"/>
            </w:tcBorders>
            <w:shd w:val="clear" w:color="auto" w:fill="auto"/>
            <w:vAlign w:val="center"/>
            <w:hideMark/>
          </w:tcPr>
          <w:p w14:paraId="7DC59CE4"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2120D15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030BA97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7171BA55"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r w:rsidR="00133D5B" w:rsidRPr="00676199" w14:paraId="100C5935" w14:textId="77777777" w:rsidTr="00133D5B">
        <w:trPr>
          <w:trHeight w:val="113"/>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3348B65"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106 - Beneficios Posempleo- Cuotas partes de Bonos Pensionales Emitidos</w:t>
            </w:r>
          </w:p>
        </w:tc>
        <w:tc>
          <w:tcPr>
            <w:tcW w:w="567" w:type="dxa"/>
            <w:tcBorders>
              <w:top w:val="nil"/>
              <w:left w:val="nil"/>
              <w:bottom w:val="single" w:sz="4" w:space="0" w:color="000000"/>
              <w:right w:val="single" w:sz="4" w:space="0" w:color="000000"/>
            </w:tcBorders>
            <w:shd w:val="clear" w:color="auto" w:fill="auto"/>
            <w:vAlign w:val="center"/>
            <w:hideMark/>
          </w:tcPr>
          <w:p w14:paraId="61D45A3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AC - Abono en cuenta</w:t>
            </w:r>
          </w:p>
        </w:tc>
        <w:tc>
          <w:tcPr>
            <w:tcW w:w="567" w:type="dxa"/>
            <w:tcBorders>
              <w:top w:val="nil"/>
              <w:left w:val="nil"/>
              <w:bottom w:val="single" w:sz="4" w:space="0" w:color="000000"/>
              <w:right w:val="single" w:sz="4" w:space="0" w:color="000000"/>
            </w:tcBorders>
            <w:shd w:val="clear" w:color="auto" w:fill="auto"/>
            <w:vAlign w:val="center"/>
            <w:hideMark/>
          </w:tcPr>
          <w:p w14:paraId="2A94BBA1"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26EEE150"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35467B07"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01 - Beneficiario final</w:t>
            </w:r>
          </w:p>
        </w:tc>
        <w:tc>
          <w:tcPr>
            <w:tcW w:w="709" w:type="dxa"/>
            <w:tcBorders>
              <w:top w:val="nil"/>
              <w:left w:val="nil"/>
              <w:bottom w:val="single" w:sz="4" w:space="0" w:color="000000"/>
              <w:right w:val="single" w:sz="4" w:space="0" w:color="000000"/>
            </w:tcBorders>
            <w:shd w:val="clear" w:color="auto" w:fill="auto"/>
            <w:vAlign w:val="center"/>
            <w:hideMark/>
          </w:tcPr>
          <w:p w14:paraId="6BEA8186"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709" w:type="dxa"/>
            <w:tcBorders>
              <w:top w:val="nil"/>
              <w:left w:val="nil"/>
              <w:bottom w:val="single" w:sz="4" w:space="0" w:color="000000"/>
              <w:right w:val="single" w:sz="4" w:space="0" w:color="000000"/>
            </w:tcBorders>
            <w:shd w:val="clear" w:color="auto" w:fill="auto"/>
            <w:vAlign w:val="center"/>
            <w:hideMark/>
          </w:tcPr>
          <w:p w14:paraId="1E77E48C"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291901001</w:t>
            </w:r>
          </w:p>
        </w:tc>
        <w:tc>
          <w:tcPr>
            <w:tcW w:w="850" w:type="dxa"/>
            <w:tcBorders>
              <w:top w:val="nil"/>
              <w:left w:val="nil"/>
              <w:bottom w:val="single" w:sz="4" w:space="0" w:color="000000"/>
              <w:right w:val="single" w:sz="4" w:space="0" w:color="000000"/>
            </w:tcBorders>
            <w:shd w:val="clear" w:color="auto" w:fill="auto"/>
            <w:vAlign w:val="center"/>
            <w:hideMark/>
          </w:tcPr>
          <w:p w14:paraId="788793DD"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Cuotas partes de bonos pensionales emitidos</w:t>
            </w:r>
          </w:p>
        </w:tc>
        <w:tc>
          <w:tcPr>
            <w:tcW w:w="567" w:type="dxa"/>
            <w:tcBorders>
              <w:top w:val="nil"/>
              <w:left w:val="nil"/>
              <w:bottom w:val="single" w:sz="4" w:space="0" w:color="000000"/>
              <w:right w:val="single" w:sz="4" w:space="0" w:color="000000"/>
            </w:tcBorders>
            <w:shd w:val="clear" w:color="auto" w:fill="auto"/>
            <w:vAlign w:val="center"/>
            <w:hideMark/>
          </w:tcPr>
          <w:p w14:paraId="044090A8"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470508</w:t>
            </w:r>
          </w:p>
        </w:tc>
        <w:tc>
          <w:tcPr>
            <w:tcW w:w="709" w:type="dxa"/>
            <w:tcBorders>
              <w:top w:val="nil"/>
              <w:left w:val="nil"/>
              <w:bottom w:val="single" w:sz="4" w:space="0" w:color="000000"/>
              <w:right w:val="single" w:sz="4" w:space="0" w:color="000000"/>
            </w:tcBorders>
            <w:shd w:val="clear" w:color="auto" w:fill="auto"/>
            <w:vAlign w:val="center"/>
            <w:hideMark/>
          </w:tcPr>
          <w:p w14:paraId="3BFA2AD0"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074946B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570508</w:t>
            </w:r>
          </w:p>
        </w:tc>
        <w:tc>
          <w:tcPr>
            <w:tcW w:w="709" w:type="dxa"/>
            <w:tcBorders>
              <w:top w:val="nil"/>
              <w:left w:val="nil"/>
              <w:bottom w:val="single" w:sz="4" w:space="0" w:color="000000"/>
              <w:right w:val="single" w:sz="4" w:space="0" w:color="000000"/>
            </w:tcBorders>
            <w:shd w:val="clear" w:color="auto" w:fill="auto"/>
            <w:vAlign w:val="center"/>
            <w:hideMark/>
          </w:tcPr>
          <w:p w14:paraId="212B2D42"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Funcionamiento</w:t>
            </w:r>
          </w:p>
        </w:tc>
        <w:tc>
          <w:tcPr>
            <w:tcW w:w="567" w:type="dxa"/>
            <w:tcBorders>
              <w:top w:val="nil"/>
              <w:left w:val="nil"/>
              <w:bottom w:val="single" w:sz="4" w:space="0" w:color="000000"/>
              <w:right w:val="single" w:sz="4" w:space="0" w:color="000000"/>
            </w:tcBorders>
            <w:shd w:val="clear" w:color="auto" w:fill="auto"/>
            <w:vAlign w:val="center"/>
            <w:hideMark/>
          </w:tcPr>
          <w:p w14:paraId="1073EEBB"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4A9A46C9" w14:textId="77777777" w:rsidR="00133D5B" w:rsidRPr="00676199" w:rsidRDefault="00133D5B" w:rsidP="00133D5B">
            <w:pPr>
              <w:rPr>
                <w:rFonts w:ascii="Calibri" w:hAnsi="Calibri"/>
                <w:color w:val="000000"/>
                <w:sz w:val="11"/>
                <w:szCs w:val="11"/>
                <w:lang w:val="es-CO" w:eastAsia="es-CO"/>
              </w:rPr>
            </w:pPr>
            <w:r w:rsidRPr="00676199">
              <w:rPr>
                <w:rFonts w:ascii="Calibri" w:hAnsi="Calibri"/>
                <w:color w:val="000000"/>
                <w:sz w:val="11"/>
                <w:szCs w:val="11"/>
                <w:lang w:val="es-CO" w:eastAsia="es-CO"/>
              </w:rPr>
              <w:t> </w:t>
            </w:r>
          </w:p>
        </w:tc>
        <w:tc>
          <w:tcPr>
            <w:tcW w:w="425" w:type="dxa"/>
            <w:tcBorders>
              <w:top w:val="nil"/>
              <w:left w:val="nil"/>
              <w:bottom w:val="single" w:sz="4" w:space="0" w:color="000000"/>
              <w:right w:val="single" w:sz="4" w:space="0" w:color="000000"/>
            </w:tcBorders>
            <w:shd w:val="clear" w:color="auto" w:fill="auto"/>
            <w:vAlign w:val="center"/>
            <w:hideMark/>
          </w:tcPr>
          <w:p w14:paraId="1B9A7878" w14:textId="77777777" w:rsidR="00133D5B" w:rsidRPr="00676199" w:rsidRDefault="00133D5B" w:rsidP="00133D5B">
            <w:pPr>
              <w:jc w:val="center"/>
              <w:rPr>
                <w:rFonts w:ascii="Calibri" w:hAnsi="Calibri"/>
                <w:color w:val="000000"/>
                <w:sz w:val="11"/>
                <w:szCs w:val="11"/>
                <w:lang w:val="es-CO" w:eastAsia="es-CO"/>
              </w:rPr>
            </w:pPr>
            <w:r w:rsidRPr="00676199">
              <w:rPr>
                <w:rFonts w:ascii="Calibri" w:hAnsi="Calibri"/>
                <w:color w:val="000000"/>
                <w:sz w:val="11"/>
                <w:szCs w:val="11"/>
                <w:lang w:val="es-CO" w:eastAsia="es-CO"/>
              </w:rPr>
              <w:t>SI</w:t>
            </w:r>
          </w:p>
        </w:tc>
      </w:tr>
    </w:tbl>
    <w:p w14:paraId="44C6EFEA" w14:textId="77777777" w:rsidR="00133D5B" w:rsidRPr="00C63BFD" w:rsidRDefault="00133D5B" w:rsidP="00C63BFD">
      <w:pPr>
        <w:pStyle w:val="unico"/>
        <w:spacing w:before="0" w:beforeAutospacing="0" w:after="0" w:afterAutospacing="0" w:line="288" w:lineRule="auto"/>
        <w:jc w:val="both"/>
        <w:rPr>
          <w:rFonts w:ascii="Arial" w:hAnsi="Arial" w:cs="Arial"/>
          <w:color w:val="000000"/>
          <w:sz w:val="22"/>
          <w:szCs w:val="22"/>
        </w:rPr>
      </w:pPr>
    </w:p>
    <w:p w14:paraId="1EEEBD8D" w14:textId="77777777" w:rsidR="00DF1744" w:rsidRPr="00AF5B17" w:rsidRDefault="00DF1744" w:rsidP="00EF3D59">
      <w:pPr>
        <w:spacing w:line="288" w:lineRule="auto"/>
        <w:rPr>
          <w:rFonts w:ascii="Arial" w:hAnsi="Arial" w:cs="Arial"/>
          <w:b/>
          <w:color w:val="000000"/>
          <w:sz w:val="22"/>
          <w:szCs w:val="22"/>
        </w:rPr>
      </w:pPr>
      <w:r w:rsidRPr="00AF5B17">
        <w:rPr>
          <w:rFonts w:ascii="Arial" w:hAnsi="Arial" w:cs="Arial"/>
          <w:b/>
          <w:color w:val="000000"/>
          <w:sz w:val="22"/>
          <w:szCs w:val="22"/>
        </w:rPr>
        <w:t>Pagos sin atributo contable y con atributo contable</w:t>
      </w:r>
    </w:p>
    <w:p w14:paraId="47EA8005" w14:textId="77777777" w:rsidR="00DF1744" w:rsidRPr="00DF1744" w:rsidRDefault="00DF1744" w:rsidP="00EF3D59">
      <w:pPr>
        <w:spacing w:line="288" w:lineRule="auto"/>
      </w:pPr>
    </w:p>
    <w:p w14:paraId="0A3E29B2"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Los pagos sin atributo contable disminuyen el pasivo constituido al momento de causar la obligación, que es igual al registrado en la tabla de eventos TCON7-causación de gastos presupuestales.</w:t>
      </w:r>
    </w:p>
    <w:p w14:paraId="0DD23808" w14:textId="77777777" w:rsidR="00DF1744" w:rsidRPr="00DF1744" w:rsidRDefault="00DF1744" w:rsidP="00EF3D59">
      <w:pPr>
        <w:pStyle w:val="unico"/>
        <w:spacing w:before="0" w:beforeAutospacing="0" w:after="0" w:afterAutospacing="0" w:line="288" w:lineRule="auto"/>
        <w:jc w:val="both"/>
        <w:rPr>
          <w:rFonts w:ascii="Arial" w:hAnsi="Arial" w:cs="Arial"/>
          <w:color w:val="000000"/>
          <w:sz w:val="22"/>
          <w:szCs w:val="22"/>
        </w:rPr>
      </w:pPr>
    </w:p>
    <w:p w14:paraId="54BC3E62"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 xml:space="preserve">Los pagos con atributo </w:t>
      </w:r>
      <w:r w:rsidR="00AF5B17" w:rsidRPr="00DF1744">
        <w:rPr>
          <w:rFonts w:ascii="Arial" w:hAnsi="Arial" w:cs="Arial"/>
          <w:color w:val="000000"/>
          <w:sz w:val="22"/>
          <w:szCs w:val="22"/>
        </w:rPr>
        <w:t>contable</w:t>
      </w:r>
      <w:r w:rsidRPr="00DF1744">
        <w:rPr>
          <w:rFonts w:ascii="Arial" w:hAnsi="Arial" w:cs="Arial"/>
          <w:color w:val="000000"/>
          <w:sz w:val="22"/>
          <w:szCs w:val="22"/>
        </w:rPr>
        <w:t xml:space="preserve"> corresponden a los derechos que se constituyen con el flujo de los recursos, por tanto, su contabilidad se define en la tabla de eventos TCON9-pagos presupuestales.</w:t>
      </w:r>
    </w:p>
    <w:p w14:paraId="54B20746" w14:textId="239AE779" w:rsidR="00DF1744" w:rsidRDefault="00DF1744" w:rsidP="00EF3D59">
      <w:pPr>
        <w:pStyle w:val="unico"/>
        <w:spacing w:before="0" w:beforeAutospacing="0" w:after="0" w:afterAutospacing="0" w:line="288" w:lineRule="auto"/>
        <w:jc w:val="both"/>
        <w:rPr>
          <w:rFonts w:ascii="Arial" w:hAnsi="Arial" w:cs="Arial"/>
          <w:color w:val="000000"/>
          <w:sz w:val="22"/>
          <w:szCs w:val="22"/>
        </w:rPr>
      </w:pPr>
    </w:p>
    <w:p w14:paraId="08AEC801" w14:textId="77777777" w:rsidR="00DB6F34" w:rsidRDefault="00DB6F34" w:rsidP="00EF3D59">
      <w:pPr>
        <w:pStyle w:val="unico"/>
        <w:spacing w:before="0" w:beforeAutospacing="0" w:after="0" w:afterAutospacing="0" w:line="288" w:lineRule="auto"/>
        <w:jc w:val="both"/>
        <w:rPr>
          <w:rFonts w:ascii="Arial" w:hAnsi="Arial" w:cs="Arial"/>
          <w:color w:val="000000"/>
          <w:sz w:val="22"/>
          <w:szCs w:val="22"/>
        </w:rPr>
      </w:pPr>
    </w:p>
    <w:p w14:paraId="4CCDE1D2" w14:textId="77777777" w:rsidR="00DF1744" w:rsidRPr="00AF5B17" w:rsidRDefault="00DF1744" w:rsidP="00EF3D59">
      <w:pPr>
        <w:spacing w:line="288" w:lineRule="auto"/>
        <w:jc w:val="both"/>
        <w:rPr>
          <w:rFonts w:ascii="Arial" w:hAnsi="Arial" w:cs="Arial"/>
          <w:b/>
          <w:color w:val="000000"/>
          <w:sz w:val="22"/>
          <w:szCs w:val="22"/>
        </w:rPr>
      </w:pPr>
      <w:r w:rsidRPr="00AF5B17">
        <w:rPr>
          <w:rFonts w:ascii="Arial" w:hAnsi="Arial" w:cs="Arial"/>
          <w:b/>
          <w:color w:val="000000"/>
          <w:sz w:val="22"/>
          <w:szCs w:val="22"/>
        </w:rPr>
        <w:lastRenderedPageBreak/>
        <w:t>Pago de una orden de pago no presupuestal generada en una orden de pago presupuestal-pago extensivo por traspaso a pagaduría</w:t>
      </w:r>
    </w:p>
    <w:p w14:paraId="115D0384" w14:textId="77777777" w:rsidR="00DF1744" w:rsidRPr="00DF1744" w:rsidRDefault="00DF1744" w:rsidP="00EF3D59">
      <w:pPr>
        <w:spacing w:line="288" w:lineRule="auto"/>
      </w:pPr>
    </w:p>
    <w:p w14:paraId="385CAAB5"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Los pagos presupuestales con traspaso a pagaduría en la ECP contabilizan en el débito la subcuenta de la cuenta 1110-depósitos en instituciones financieras, definida al crear la cuenta bancaria, y acredita la subcuenta que corresponda, de la cuenta 4705-fondos recibidos, incorporada en la tabla de eventos contables TCON09-pagos presupuestales.</w:t>
      </w:r>
    </w:p>
    <w:p w14:paraId="560DADBB" w14:textId="77777777" w:rsidR="00B75CD5" w:rsidRPr="00DF1744" w:rsidRDefault="00B75CD5" w:rsidP="00EF3D59">
      <w:pPr>
        <w:pStyle w:val="unico"/>
        <w:spacing w:before="0" w:beforeAutospacing="0" w:after="0" w:afterAutospacing="0" w:line="288" w:lineRule="auto"/>
        <w:jc w:val="both"/>
        <w:rPr>
          <w:rFonts w:ascii="Arial" w:hAnsi="Arial" w:cs="Arial"/>
          <w:color w:val="000000"/>
          <w:sz w:val="22"/>
          <w:szCs w:val="22"/>
        </w:rPr>
      </w:pPr>
    </w:p>
    <w:p w14:paraId="65CEBFD0"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 xml:space="preserve">Para cancelar el pasivo constituido en la obligación en la TCON07, la entidad debe generar las órdenes de pago no presupuestales para realizar el pago al beneficiario final, esta transacción corresponde a la </w:t>
      </w:r>
      <w:r w:rsidRPr="00FB7B51">
        <w:rPr>
          <w:rFonts w:ascii="Arial" w:hAnsi="Arial" w:cs="Arial"/>
          <w:i/>
          <w:iCs/>
          <w:color w:val="000000"/>
          <w:sz w:val="22"/>
          <w:szCs w:val="22"/>
        </w:rPr>
        <w:t>“legalización del traspaso a pagaduría”</w:t>
      </w:r>
      <w:r w:rsidRPr="00DF1744">
        <w:rPr>
          <w:rFonts w:ascii="Arial" w:hAnsi="Arial" w:cs="Arial"/>
          <w:color w:val="000000"/>
          <w:sz w:val="22"/>
          <w:szCs w:val="22"/>
        </w:rPr>
        <w:t xml:space="preserve"> o </w:t>
      </w:r>
      <w:r w:rsidRPr="00FB7B51">
        <w:rPr>
          <w:rFonts w:ascii="Arial" w:hAnsi="Arial" w:cs="Arial"/>
          <w:i/>
          <w:iCs/>
          <w:color w:val="000000"/>
          <w:sz w:val="22"/>
          <w:szCs w:val="22"/>
        </w:rPr>
        <w:t>“pago extensivo”</w:t>
      </w:r>
      <w:r w:rsidRPr="00DF1744">
        <w:rPr>
          <w:rFonts w:ascii="Arial" w:hAnsi="Arial" w:cs="Arial"/>
          <w:color w:val="000000"/>
          <w:sz w:val="22"/>
          <w:szCs w:val="22"/>
        </w:rPr>
        <w:t>.</w:t>
      </w:r>
    </w:p>
    <w:p w14:paraId="47A18972" w14:textId="77777777" w:rsidR="00B75CD5" w:rsidRPr="00DF1744" w:rsidRDefault="00B75CD5" w:rsidP="00EF3D59">
      <w:pPr>
        <w:pStyle w:val="unico"/>
        <w:spacing w:before="0" w:beforeAutospacing="0" w:after="0" w:afterAutospacing="0" w:line="288" w:lineRule="auto"/>
        <w:jc w:val="both"/>
        <w:rPr>
          <w:rFonts w:ascii="Arial" w:hAnsi="Arial" w:cs="Arial"/>
          <w:color w:val="000000"/>
          <w:sz w:val="22"/>
          <w:szCs w:val="22"/>
        </w:rPr>
      </w:pPr>
    </w:p>
    <w:p w14:paraId="1B22B00F"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Por su parte, en la tesorería centralizada, DTN contabiliza un débito en la subcuenta que corresponda, de la cuenta 5705-fondos entregados, y un crédito en la subcuenta de la cuenta 1110-depósitos en instituciones financieras.</w:t>
      </w:r>
    </w:p>
    <w:p w14:paraId="1CC8FA88" w14:textId="77777777" w:rsidR="00B75CD5" w:rsidRDefault="00B75CD5" w:rsidP="00EF3D59">
      <w:pPr>
        <w:pStyle w:val="unico"/>
        <w:spacing w:before="0" w:beforeAutospacing="0" w:after="0" w:afterAutospacing="0" w:line="288" w:lineRule="auto"/>
        <w:jc w:val="both"/>
        <w:rPr>
          <w:rFonts w:ascii="Arial" w:hAnsi="Arial" w:cs="Arial"/>
          <w:color w:val="000000"/>
          <w:sz w:val="22"/>
          <w:szCs w:val="22"/>
        </w:rPr>
      </w:pPr>
    </w:p>
    <w:p w14:paraId="27ABEE6C" w14:textId="77777777" w:rsidR="00DF1744" w:rsidRPr="00AF5B17" w:rsidRDefault="00DF1744" w:rsidP="00EF3D59">
      <w:pPr>
        <w:spacing w:line="288" w:lineRule="auto"/>
        <w:rPr>
          <w:rFonts w:ascii="Arial" w:hAnsi="Arial" w:cs="Arial"/>
          <w:b/>
          <w:color w:val="000000"/>
          <w:sz w:val="22"/>
          <w:szCs w:val="22"/>
        </w:rPr>
      </w:pPr>
      <w:r w:rsidRPr="00AF5B17">
        <w:rPr>
          <w:rFonts w:ascii="Arial" w:hAnsi="Arial" w:cs="Arial"/>
          <w:b/>
          <w:color w:val="000000"/>
          <w:sz w:val="22"/>
          <w:szCs w:val="22"/>
        </w:rPr>
        <w:t>Pago no exitoso</w:t>
      </w:r>
    </w:p>
    <w:p w14:paraId="09E669F2" w14:textId="77777777" w:rsidR="00B75CD5" w:rsidRPr="00B75CD5" w:rsidRDefault="00B75CD5" w:rsidP="00EF3D59">
      <w:pPr>
        <w:spacing w:line="288" w:lineRule="auto"/>
      </w:pPr>
    </w:p>
    <w:p w14:paraId="677B320B" w14:textId="77777777" w:rsid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En este procedimiento existe la posibilidad de que se presenten pagos no realizados o “pagos no exitosos”. Con esta información se producen los comprobantes contables por cada posición del catálogo institucional, PCI que originó la orden de pago relacionada. El registro contable corresponde a un asiento de partida doble que afecta los mismos códigos contables del registro y valor del pago original.</w:t>
      </w:r>
    </w:p>
    <w:p w14:paraId="7C3BB49F" w14:textId="77777777" w:rsidR="00B75CD5" w:rsidRPr="00DF1744" w:rsidRDefault="00B75CD5" w:rsidP="00EF3D59">
      <w:pPr>
        <w:pStyle w:val="unico"/>
        <w:spacing w:before="0" w:beforeAutospacing="0" w:after="0" w:afterAutospacing="0" w:line="288" w:lineRule="auto"/>
        <w:jc w:val="both"/>
        <w:rPr>
          <w:rFonts w:ascii="Arial" w:hAnsi="Arial" w:cs="Arial"/>
          <w:color w:val="000000"/>
          <w:sz w:val="22"/>
          <w:szCs w:val="22"/>
        </w:rPr>
      </w:pPr>
    </w:p>
    <w:p w14:paraId="198D35CB" w14:textId="77777777" w:rsidR="00DF1744" w:rsidRPr="00AF5B17" w:rsidRDefault="00DF1744" w:rsidP="00EF3D59">
      <w:pPr>
        <w:spacing w:line="288" w:lineRule="auto"/>
        <w:rPr>
          <w:rFonts w:ascii="Arial" w:hAnsi="Arial" w:cs="Arial"/>
          <w:b/>
          <w:color w:val="000000"/>
          <w:sz w:val="22"/>
          <w:szCs w:val="22"/>
        </w:rPr>
      </w:pPr>
      <w:r w:rsidRPr="00AF5B17">
        <w:rPr>
          <w:rFonts w:ascii="Arial" w:hAnsi="Arial" w:cs="Arial"/>
          <w:b/>
          <w:color w:val="000000"/>
          <w:sz w:val="22"/>
          <w:szCs w:val="22"/>
        </w:rPr>
        <w:t>Pagos de órdenes de pago no presupuestal originada en EPG por deducciones</w:t>
      </w:r>
    </w:p>
    <w:p w14:paraId="5955744D" w14:textId="77777777" w:rsidR="00B75CD5" w:rsidRDefault="00B75CD5" w:rsidP="00EF3D59">
      <w:pPr>
        <w:pStyle w:val="unico"/>
        <w:spacing w:before="0" w:beforeAutospacing="0" w:after="0" w:afterAutospacing="0" w:line="288" w:lineRule="auto"/>
        <w:jc w:val="both"/>
        <w:rPr>
          <w:rFonts w:ascii="Arial" w:hAnsi="Arial" w:cs="Arial"/>
          <w:color w:val="000000"/>
          <w:sz w:val="22"/>
          <w:szCs w:val="22"/>
        </w:rPr>
      </w:pPr>
    </w:p>
    <w:p w14:paraId="3E5B99B8" w14:textId="77777777" w:rsidR="00DF1744" w:rsidRP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Las órdenes de pago no presupuestales, originadas en EPG, permiten el pago de deducciones, tales como: retenciones en la fuente, seguridad social y otros acreedores de EPG.</w:t>
      </w:r>
    </w:p>
    <w:p w14:paraId="5B250953" w14:textId="77777777" w:rsidR="00B75CD5" w:rsidRDefault="00B75CD5" w:rsidP="00EF3D59">
      <w:pPr>
        <w:pStyle w:val="unico"/>
        <w:spacing w:before="0" w:beforeAutospacing="0" w:after="0" w:afterAutospacing="0" w:line="288" w:lineRule="auto"/>
        <w:jc w:val="both"/>
        <w:rPr>
          <w:rFonts w:ascii="Arial" w:hAnsi="Arial" w:cs="Arial"/>
          <w:color w:val="000000"/>
          <w:sz w:val="22"/>
          <w:szCs w:val="22"/>
        </w:rPr>
      </w:pPr>
    </w:p>
    <w:p w14:paraId="36E39B0E" w14:textId="77777777" w:rsidR="00DF1744" w:rsidRPr="00DF1744" w:rsidRDefault="00DF1744" w:rsidP="00EF3D59">
      <w:pPr>
        <w:pStyle w:val="unico"/>
        <w:spacing w:before="0" w:beforeAutospacing="0" w:after="0" w:afterAutospacing="0" w:line="288" w:lineRule="auto"/>
        <w:jc w:val="both"/>
        <w:rPr>
          <w:rFonts w:ascii="Arial" w:hAnsi="Arial" w:cs="Arial"/>
          <w:color w:val="000000"/>
          <w:sz w:val="22"/>
          <w:szCs w:val="22"/>
        </w:rPr>
      </w:pPr>
      <w:r w:rsidRPr="00DF1744">
        <w:rPr>
          <w:rFonts w:ascii="Arial" w:hAnsi="Arial" w:cs="Arial"/>
          <w:color w:val="000000"/>
          <w:sz w:val="22"/>
          <w:szCs w:val="22"/>
        </w:rPr>
        <w:t>El comprobante contable se define a partir de los datos de la deducción, tales como el catálogo de pagos no presupuestales, el tipo de título, el tipo de beneficiario, el medio de pago, si corresponde o no a la misma ECP. Para este efecto, se consulta la tabla de eventos contables TCON14-otros pagos.</w:t>
      </w:r>
    </w:p>
    <w:p w14:paraId="70267B31" w14:textId="343B86EF" w:rsidR="00F70400" w:rsidRDefault="00F70400" w:rsidP="00EF3D59">
      <w:pPr>
        <w:spacing w:line="288" w:lineRule="auto"/>
      </w:pPr>
    </w:p>
    <w:p w14:paraId="6AB45DFB" w14:textId="24865A40" w:rsidR="00DB6F34" w:rsidRDefault="00DB6F34" w:rsidP="00EF3D59">
      <w:pPr>
        <w:spacing w:line="288" w:lineRule="auto"/>
      </w:pPr>
    </w:p>
    <w:p w14:paraId="51410A96" w14:textId="47400551" w:rsidR="00DB6F34" w:rsidRDefault="00DB6F34" w:rsidP="00EF3D59">
      <w:pPr>
        <w:spacing w:line="288" w:lineRule="auto"/>
      </w:pPr>
    </w:p>
    <w:p w14:paraId="7E18D2AF" w14:textId="195770BF" w:rsidR="00DB6F34" w:rsidRDefault="00DB6F34" w:rsidP="00EF3D59">
      <w:pPr>
        <w:spacing w:line="288" w:lineRule="auto"/>
      </w:pPr>
    </w:p>
    <w:p w14:paraId="4A8D1BE3" w14:textId="2273BEC4" w:rsidR="00DB6F34" w:rsidRDefault="00DB6F34" w:rsidP="00EF3D59">
      <w:pPr>
        <w:spacing w:line="288" w:lineRule="auto"/>
      </w:pPr>
    </w:p>
    <w:p w14:paraId="4D6A1CE0" w14:textId="7AE295A3" w:rsidR="00DB6F34" w:rsidRDefault="00DB6F34" w:rsidP="00EF3D59">
      <w:pPr>
        <w:spacing w:line="288" w:lineRule="auto"/>
      </w:pPr>
    </w:p>
    <w:p w14:paraId="61938D5E" w14:textId="77777777" w:rsidR="00DB6F34" w:rsidRDefault="00DB6F34" w:rsidP="00EF3D59">
      <w:pPr>
        <w:spacing w:line="288" w:lineRule="auto"/>
      </w:pPr>
    </w:p>
    <w:p w14:paraId="6EDBF0B3" w14:textId="77777777" w:rsidR="00DF1744" w:rsidRPr="00AF5B17" w:rsidRDefault="00DF1744" w:rsidP="00EF3D59">
      <w:pPr>
        <w:spacing w:line="288" w:lineRule="auto"/>
        <w:rPr>
          <w:rFonts w:ascii="Arial" w:hAnsi="Arial" w:cs="Arial"/>
          <w:b/>
          <w:color w:val="000000"/>
          <w:sz w:val="22"/>
          <w:szCs w:val="22"/>
        </w:rPr>
      </w:pPr>
      <w:r w:rsidRPr="00AF5B17">
        <w:rPr>
          <w:rFonts w:ascii="Arial" w:hAnsi="Arial" w:cs="Arial"/>
          <w:b/>
          <w:color w:val="000000"/>
          <w:sz w:val="22"/>
          <w:szCs w:val="22"/>
        </w:rPr>
        <w:lastRenderedPageBreak/>
        <w:t>TCON14-Otros pago</w:t>
      </w:r>
      <w:r w:rsidR="00661451" w:rsidRPr="00AF5B17">
        <w:rPr>
          <w:rFonts w:ascii="Arial" w:hAnsi="Arial" w:cs="Arial"/>
          <w:b/>
          <w:color w:val="000000"/>
          <w:sz w:val="22"/>
          <w:szCs w:val="22"/>
        </w:rPr>
        <w:t>s</w:t>
      </w:r>
    </w:p>
    <w:p w14:paraId="06ADE736" w14:textId="77777777" w:rsidR="00661451" w:rsidRDefault="00661451" w:rsidP="000C4468">
      <w:pPr>
        <w:spacing w:line="288" w:lineRule="auto"/>
        <w:jc w:val="both"/>
        <w:rPr>
          <w:rFonts w:ascii="Arial" w:hAnsi="Arial" w:cs="Arial"/>
          <w:b/>
          <w:sz w:val="22"/>
          <w:szCs w:val="22"/>
        </w:rPr>
      </w:pPr>
    </w:p>
    <w:tbl>
      <w:tblPr>
        <w:tblW w:w="9426" w:type="dxa"/>
        <w:tblLayout w:type="fixed"/>
        <w:tblCellMar>
          <w:left w:w="70" w:type="dxa"/>
          <w:right w:w="70" w:type="dxa"/>
        </w:tblCellMar>
        <w:tblLook w:val="04A0" w:firstRow="1" w:lastRow="0" w:firstColumn="1" w:lastColumn="0" w:noHBand="0" w:noVBand="1"/>
      </w:tblPr>
      <w:tblGrid>
        <w:gridCol w:w="567"/>
        <w:gridCol w:w="496"/>
        <w:gridCol w:w="425"/>
        <w:gridCol w:w="425"/>
        <w:gridCol w:w="425"/>
        <w:gridCol w:w="567"/>
        <w:gridCol w:w="426"/>
        <w:gridCol w:w="425"/>
        <w:gridCol w:w="425"/>
        <w:gridCol w:w="425"/>
        <w:gridCol w:w="567"/>
        <w:gridCol w:w="567"/>
        <w:gridCol w:w="426"/>
        <w:gridCol w:w="567"/>
        <w:gridCol w:w="425"/>
        <w:gridCol w:w="567"/>
        <w:gridCol w:w="425"/>
        <w:gridCol w:w="425"/>
        <w:gridCol w:w="426"/>
        <w:gridCol w:w="425"/>
      </w:tblGrid>
      <w:tr w:rsidR="00314C0E" w:rsidRPr="00F70400" w14:paraId="69A00A46" w14:textId="77777777" w:rsidTr="00A33E48">
        <w:trPr>
          <w:trHeight w:val="495"/>
          <w:tblHeader/>
        </w:trPr>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88BB08C"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Rubro Ingreso</w:t>
            </w:r>
          </w:p>
        </w:tc>
        <w:tc>
          <w:tcPr>
            <w:tcW w:w="49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200D1F7"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Rubro Ingreso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483A1CE"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Tipo Registro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8E35B10"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Rubro No Presupuestal</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5297610"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Rubro No Presupuestal</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2A32A63"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Tipo Titulo</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89E0B5B"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Diferencial Cambiario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2267168"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Tipo Beneficiario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7D98A55"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Medio de Pago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F9CB9C4"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Misma ECP</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A8F7AB5"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Asiento1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D6337D1"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Asiento1 Debe</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260FA09"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Asiento1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D64EC15"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Asiento1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3C1C00A"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Asiento2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AF11461"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Asiento2 Debe</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DA7916B"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Código</w:t>
            </w:r>
            <w:r w:rsidR="00314C0E" w:rsidRPr="00F70400">
              <w:rPr>
                <w:rFonts w:asciiTheme="minorHAnsi" w:hAnsiTheme="minorHAnsi"/>
                <w:b/>
                <w:bCs/>
                <w:color w:val="FFFFFF"/>
                <w:sz w:val="11"/>
                <w:szCs w:val="11"/>
                <w:lang w:eastAsia="es-CO"/>
              </w:rPr>
              <w:t xml:space="preserve"> Asiento2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082C151"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Descripción</w:t>
            </w:r>
            <w:r w:rsidR="00314C0E" w:rsidRPr="00F70400">
              <w:rPr>
                <w:rFonts w:asciiTheme="minorHAnsi" w:hAnsiTheme="minorHAnsi"/>
                <w:b/>
                <w:bCs/>
                <w:color w:val="FFFFFF"/>
                <w:sz w:val="11"/>
                <w:szCs w:val="11"/>
                <w:lang w:eastAsia="es-CO"/>
              </w:rPr>
              <w:t xml:space="preserve"> Asiento2 Haber</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33EF540" w14:textId="77777777" w:rsidR="00314C0E" w:rsidRPr="00F70400" w:rsidRDefault="00314C0E"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Vigente</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1537443" w14:textId="77777777" w:rsidR="00314C0E" w:rsidRPr="00F70400" w:rsidRDefault="00D95115" w:rsidP="00314C0E">
            <w:pPr>
              <w:jc w:val="center"/>
              <w:rPr>
                <w:rFonts w:asciiTheme="minorHAnsi" w:hAnsiTheme="minorHAnsi"/>
                <w:b/>
                <w:bCs/>
                <w:color w:val="FFFFFF"/>
                <w:sz w:val="11"/>
                <w:szCs w:val="11"/>
                <w:lang w:eastAsia="es-CO"/>
              </w:rPr>
            </w:pPr>
            <w:r w:rsidRPr="00F70400">
              <w:rPr>
                <w:rFonts w:asciiTheme="minorHAnsi" w:hAnsiTheme="minorHAnsi"/>
                <w:b/>
                <w:bCs/>
                <w:color w:val="FFFFFF"/>
                <w:sz w:val="11"/>
                <w:szCs w:val="11"/>
                <w:lang w:eastAsia="es-CO"/>
              </w:rPr>
              <w:t>Ámbito</w:t>
            </w:r>
          </w:p>
        </w:tc>
      </w:tr>
      <w:tr w:rsidR="00314C0E" w:rsidRPr="00F70400" w14:paraId="1C716BA4"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BB71AC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2-9-0-0-1-4</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7A8A83E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Acuerdos de pago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EF41A2D"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59D0C9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4F8A0F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144391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114DF50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6BDDBB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CA2007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Cheque</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DF80C07"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FF230B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94319C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E4167A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E3127A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ECB639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BB9B3E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E36DF4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A21BD5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0B6A1604"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FDB55A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2522A997"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63B3E2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6-0-0-0-49-3</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69CD4F1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Acciones de grupo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460F4AA"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696CB2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1FCE6F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E349FD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3E4D15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C401FC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3108E2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Abono en cuenta</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D296A97"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38EB248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FE6459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0094C5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FC250D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CA41A8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E9A7F6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815EAB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BD9F14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30919BD"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F2D3A4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342D4C68"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DD0C4D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3-1-2-1-2-6-4</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0D1D6FA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Antecedentes y certificaciones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D5084C6"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502817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C2E5EE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9FC344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B6EC95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42EA29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C21279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Cheque</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EF9B649"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3CD2D8D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FD5DDD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4AAD49B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4F2CB9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178A02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BA55C7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1D9796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F13506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72FFDC5A"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CB5593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581C8BE6"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8D9040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3-1-2-1-2-8-6</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487D517F"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Administracion</w:t>
            </w:r>
            <w:proofErr w:type="spellEnd"/>
            <w:r w:rsidRPr="00F70400">
              <w:rPr>
                <w:rFonts w:asciiTheme="minorHAnsi" w:hAnsiTheme="minorHAnsi"/>
                <w:color w:val="000000"/>
                <w:sz w:val="11"/>
                <w:szCs w:val="11"/>
                <w:lang w:eastAsia="es-CO"/>
              </w:rPr>
              <w:t xml:space="preserve"> de proyectos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AAC48C3"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E70093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B1ECC3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78E15A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0E18B3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7A7D91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D3FFBB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Cheque</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AA90D94"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27A95B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3CF95F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1DB89C1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E49E2A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388B32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E4E9A0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8776F0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8EB6F1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B12398C"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536886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6FAD36C1" w14:textId="77777777" w:rsidTr="00D02D6E">
        <w:trPr>
          <w:trHeight w:val="330"/>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A2FC94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764970A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A73718F"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AcreedorPAG</w:t>
            </w:r>
            <w:proofErr w:type="spellEnd"/>
            <w:r w:rsidRPr="00F70400">
              <w:rPr>
                <w:rFonts w:asciiTheme="minorHAnsi" w:hAnsiTheme="minorHAnsi"/>
                <w:color w:val="000000"/>
                <w:sz w:val="11"/>
                <w:szCs w:val="11"/>
                <w:lang w:eastAsia="es-CO"/>
              </w:rPr>
              <w:t xml:space="preserve"> </w:t>
            </w:r>
            <w:proofErr w:type="spellStart"/>
            <w:r w:rsidRPr="00F70400">
              <w:rPr>
                <w:rFonts w:asciiTheme="minorHAnsi" w:hAnsiTheme="minorHAnsi"/>
                <w:color w:val="000000"/>
                <w:sz w:val="11"/>
                <w:szCs w:val="11"/>
                <w:lang w:eastAsia="es-CO"/>
              </w:rPr>
              <w:t>DRXCTitulos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9D8727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FABE7E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0ECEE0D"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Rnivarecaudos</w:t>
            </w:r>
            <w:proofErr w:type="spellEnd"/>
            <w:r w:rsidRPr="00F70400">
              <w:rPr>
                <w:rFonts w:asciiTheme="minorHAnsi" w:hAnsiTheme="minorHAnsi"/>
                <w:color w:val="000000"/>
                <w:sz w:val="11"/>
                <w:szCs w:val="11"/>
                <w:lang w:eastAsia="es-CO"/>
              </w:rPr>
              <w:t xml:space="preserve"> no imputados vigencias anteriores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C752DB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66843F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903225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848F00B"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312DB5A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589301001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19FAC5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Contribuciones, tasas e ingresos no tributarios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25A2DD5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4134A9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321953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5A6548E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AAA800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9FFBDD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63233E84"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A22449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7D7E2B73"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31A804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6-0-0-0-24-1</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0AB7E881"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Contribución</w:t>
            </w:r>
            <w:r w:rsidR="00314C0E" w:rsidRPr="00F70400">
              <w:rPr>
                <w:rFonts w:asciiTheme="minorHAnsi" w:hAnsiTheme="minorHAnsi"/>
                <w:color w:val="000000"/>
                <w:sz w:val="11"/>
                <w:szCs w:val="11"/>
                <w:lang w:eastAsia="es-CO"/>
              </w:rPr>
              <w:t xml:space="preserve"> </w:t>
            </w:r>
            <w:r w:rsidRPr="00F70400">
              <w:rPr>
                <w:rFonts w:asciiTheme="minorHAnsi" w:hAnsiTheme="minorHAnsi"/>
                <w:color w:val="000000"/>
                <w:sz w:val="11"/>
                <w:szCs w:val="11"/>
                <w:lang w:eastAsia="es-CO"/>
              </w:rPr>
              <w:t>comisión</w:t>
            </w:r>
            <w:r w:rsidR="00314C0E" w:rsidRPr="00F70400">
              <w:rPr>
                <w:rFonts w:asciiTheme="minorHAnsi" w:hAnsiTheme="minorHAnsi"/>
                <w:color w:val="000000"/>
                <w:sz w:val="11"/>
                <w:szCs w:val="11"/>
                <w:lang w:eastAsia="es-CO"/>
              </w:rPr>
              <w:t xml:space="preserve"> de </w:t>
            </w:r>
            <w:r w:rsidRPr="00F70400">
              <w:rPr>
                <w:rFonts w:asciiTheme="minorHAnsi" w:hAnsiTheme="minorHAnsi"/>
                <w:color w:val="000000"/>
                <w:sz w:val="11"/>
                <w:szCs w:val="11"/>
                <w:lang w:eastAsia="es-CO"/>
              </w:rPr>
              <w:t>regulación</w:t>
            </w:r>
            <w:r w:rsidR="00314C0E" w:rsidRPr="00F70400">
              <w:rPr>
                <w:rFonts w:asciiTheme="minorHAnsi" w:hAnsiTheme="minorHAnsi"/>
                <w:color w:val="000000"/>
                <w:sz w:val="11"/>
                <w:szCs w:val="11"/>
                <w:lang w:eastAsia="es-CO"/>
              </w:rPr>
              <w:t xml:space="preserve"> de </w:t>
            </w:r>
            <w:r w:rsidRPr="00F70400">
              <w:rPr>
                <w:rFonts w:asciiTheme="minorHAnsi" w:hAnsiTheme="minorHAnsi"/>
                <w:color w:val="000000"/>
                <w:sz w:val="11"/>
                <w:szCs w:val="11"/>
                <w:lang w:eastAsia="es-CO"/>
              </w:rPr>
              <w:t>energía</w:t>
            </w:r>
            <w:r w:rsidR="00314C0E" w:rsidRPr="00F70400">
              <w:rPr>
                <w:rFonts w:asciiTheme="minorHAnsi" w:hAnsiTheme="minorHAnsi"/>
                <w:color w:val="000000"/>
                <w:sz w:val="11"/>
                <w:szCs w:val="11"/>
                <w:lang w:eastAsia="es-CO"/>
              </w:rPr>
              <w:t xml:space="preserve"> y gas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C5F65FE"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2D8A5E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C61669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FA94FE7"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Fafondos</w:t>
            </w:r>
            <w:proofErr w:type="spellEnd"/>
            <w:r w:rsidRPr="00F70400">
              <w:rPr>
                <w:rFonts w:asciiTheme="minorHAnsi" w:hAnsiTheme="minorHAnsi"/>
                <w:color w:val="000000"/>
                <w:sz w:val="11"/>
                <w:szCs w:val="11"/>
                <w:lang w:eastAsia="es-CO"/>
              </w:rPr>
              <w:t xml:space="preserve"> administrados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2D6B1F5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19F39C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47979D0"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3430292"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CC6707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3D5150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09506F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190801001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039D02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En administración</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4F45E5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DD4CD9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7E0A7E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095EE4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2E418AD"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39385B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4B3EA951"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C55D6C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341DA82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0C9810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xml:space="preserve">Pago No </w:t>
            </w:r>
            <w:proofErr w:type="spellStart"/>
            <w:r w:rsidRPr="00F70400">
              <w:rPr>
                <w:rFonts w:asciiTheme="minorHAnsi" w:hAnsiTheme="minorHAnsi"/>
                <w:color w:val="000000"/>
                <w:sz w:val="11"/>
                <w:szCs w:val="11"/>
                <w:lang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D6758E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2-20-01-01-02-02</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0CAB03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DTOS EMPLEADO PENSIÓN SECTOR PÚBLICO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AD64800"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Fafondos</w:t>
            </w:r>
            <w:proofErr w:type="spellEnd"/>
            <w:r w:rsidRPr="00F70400">
              <w:rPr>
                <w:rFonts w:asciiTheme="minorHAnsi" w:hAnsiTheme="minorHAnsi"/>
                <w:color w:val="000000"/>
                <w:sz w:val="11"/>
                <w:szCs w:val="11"/>
                <w:lang w:eastAsia="es-CO"/>
              </w:rPr>
              <w:t xml:space="preserve"> administrados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0995200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8FADE3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B2B17B5"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F3931AE"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033992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242401001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6876F2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Aportes a fondos pensionales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44C0A41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190801001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D637CF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En administración</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CBEDB1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0E6D6E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2CEE01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57898F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E91332A"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364C0A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1FBEB5E5" w14:textId="77777777" w:rsidTr="00D02D6E">
        <w:trPr>
          <w:trHeight w:val="330"/>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DF2778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19E0F7A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689613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xml:space="preserve">Pago No </w:t>
            </w:r>
            <w:proofErr w:type="spellStart"/>
            <w:r w:rsidRPr="00F70400">
              <w:rPr>
                <w:rFonts w:asciiTheme="minorHAnsi" w:hAnsiTheme="minorHAnsi"/>
                <w:color w:val="000000"/>
                <w:sz w:val="11"/>
                <w:szCs w:val="11"/>
                <w:lang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F63408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2-40-01-04</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DAED10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DOBLES PAGOS</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6951764"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Tidistitulos</w:t>
            </w:r>
            <w:proofErr w:type="spellEnd"/>
            <w:r w:rsidRPr="00F70400">
              <w:rPr>
                <w:rFonts w:asciiTheme="minorHAnsi" w:hAnsiTheme="minorHAnsi"/>
                <w:color w:val="000000"/>
                <w:sz w:val="11"/>
                <w:szCs w:val="11"/>
                <w:lang w:eastAsia="es-CO"/>
              </w:rPr>
              <w:t> de </w:t>
            </w:r>
            <w:r w:rsidR="00D95115" w:rsidRPr="00F70400">
              <w:rPr>
                <w:rFonts w:asciiTheme="minorHAnsi" w:hAnsiTheme="minorHAnsi"/>
                <w:color w:val="000000"/>
                <w:sz w:val="11"/>
                <w:szCs w:val="11"/>
                <w:lang w:eastAsia="es-CO"/>
              </w:rPr>
              <w:t>devolución</w:t>
            </w:r>
            <w:r w:rsidRPr="00F70400">
              <w:rPr>
                <w:rFonts w:asciiTheme="minorHAnsi" w:hAnsiTheme="minorHAnsi"/>
                <w:color w:val="000000"/>
                <w:sz w:val="11"/>
                <w:szCs w:val="11"/>
                <w:lang w:eastAsia="es-CO"/>
              </w:rPr>
              <w:t> de impuestos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70AF0CC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6890F2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316DFC6"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F9386E6"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9AAE27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3BBF094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2AD3FA6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470508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139324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A4BB6B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35ADAFA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3374D7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BA48F5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31D1CFB"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EEDB17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6C6B812B" w14:textId="77777777" w:rsidTr="00D02D6E">
        <w:trPr>
          <w:trHeight w:val="330"/>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254CF7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3AA891D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FF02EE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xml:space="preserve">Pago No </w:t>
            </w:r>
            <w:proofErr w:type="spellStart"/>
            <w:r w:rsidRPr="00F70400">
              <w:rPr>
                <w:rFonts w:asciiTheme="minorHAnsi" w:hAnsiTheme="minorHAnsi"/>
                <w:color w:val="000000"/>
                <w:sz w:val="11"/>
                <w:szCs w:val="11"/>
                <w:lang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C439A5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2-40-01-01</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8861B8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POR CONSIGNACIONES EN EXCESO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BDB1556"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Tidistitulos</w:t>
            </w:r>
            <w:proofErr w:type="spellEnd"/>
            <w:r w:rsidRPr="00F70400">
              <w:rPr>
                <w:rFonts w:asciiTheme="minorHAnsi" w:hAnsiTheme="minorHAnsi"/>
                <w:color w:val="000000"/>
                <w:sz w:val="11"/>
                <w:szCs w:val="11"/>
                <w:lang w:eastAsia="es-CO"/>
              </w:rPr>
              <w:t> de </w:t>
            </w:r>
            <w:r w:rsidR="00D95115" w:rsidRPr="00F70400">
              <w:rPr>
                <w:rFonts w:asciiTheme="minorHAnsi" w:hAnsiTheme="minorHAnsi"/>
                <w:color w:val="000000"/>
                <w:sz w:val="11"/>
                <w:szCs w:val="11"/>
                <w:lang w:eastAsia="es-CO"/>
              </w:rPr>
              <w:t>devolución</w:t>
            </w:r>
            <w:r w:rsidRPr="00F70400">
              <w:rPr>
                <w:rFonts w:asciiTheme="minorHAnsi" w:hAnsiTheme="minorHAnsi"/>
                <w:color w:val="000000"/>
                <w:sz w:val="11"/>
                <w:szCs w:val="11"/>
                <w:lang w:eastAsia="es-CO"/>
              </w:rPr>
              <w:t> de impuestos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2ECE517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C19330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DC76EBB"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6EFD7F2"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A3C3AD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3AA922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41B62E5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470508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51CE50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08BD99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50278D0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85B676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059B4E1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20F7025"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54E003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1C47211C" w14:textId="77777777" w:rsidTr="00D02D6E">
        <w:trPr>
          <w:trHeight w:val="165"/>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3472F20"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2-9-0-0-1-4</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0CE7DD0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Acuerdos de pago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6173FDE"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4F9F7D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4A51AC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D00A51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1CCB80E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61C4A3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6584AA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Giro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435536B"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CCE0CC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7CD377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36D6804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472081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5E04747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Devoluciones de ingreso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BF4F46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572081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F5151A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Devoluciones de ingresos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DB6A16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25BB50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33DA77C"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F4F323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670A107F" w14:textId="77777777" w:rsidTr="00D02D6E">
        <w:trPr>
          <w:trHeight w:val="330"/>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FCDE5A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48EFC6C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1AA9AFD"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xml:space="preserve">Pago No </w:t>
            </w:r>
            <w:proofErr w:type="spellStart"/>
            <w:r w:rsidRPr="00F70400">
              <w:rPr>
                <w:rFonts w:asciiTheme="minorHAnsi" w:hAnsiTheme="minorHAnsi"/>
                <w:color w:val="000000"/>
                <w:sz w:val="11"/>
                <w:szCs w:val="11"/>
                <w:lang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908A0B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2-40-01-04</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B099CC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DOBLES PAGOS</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ACFC56D"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Tidistitulos</w:t>
            </w:r>
            <w:proofErr w:type="spellEnd"/>
            <w:r w:rsidRPr="00F70400">
              <w:rPr>
                <w:rFonts w:asciiTheme="minorHAnsi" w:hAnsiTheme="minorHAnsi"/>
                <w:color w:val="000000"/>
                <w:sz w:val="11"/>
                <w:szCs w:val="11"/>
                <w:lang w:eastAsia="es-CO"/>
              </w:rPr>
              <w:t> de </w:t>
            </w:r>
            <w:proofErr w:type="spellStart"/>
            <w:r w:rsidRPr="00F70400">
              <w:rPr>
                <w:rFonts w:asciiTheme="minorHAnsi" w:hAnsiTheme="minorHAnsi"/>
                <w:color w:val="000000"/>
                <w:sz w:val="11"/>
                <w:szCs w:val="11"/>
                <w:lang w:eastAsia="es-CO"/>
              </w:rPr>
              <w:t>devolucion</w:t>
            </w:r>
            <w:proofErr w:type="spellEnd"/>
            <w:r w:rsidRPr="00F70400">
              <w:rPr>
                <w:rFonts w:asciiTheme="minorHAnsi" w:hAnsiTheme="minorHAnsi"/>
                <w:color w:val="000000"/>
                <w:sz w:val="11"/>
                <w:szCs w:val="11"/>
                <w:lang w:eastAsia="es-CO"/>
              </w:rPr>
              <w:t> de impuestos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2FD59F3F"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14AF3A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3721740"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AF2B3F6"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BEEC9A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12BB952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Saldos a favor de beneficiarios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41554ED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470508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00BE298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A4C0C5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570508</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28144F5"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43F65EC"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223001001</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6F35FB2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 de devolución de impuestos (</w:t>
            </w:r>
            <w:proofErr w:type="spellStart"/>
            <w:r w:rsidRPr="00F70400">
              <w:rPr>
                <w:rFonts w:asciiTheme="minorHAnsi" w:hAnsiTheme="minorHAnsi"/>
                <w:color w:val="000000"/>
                <w:sz w:val="11"/>
                <w:szCs w:val="11"/>
                <w:lang w:eastAsia="es-CO"/>
              </w:rPr>
              <w:t>tidis</w:t>
            </w:r>
            <w:proofErr w:type="spellEnd"/>
            <w:r w:rsidRPr="00F70400">
              <w:rPr>
                <w:rFonts w:asciiTheme="minorHAnsi" w:hAnsiTheme="minorHAnsi"/>
                <w:color w:val="000000"/>
                <w:sz w:val="11"/>
                <w:szCs w:val="11"/>
                <w:lang w:eastAsia="es-CO"/>
              </w:rPr>
              <w:t>)</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04F10101"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2CC0445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r w:rsidR="00314C0E" w:rsidRPr="00F70400" w14:paraId="71BD92AE" w14:textId="77777777" w:rsidTr="00D02D6E">
        <w:trPr>
          <w:trHeight w:val="330"/>
        </w:trPr>
        <w:tc>
          <w:tcPr>
            <w:tcW w:w="56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827CB0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96" w:type="dxa"/>
            <w:tcBorders>
              <w:top w:val="single" w:sz="4" w:space="0" w:color="000000"/>
              <w:left w:val="nil"/>
              <w:bottom w:val="single" w:sz="4" w:space="0" w:color="000000"/>
              <w:right w:val="single" w:sz="4" w:space="0" w:color="000000"/>
            </w:tcBorders>
            <w:shd w:val="clear" w:color="000000" w:fill="FFFFFF"/>
            <w:vAlign w:val="bottom"/>
            <w:hideMark/>
          </w:tcPr>
          <w:p w14:paraId="79A3AA4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6C903A6"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xml:space="preserve">Pago No </w:t>
            </w:r>
            <w:proofErr w:type="spellStart"/>
            <w:r w:rsidRPr="00F70400">
              <w:rPr>
                <w:rFonts w:asciiTheme="minorHAnsi" w:hAnsiTheme="minorHAnsi"/>
                <w:color w:val="000000"/>
                <w:sz w:val="11"/>
                <w:szCs w:val="11"/>
                <w:lang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89DA94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2-01-04-03-01-01</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3740EEB"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RETENCIÓN TIMBRE NACIONAL - HONORARIOS</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666D0617" w14:textId="77777777" w:rsidR="00314C0E" w:rsidRPr="00F70400" w:rsidRDefault="00314C0E" w:rsidP="00314C0E">
            <w:pPr>
              <w:rPr>
                <w:rFonts w:asciiTheme="minorHAnsi" w:hAnsiTheme="minorHAnsi"/>
                <w:color w:val="000000"/>
                <w:sz w:val="11"/>
                <w:szCs w:val="11"/>
                <w:lang w:eastAsia="es-CO"/>
              </w:rPr>
            </w:pPr>
            <w:proofErr w:type="spellStart"/>
            <w:r w:rsidRPr="00F70400">
              <w:rPr>
                <w:rFonts w:asciiTheme="minorHAnsi" w:hAnsiTheme="minorHAnsi"/>
                <w:color w:val="000000"/>
                <w:sz w:val="11"/>
                <w:szCs w:val="11"/>
                <w:lang w:eastAsia="es-CO"/>
              </w:rPr>
              <w:t>Tidistitulos</w:t>
            </w:r>
            <w:proofErr w:type="spellEnd"/>
            <w:r w:rsidRPr="00F70400">
              <w:rPr>
                <w:rFonts w:asciiTheme="minorHAnsi" w:hAnsiTheme="minorHAnsi"/>
                <w:color w:val="000000"/>
                <w:sz w:val="11"/>
                <w:szCs w:val="11"/>
                <w:lang w:eastAsia="es-CO"/>
              </w:rPr>
              <w:t> de </w:t>
            </w:r>
            <w:proofErr w:type="spellStart"/>
            <w:r w:rsidRPr="00F70400">
              <w:rPr>
                <w:rFonts w:asciiTheme="minorHAnsi" w:hAnsiTheme="minorHAnsi"/>
                <w:color w:val="000000"/>
                <w:sz w:val="11"/>
                <w:szCs w:val="11"/>
                <w:lang w:eastAsia="es-CO"/>
              </w:rPr>
              <w:t>devolucion</w:t>
            </w:r>
            <w:proofErr w:type="spellEnd"/>
            <w:r w:rsidRPr="00F70400">
              <w:rPr>
                <w:rFonts w:asciiTheme="minorHAnsi" w:hAnsiTheme="minorHAnsi"/>
                <w:color w:val="000000"/>
                <w:sz w:val="11"/>
                <w:szCs w:val="11"/>
                <w:lang w:eastAsia="es-CO"/>
              </w:rPr>
              <w:t> de impuestos</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7F8F8D73"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132609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4B0B61B" w14:textId="77777777" w:rsidR="00314C0E" w:rsidRPr="00F70400" w:rsidRDefault="00D95115"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4A47128F"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NO</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239FCF3E"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243698002</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44DE4874"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Pagado (</w:t>
            </w:r>
            <w:proofErr w:type="spellStart"/>
            <w:r w:rsidRPr="00F70400">
              <w:rPr>
                <w:rFonts w:asciiTheme="minorHAnsi" w:hAnsiTheme="minorHAnsi"/>
                <w:color w:val="000000"/>
                <w:sz w:val="11"/>
                <w:szCs w:val="11"/>
                <w:lang w:eastAsia="es-CO"/>
              </w:rPr>
              <w:t>db</w:t>
            </w:r>
            <w:proofErr w:type="spellEnd"/>
            <w:r w:rsidRPr="00F70400">
              <w:rPr>
                <w:rFonts w:asciiTheme="minorHAnsi" w:hAnsiTheme="minorHAnsi"/>
                <w:color w:val="000000"/>
                <w:sz w:val="11"/>
                <w:szCs w:val="11"/>
                <w:lang w:eastAsia="es-CO"/>
              </w:rPr>
              <w:t>)</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1E8E5632"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472210</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558D7DA7"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Pago de obligaciones con 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301A401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572210</w:t>
            </w:r>
          </w:p>
        </w:tc>
        <w:tc>
          <w:tcPr>
            <w:tcW w:w="567" w:type="dxa"/>
            <w:tcBorders>
              <w:top w:val="single" w:sz="4" w:space="0" w:color="000000"/>
              <w:left w:val="nil"/>
              <w:bottom w:val="single" w:sz="4" w:space="0" w:color="000000"/>
              <w:right w:val="single" w:sz="4" w:space="0" w:color="000000"/>
            </w:tcBorders>
            <w:shd w:val="clear" w:color="000000" w:fill="FFFFFF"/>
            <w:vAlign w:val="bottom"/>
            <w:hideMark/>
          </w:tcPr>
          <w:p w14:paraId="7A18A231"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Pago de obligaciones con títulos</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1E131FB9"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223001001</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5EB4C1AA"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Títulos de devolución de impuestos (</w:t>
            </w:r>
            <w:proofErr w:type="spellStart"/>
            <w:r w:rsidRPr="00F70400">
              <w:rPr>
                <w:rFonts w:asciiTheme="minorHAnsi" w:hAnsiTheme="minorHAnsi"/>
                <w:color w:val="000000"/>
                <w:sz w:val="11"/>
                <w:szCs w:val="11"/>
                <w:lang w:eastAsia="es-CO"/>
              </w:rPr>
              <w:t>tidis</w:t>
            </w:r>
            <w:proofErr w:type="spellEnd"/>
            <w:r w:rsidRPr="00F70400">
              <w:rPr>
                <w:rFonts w:asciiTheme="minorHAnsi" w:hAnsiTheme="minorHAnsi"/>
                <w:color w:val="000000"/>
                <w:sz w:val="11"/>
                <w:szCs w:val="11"/>
                <w:lang w:eastAsia="es-CO"/>
              </w:rPr>
              <w:t>)</w:t>
            </w:r>
          </w:p>
        </w:tc>
        <w:tc>
          <w:tcPr>
            <w:tcW w:w="426" w:type="dxa"/>
            <w:tcBorders>
              <w:top w:val="single" w:sz="4" w:space="0" w:color="000000"/>
              <w:left w:val="nil"/>
              <w:bottom w:val="single" w:sz="4" w:space="0" w:color="000000"/>
              <w:right w:val="single" w:sz="4" w:space="0" w:color="000000"/>
            </w:tcBorders>
            <w:shd w:val="clear" w:color="000000" w:fill="FFFFFF"/>
            <w:vAlign w:val="bottom"/>
            <w:hideMark/>
          </w:tcPr>
          <w:p w14:paraId="57767F35" w14:textId="77777777" w:rsidR="00314C0E" w:rsidRPr="00F70400" w:rsidRDefault="00314C0E" w:rsidP="00314C0E">
            <w:pPr>
              <w:jc w:val="center"/>
              <w:rPr>
                <w:rFonts w:asciiTheme="minorHAnsi" w:hAnsiTheme="minorHAnsi"/>
                <w:color w:val="000000"/>
                <w:sz w:val="11"/>
                <w:szCs w:val="11"/>
                <w:lang w:eastAsia="es-CO"/>
              </w:rPr>
            </w:pPr>
            <w:r w:rsidRPr="00F70400">
              <w:rPr>
                <w:rFonts w:asciiTheme="minorHAnsi" w:hAnsiTheme="minorHAnsi"/>
                <w:color w:val="000000"/>
                <w:sz w:val="11"/>
                <w:szCs w:val="11"/>
                <w:lang w:eastAsia="es-CO"/>
              </w:rPr>
              <w:t>SI</w:t>
            </w:r>
          </w:p>
        </w:tc>
        <w:tc>
          <w:tcPr>
            <w:tcW w:w="425" w:type="dxa"/>
            <w:tcBorders>
              <w:top w:val="single" w:sz="4" w:space="0" w:color="000000"/>
              <w:left w:val="nil"/>
              <w:bottom w:val="single" w:sz="4" w:space="0" w:color="000000"/>
              <w:right w:val="single" w:sz="4" w:space="0" w:color="000000"/>
            </w:tcBorders>
            <w:shd w:val="clear" w:color="000000" w:fill="FFFFFF"/>
            <w:vAlign w:val="bottom"/>
            <w:hideMark/>
          </w:tcPr>
          <w:p w14:paraId="77FAF608" w14:textId="77777777" w:rsidR="00314C0E" w:rsidRPr="00F70400" w:rsidRDefault="00314C0E" w:rsidP="00314C0E">
            <w:pPr>
              <w:rPr>
                <w:rFonts w:asciiTheme="minorHAnsi" w:hAnsiTheme="minorHAnsi"/>
                <w:color w:val="000000"/>
                <w:sz w:val="11"/>
                <w:szCs w:val="11"/>
                <w:lang w:eastAsia="es-CO"/>
              </w:rPr>
            </w:pPr>
            <w:r w:rsidRPr="00F70400">
              <w:rPr>
                <w:rFonts w:asciiTheme="minorHAnsi" w:hAnsiTheme="minorHAnsi"/>
                <w:color w:val="000000"/>
                <w:sz w:val="11"/>
                <w:szCs w:val="11"/>
                <w:lang w:eastAsia="es-CO"/>
              </w:rPr>
              <w:t> </w:t>
            </w:r>
          </w:p>
        </w:tc>
      </w:tr>
    </w:tbl>
    <w:p w14:paraId="10B10E22" w14:textId="77777777" w:rsidR="00A33E48" w:rsidRPr="00A33E48" w:rsidRDefault="00A33E48" w:rsidP="00A0134B">
      <w:pPr>
        <w:spacing w:line="288" w:lineRule="auto"/>
        <w:rPr>
          <w:rFonts w:ascii="Arial" w:hAnsi="Arial" w:cs="Arial"/>
          <w:sz w:val="22"/>
          <w:szCs w:val="22"/>
        </w:rPr>
      </w:pPr>
    </w:p>
    <w:p w14:paraId="7377D7A2"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lastRenderedPageBreak/>
        <w:t>Debido a que la desagregación de las posiciones del cat</w:t>
      </w:r>
      <w:r>
        <w:rPr>
          <w:rFonts w:ascii="Arial" w:hAnsi="Arial" w:cs="Arial"/>
          <w:color w:val="000000"/>
          <w:sz w:val="22"/>
          <w:szCs w:val="22"/>
        </w:rPr>
        <w:t xml:space="preserve">álogo de pago no presupuestal </w:t>
      </w:r>
      <w:r w:rsidRPr="00A33E48">
        <w:rPr>
          <w:rFonts w:ascii="Arial" w:hAnsi="Arial" w:cs="Arial"/>
          <w:color w:val="000000"/>
          <w:sz w:val="22"/>
          <w:szCs w:val="22"/>
        </w:rPr>
        <w:t>no identifica el tipo de gasto (funcionamiento, servicio de la deuda e inversión), los registros contables de las operaciones interinstitucionales, fondos entregados y recibidos, se reconocen en las subcuentas de funcionamiento.</w:t>
      </w:r>
    </w:p>
    <w:p w14:paraId="57986546"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p>
    <w:p w14:paraId="0C721F5A" w14:textId="77777777" w:rsidR="00A33E48" w:rsidRPr="00AF5B17" w:rsidRDefault="00A33E48" w:rsidP="00EF3D59">
      <w:pPr>
        <w:spacing w:line="288" w:lineRule="auto"/>
        <w:rPr>
          <w:rFonts w:ascii="Arial" w:hAnsi="Arial" w:cs="Arial"/>
          <w:b/>
          <w:color w:val="000000"/>
          <w:sz w:val="22"/>
          <w:szCs w:val="22"/>
        </w:rPr>
      </w:pPr>
      <w:r w:rsidRPr="00AF5B17">
        <w:rPr>
          <w:rFonts w:ascii="Arial" w:hAnsi="Arial" w:cs="Arial"/>
          <w:b/>
          <w:color w:val="000000"/>
          <w:sz w:val="22"/>
          <w:szCs w:val="22"/>
        </w:rPr>
        <w:t>Pagos de órdenes de pago no presupuestal originadas en PAG</w:t>
      </w:r>
    </w:p>
    <w:p w14:paraId="112968E9" w14:textId="77777777" w:rsidR="003C2AE6" w:rsidRPr="00AF5B17" w:rsidRDefault="003C2AE6" w:rsidP="00EF3D59">
      <w:pPr>
        <w:spacing w:line="288" w:lineRule="auto"/>
        <w:rPr>
          <w:b/>
        </w:rPr>
      </w:pPr>
    </w:p>
    <w:p w14:paraId="7CAA625F" w14:textId="77777777" w:rsidR="00A33E48" w:rsidRPr="00AF5B17" w:rsidRDefault="00A33E48" w:rsidP="00EF3D59">
      <w:pPr>
        <w:spacing w:line="288" w:lineRule="auto"/>
        <w:rPr>
          <w:rFonts w:ascii="Arial" w:hAnsi="Arial" w:cs="Arial"/>
          <w:b/>
          <w:color w:val="000000"/>
          <w:sz w:val="22"/>
          <w:szCs w:val="22"/>
        </w:rPr>
      </w:pPr>
      <w:r w:rsidRPr="00AF5B17">
        <w:rPr>
          <w:rFonts w:ascii="Arial" w:hAnsi="Arial" w:cs="Arial"/>
          <w:b/>
          <w:color w:val="000000"/>
          <w:sz w:val="22"/>
          <w:szCs w:val="22"/>
        </w:rPr>
        <w:t>Constitución de acreedores</w:t>
      </w:r>
    </w:p>
    <w:p w14:paraId="2F8CCB67" w14:textId="77777777" w:rsidR="00A33E48" w:rsidRPr="00A33E48" w:rsidRDefault="00A33E48" w:rsidP="00EF3D59">
      <w:pPr>
        <w:spacing w:line="288" w:lineRule="auto"/>
        <w:rPr>
          <w:sz w:val="22"/>
          <w:szCs w:val="22"/>
        </w:rPr>
      </w:pPr>
    </w:p>
    <w:p w14:paraId="4763EFAE"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El macroproceso de pagos permite constituir órdenes de pago no presupuestales, a partir de la radicación de una cuenta por pagar, con o sin documento de recaudo por clasificar.</w:t>
      </w:r>
    </w:p>
    <w:p w14:paraId="5FEEC811"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p>
    <w:p w14:paraId="667E168E"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Los acreedores que no requieren documento de recaudo por clasificar, corresponden a las operaciones de giro de recursos, tales como: inversiones en TES, inversiones en instrumentos derivados, depósitos judiciales, préstamos, entre otr</w:t>
      </w:r>
      <w:r w:rsidR="007A6BD2">
        <w:rPr>
          <w:rFonts w:ascii="Arial" w:hAnsi="Arial" w:cs="Arial"/>
          <w:color w:val="000000"/>
          <w:sz w:val="22"/>
          <w:szCs w:val="22"/>
        </w:rPr>
        <w:t>os, para lo cual se utiliza el Catálogo de Pagos No P</w:t>
      </w:r>
      <w:r w:rsidRPr="00A33E48">
        <w:rPr>
          <w:rFonts w:ascii="Arial" w:hAnsi="Arial" w:cs="Arial"/>
          <w:color w:val="000000"/>
          <w:sz w:val="22"/>
          <w:szCs w:val="22"/>
        </w:rPr>
        <w:t>resupuestal en las posiciones deudoras que inician</w:t>
      </w:r>
      <w:r w:rsidR="007A6BD2">
        <w:rPr>
          <w:rFonts w:ascii="Arial" w:hAnsi="Arial" w:cs="Arial"/>
          <w:color w:val="000000"/>
          <w:sz w:val="22"/>
          <w:szCs w:val="22"/>
        </w:rPr>
        <w:t xml:space="preserve"> con el numeral 1</w:t>
      </w:r>
      <w:r w:rsidRPr="00A33E48">
        <w:rPr>
          <w:rFonts w:ascii="Arial" w:hAnsi="Arial" w:cs="Arial"/>
          <w:color w:val="000000"/>
          <w:sz w:val="22"/>
          <w:szCs w:val="22"/>
        </w:rPr>
        <w:t xml:space="preserve">. Estas transacciones tienen impacto contable en el momento del pago, afectando en el débito la subcuenta que identifique el activo que se está adquiriendo y en el crédito la subcuenta que </w:t>
      </w:r>
      <w:r w:rsidR="007A6BD2">
        <w:rPr>
          <w:rFonts w:ascii="Arial" w:hAnsi="Arial" w:cs="Arial"/>
          <w:color w:val="000000"/>
          <w:sz w:val="22"/>
          <w:szCs w:val="22"/>
        </w:rPr>
        <w:t>corresponda, de la cuenta 1110-D</w:t>
      </w:r>
      <w:r w:rsidRPr="00A33E48">
        <w:rPr>
          <w:rFonts w:ascii="Arial" w:hAnsi="Arial" w:cs="Arial"/>
          <w:color w:val="000000"/>
          <w:sz w:val="22"/>
          <w:szCs w:val="22"/>
        </w:rPr>
        <w:t>epósitos en instituciones financieras. Se podrán registrar deducciones para ser pagadas posteriormente o para que queden disponibles para su compensación.</w:t>
      </w:r>
    </w:p>
    <w:p w14:paraId="0E343263"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037DA98E" w14:textId="77777777" w:rsid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Los acreedores que requieren de documento de recaudo por clasificar, se originan en consignaciones que no pertenecen a la posición del catálogo institucional, PCI responsable de la administración de las cuentas bancarias y por tanto la entidad debe efectuar una devolución del recaudo. En el caso de los acreedores por depósitos recibidos en administración que no tienen origen presupuestal y que deben ser girados de acuerdo con las disposiciones establecidas para su administración, en estas operaciones el sistema exige la radicación de una cuenta por pagar y la constitución el acreedor con las posiciones de pago no presupuestal.</w:t>
      </w:r>
    </w:p>
    <w:p w14:paraId="06DE58CC" w14:textId="77777777" w:rsidR="003C2AE6" w:rsidRPr="00A33E48" w:rsidRDefault="003C2AE6" w:rsidP="00EF3D59">
      <w:pPr>
        <w:pStyle w:val="unico"/>
        <w:spacing w:before="0" w:beforeAutospacing="0" w:after="0" w:afterAutospacing="0" w:line="288" w:lineRule="auto"/>
        <w:jc w:val="both"/>
        <w:rPr>
          <w:rFonts w:ascii="Arial" w:hAnsi="Arial" w:cs="Arial"/>
          <w:color w:val="000000"/>
          <w:sz w:val="22"/>
          <w:szCs w:val="22"/>
        </w:rPr>
      </w:pPr>
    </w:p>
    <w:p w14:paraId="1B014408"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 xml:space="preserve">Con la transacción de la carga del extracto bancario para el tipo de título </w:t>
      </w:r>
      <w:r w:rsidRPr="00FB7B51">
        <w:rPr>
          <w:rFonts w:ascii="Arial" w:hAnsi="Arial" w:cs="Arial"/>
          <w:i/>
          <w:iCs/>
          <w:color w:val="000000"/>
          <w:sz w:val="22"/>
          <w:szCs w:val="22"/>
        </w:rPr>
        <w:t>“fondos administrados”</w:t>
      </w:r>
      <w:r w:rsidRPr="00A33E48">
        <w:rPr>
          <w:rFonts w:ascii="Arial" w:hAnsi="Arial" w:cs="Arial"/>
          <w:color w:val="000000"/>
          <w:sz w:val="22"/>
          <w:szCs w:val="22"/>
        </w:rPr>
        <w:t xml:space="preserve">, se genera el documento de recaudo por clasificar, para lo cual el sistema registra un débito en la subcuenta </w:t>
      </w:r>
      <w:r w:rsidR="007A6BD2">
        <w:rPr>
          <w:rFonts w:ascii="Arial" w:hAnsi="Arial" w:cs="Arial"/>
          <w:color w:val="000000"/>
          <w:sz w:val="22"/>
          <w:szCs w:val="22"/>
        </w:rPr>
        <w:t>190801</w:t>
      </w:r>
      <w:r w:rsidRPr="00A33E48">
        <w:rPr>
          <w:rFonts w:ascii="Arial" w:hAnsi="Arial" w:cs="Arial"/>
          <w:color w:val="000000"/>
          <w:sz w:val="22"/>
          <w:szCs w:val="22"/>
        </w:rPr>
        <w:t>-</w:t>
      </w:r>
      <w:r w:rsidR="007A6BD2">
        <w:rPr>
          <w:rFonts w:ascii="Arial" w:hAnsi="Arial" w:cs="Arial"/>
          <w:color w:val="000000"/>
          <w:sz w:val="22"/>
          <w:szCs w:val="22"/>
        </w:rPr>
        <w:t>E</w:t>
      </w:r>
      <w:r w:rsidRPr="00A33E48">
        <w:rPr>
          <w:rFonts w:ascii="Arial" w:hAnsi="Arial" w:cs="Arial"/>
          <w:color w:val="000000"/>
          <w:sz w:val="22"/>
          <w:szCs w:val="22"/>
        </w:rPr>
        <w:t xml:space="preserve">n administración y un crédito en la subcuenta </w:t>
      </w:r>
      <w:r w:rsidR="007A6BD2">
        <w:rPr>
          <w:rFonts w:ascii="Arial" w:hAnsi="Arial" w:cs="Arial"/>
          <w:color w:val="000000"/>
          <w:sz w:val="22"/>
          <w:szCs w:val="22"/>
        </w:rPr>
        <w:t>240720</w:t>
      </w:r>
      <w:r w:rsidRPr="00A33E48">
        <w:rPr>
          <w:rFonts w:ascii="Arial" w:hAnsi="Arial" w:cs="Arial"/>
          <w:color w:val="000000"/>
          <w:sz w:val="22"/>
          <w:szCs w:val="22"/>
        </w:rPr>
        <w:t>-</w:t>
      </w:r>
      <w:r w:rsidR="007A6BD2">
        <w:rPr>
          <w:rFonts w:ascii="Arial" w:hAnsi="Arial" w:cs="Arial"/>
          <w:color w:val="000000"/>
          <w:sz w:val="22"/>
          <w:szCs w:val="22"/>
        </w:rPr>
        <w:t>R</w:t>
      </w:r>
      <w:r w:rsidRPr="00A33E48">
        <w:rPr>
          <w:rFonts w:ascii="Arial" w:hAnsi="Arial" w:cs="Arial"/>
          <w:color w:val="000000"/>
          <w:sz w:val="22"/>
          <w:szCs w:val="22"/>
        </w:rPr>
        <w:t>ecaudos por clasificar, definido en la tabla TCON11-</w:t>
      </w:r>
      <w:r w:rsidR="007A6BD2">
        <w:rPr>
          <w:rFonts w:ascii="Arial" w:hAnsi="Arial" w:cs="Arial"/>
          <w:color w:val="000000"/>
          <w:sz w:val="22"/>
          <w:szCs w:val="22"/>
        </w:rPr>
        <w:t>R</w:t>
      </w:r>
      <w:r w:rsidRPr="00A33E48">
        <w:rPr>
          <w:rFonts w:ascii="Arial" w:hAnsi="Arial" w:cs="Arial"/>
          <w:color w:val="000000"/>
          <w:sz w:val="22"/>
          <w:szCs w:val="22"/>
        </w:rPr>
        <w:t>ecaudos.</w:t>
      </w:r>
    </w:p>
    <w:p w14:paraId="1A9BAA0B"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60D7383E"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Con el documento de recaudo por clasificar se constituye el a</w:t>
      </w:r>
      <w:r w:rsidR="007A6BD2">
        <w:rPr>
          <w:rFonts w:ascii="Arial" w:hAnsi="Arial" w:cs="Arial"/>
          <w:color w:val="000000"/>
          <w:sz w:val="22"/>
          <w:szCs w:val="22"/>
        </w:rPr>
        <w:t>creedor con la PPNP 2-40-01-06- P</w:t>
      </w:r>
      <w:r w:rsidRPr="00A33E48">
        <w:rPr>
          <w:rFonts w:ascii="Arial" w:hAnsi="Arial" w:cs="Arial"/>
          <w:color w:val="000000"/>
          <w:sz w:val="22"/>
          <w:szCs w:val="22"/>
        </w:rPr>
        <w:t xml:space="preserve">or pago de recursos que han sido entregados en administración, afectando la subcuenta </w:t>
      </w:r>
      <w:r w:rsidR="007A6BD2">
        <w:rPr>
          <w:rFonts w:ascii="Arial" w:hAnsi="Arial" w:cs="Arial"/>
          <w:color w:val="000000"/>
          <w:sz w:val="22"/>
          <w:szCs w:val="22"/>
        </w:rPr>
        <w:t>240720</w:t>
      </w:r>
      <w:r w:rsidRPr="00A33E48">
        <w:rPr>
          <w:rFonts w:ascii="Arial" w:hAnsi="Arial" w:cs="Arial"/>
          <w:color w:val="000000"/>
          <w:sz w:val="22"/>
          <w:szCs w:val="22"/>
        </w:rPr>
        <w:t>-</w:t>
      </w:r>
      <w:r w:rsidR="007A6BD2">
        <w:rPr>
          <w:rFonts w:ascii="Arial" w:hAnsi="Arial" w:cs="Arial"/>
          <w:color w:val="000000"/>
          <w:sz w:val="22"/>
          <w:szCs w:val="22"/>
        </w:rPr>
        <w:t xml:space="preserve"> R</w:t>
      </w:r>
      <w:r w:rsidRPr="00A33E48">
        <w:rPr>
          <w:rFonts w:ascii="Arial" w:hAnsi="Arial" w:cs="Arial"/>
          <w:color w:val="000000"/>
          <w:sz w:val="22"/>
          <w:szCs w:val="22"/>
        </w:rPr>
        <w:t>ecaudos por clasificar c</w:t>
      </w:r>
      <w:r w:rsidR="007A6BD2">
        <w:rPr>
          <w:rFonts w:ascii="Arial" w:hAnsi="Arial" w:cs="Arial"/>
          <w:color w:val="000000"/>
          <w:sz w:val="22"/>
          <w:szCs w:val="22"/>
        </w:rPr>
        <w:t>on crédito a la subcuenta 290201</w:t>
      </w:r>
      <w:r w:rsidRPr="00A33E48">
        <w:rPr>
          <w:rFonts w:ascii="Arial" w:hAnsi="Arial" w:cs="Arial"/>
          <w:color w:val="000000"/>
          <w:sz w:val="22"/>
          <w:szCs w:val="22"/>
        </w:rPr>
        <w:t>-</w:t>
      </w:r>
      <w:r w:rsidR="007A6BD2">
        <w:rPr>
          <w:rFonts w:ascii="Arial" w:hAnsi="Arial" w:cs="Arial"/>
          <w:color w:val="000000"/>
          <w:sz w:val="22"/>
          <w:szCs w:val="22"/>
        </w:rPr>
        <w:t xml:space="preserve"> E</w:t>
      </w:r>
      <w:r w:rsidRPr="00A33E48">
        <w:rPr>
          <w:rFonts w:ascii="Arial" w:hAnsi="Arial" w:cs="Arial"/>
          <w:color w:val="000000"/>
          <w:sz w:val="22"/>
          <w:szCs w:val="22"/>
        </w:rPr>
        <w:t>n administración.</w:t>
      </w:r>
    </w:p>
    <w:p w14:paraId="3B9590F8"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73E749E4"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 xml:space="preserve">Con el pago, el sistema registra un débito en la subcuenta </w:t>
      </w:r>
      <w:r w:rsidR="007A6BD2">
        <w:rPr>
          <w:rFonts w:ascii="Arial" w:hAnsi="Arial" w:cs="Arial"/>
          <w:color w:val="000000"/>
          <w:sz w:val="22"/>
          <w:szCs w:val="22"/>
        </w:rPr>
        <w:t>290201</w:t>
      </w:r>
      <w:r w:rsidRPr="00A33E48">
        <w:rPr>
          <w:rFonts w:ascii="Arial" w:hAnsi="Arial" w:cs="Arial"/>
          <w:color w:val="000000"/>
          <w:sz w:val="22"/>
          <w:szCs w:val="22"/>
        </w:rPr>
        <w:t>-</w:t>
      </w:r>
      <w:r w:rsidR="007A6BD2">
        <w:rPr>
          <w:rFonts w:ascii="Arial" w:hAnsi="Arial" w:cs="Arial"/>
          <w:color w:val="000000"/>
          <w:sz w:val="22"/>
          <w:szCs w:val="22"/>
        </w:rPr>
        <w:t xml:space="preserve"> E</w:t>
      </w:r>
      <w:r w:rsidRPr="00A33E48">
        <w:rPr>
          <w:rFonts w:ascii="Arial" w:hAnsi="Arial" w:cs="Arial"/>
          <w:color w:val="000000"/>
          <w:sz w:val="22"/>
          <w:szCs w:val="22"/>
        </w:rPr>
        <w:t>n administración y un crédito a la subcuenta 1</w:t>
      </w:r>
      <w:r w:rsidR="007A6BD2">
        <w:rPr>
          <w:rFonts w:ascii="Arial" w:hAnsi="Arial" w:cs="Arial"/>
          <w:color w:val="000000"/>
          <w:sz w:val="22"/>
          <w:szCs w:val="22"/>
        </w:rPr>
        <w:t>90801</w:t>
      </w:r>
      <w:r w:rsidRPr="00A33E48">
        <w:rPr>
          <w:rFonts w:ascii="Arial" w:hAnsi="Arial" w:cs="Arial"/>
          <w:color w:val="000000"/>
          <w:sz w:val="22"/>
          <w:szCs w:val="22"/>
        </w:rPr>
        <w:t>-</w:t>
      </w:r>
      <w:r w:rsidR="007A6BD2">
        <w:rPr>
          <w:rFonts w:ascii="Arial" w:hAnsi="Arial" w:cs="Arial"/>
          <w:color w:val="000000"/>
          <w:sz w:val="22"/>
          <w:szCs w:val="22"/>
        </w:rPr>
        <w:t xml:space="preserve"> E</w:t>
      </w:r>
      <w:r w:rsidRPr="00A33E48">
        <w:rPr>
          <w:rFonts w:ascii="Arial" w:hAnsi="Arial" w:cs="Arial"/>
          <w:color w:val="000000"/>
          <w:sz w:val="22"/>
          <w:szCs w:val="22"/>
        </w:rPr>
        <w:t>n administración.</w:t>
      </w:r>
    </w:p>
    <w:p w14:paraId="0B0A9AD4"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30E2792E" w14:textId="78691518"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El catálogo de PPNP incluye otros conceptos de acreedores en los que la carga del extracto es en una cuenta bancaria de la entidad; en consecuencia</w:t>
      </w:r>
      <w:r w:rsidR="00EF3D59">
        <w:rPr>
          <w:rFonts w:ascii="Arial" w:hAnsi="Arial" w:cs="Arial"/>
          <w:color w:val="000000"/>
          <w:sz w:val="22"/>
          <w:szCs w:val="22"/>
        </w:rPr>
        <w:t>,</w:t>
      </w:r>
      <w:r w:rsidRPr="00A33E48">
        <w:rPr>
          <w:rFonts w:ascii="Arial" w:hAnsi="Arial" w:cs="Arial"/>
          <w:color w:val="000000"/>
          <w:sz w:val="22"/>
          <w:szCs w:val="22"/>
        </w:rPr>
        <w:t xml:space="preserve"> registra con el documento de recaudo, las subcuentas de la cuenta 1110-depósitos en instituciones financieras con crédito a la sub</w:t>
      </w:r>
      <w:r w:rsidR="007A6BD2">
        <w:rPr>
          <w:rFonts w:ascii="Arial" w:hAnsi="Arial" w:cs="Arial"/>
          <w:color w:val="000000"/>
          <w:sz w:val="22"/>
          <w:szCs w:val="22"/>
        </w:rPr>
        <w:t>cuenta 240720</w:t>
      </w:r>
      <w:r w:rsidRPr="00A33E48">
        <w:rPr>
          <w:rFonts w:ascii="Arial" w:hAnsi="Arial" w:cs="Arial"/>
          <w:color w:val="000000"/>
          <w:sz w:val="22"/>
          <w:szCs w:val="22"/>
        </w:rPr>
        <w:t>-</w:t>
      </w:r>
      <w:r w:rsidR="007A6BD2">
        <w:rPr>
          <w:rFonts w:ascii="Arial" w:hAnsi="Arial" w:cs="Arial"/>
          <w:color w:val="000000"/>
          <w:sz w:val="22"/>
          <w:szCs w:val="22"/>
        </w:rPr>
        <w:t xml:space="preserve"> R</w:t>
      </w:r>
      <w:r w:rsidRPr="00A33E48">
        <w:rPr>
          <w:rFonts w:ascii="Arial" w:hAnsi="Arial" w:cs="Arial"/>
          <w:color w:val="000000"/>
          <w:sz w:val="22"/>
          <w:szCs w:val="22"/>
        </w:rPr>
        <w:t>ecaudos por clasificar o 472080-</w:t>
      </w:r>
      <w:r w:rsidR="007A6BD2">
        <w:rPr>
          <w:rFonts w:ascii="Arial" w:hAnsi="Arial" w:cs="Arial"/>
          <w:color w:val="000000"/>
          <w:sz w:val="22"/>
          <w:szCs w:val="22"/>
        </w:rPr>
        <w:t>R</w:t>
      </w:r>
      <w:r w:rsidRPr="00A33E48">
        <w:rPr>
          <w:rFonts w:ascii="Arial" w:hAnsi="Arial" w:cs="Arial"/>
          <w:color w:val="000000"/>
          <w:sz w:val="22"/>
          <w:szCs w:val="22"/>
        </w:rPr>
        <w:t>ecaudos; este registro está definido en la creación de la cuenta bancaria.</w:t>
      </w:r>
    </w:p>
    <w:p w14:paraId="7B4F9C18"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38244260"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 xml:space="preserve">Con la constitución del acreedor la ECP registra </w:t>
      </w:r>
      <w:r w:rsidR="007A6BD2">
        <w:rPr>
          <w:rFonts w:ascii="Arial" w:hAnsi="Arial" w:cs="Arial"/>
          <w:color w:val="000000"/>
          <w:sz w:val="22"/>
          <w:szCs w:val="22"/>
        </w:rPr>
        <w:t>en el débito la subcuenta 240720</w:t>
      </w:r>
      <w:r w:rsidRPr="00A33E48">
        <w:rPr>
          <w:rFonts w:ascii="Arial" w:hAnsi="Arial" w:cs="Arial"/>
          <w:color w:val="000000"/>
          <w:sz w:val="22"/>
          <w:szCs w:val="22"/>
        </w:rPr>
        <w:t xml:space="preserve">- </w:t>
      </w:r>
      <w:r w:rsidR="007A6BD2">
        <w:rPr>
          <w:rFonts w:ascii="Arial" w:hAnsi="Arial" w:cs="Arial"/>
          <w:color w:val="000000"/>
          <w:sz w:val="22"/>
          <w:szCs w:val="22"/>
        </w:rPr>
        <w:t>R</w:t>
      </w:r>
      <w:r w:rsidRPr="00A33E48">
        <w:rPr>
          <w:rFonts w:ascii="Arial" w:hAnsi="Arial" w:cs="Arial"/>
          <w:color w:val="000000"/>
          <w:sz w:val="22"/>
          <w:szCs w:val="22"/>
        </w:rPr>
        <w:t>ecaudos por clasificar o 472080-</w:t>
      </w:r>
      <w:r w:rsidR="007A6BD2">
        <w:rPr>
          <w:rFonts w:ascii="Arial" w:hAnsi="Arial" w:cs="Arial"/>
          <w:color w:val="000000"/>
          <w:sz w:val="22"/>
          <w:szCs w:val="22"/>
        </w:rPr>
        <w:t xml:space="preserve"> R</w:t>
      </w:r>
      <w:r w:rsidRPr="00A33E48">
        <w:rPr>
          <w:rFonts w:ascii="Arial" w:hAnsi="Arial" w:cs="Arial"/>
          <w:color w:val="000000"/>
          <w:sz w:val="22"/>
          <w:szCs w:val="22"/>
        </w:rPr>
        <w:t>ecaudos, según corresponda, y en el crédito el pasivo que identifica la PPNP incluida en la columna del haber de la tabla TCON08.</w:t>
      </w:r>
    </w:p>
    <w:p w14:paraId="621327E0"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13EDB5C3"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Con el pago, el sistema registra un débito en la subcuenta del pasivo que identifica la PPNP y un crédito a las subcuentas de la cuenta 1110</w:t>
      </w:r>
      <w:r w:rsidR="007A6BD2">
        <w:rPr>
          <w:rFonts w:ascii="Arial" w:hAnsi="Arial" w:cs="Arial"/>
          <w:color w:val="000000"/>
          <w:sz w:val="22"/>
          <w:szCs w:val="22"/>
        </w:rPr>
        <w:t>- D</w:t>
      </w:r>
      <w:r w:rsidRPr="00A33E48">
        <w:rPr>
          <w:rFonts w:ascii="Arial" w:hAnsi="Arial" w:cs="Arial"/>
          <w:color w:val="000000"/>
          <w:sz w:val="22"/>
          <w:szCs w:val="22"/>
        </w:rPr>
        <w:t>epósitos en instituciones financieras.</w:t>
      </w:r>
    </w:p>
    <w:p w14:paraId="2162B735" w14:textId="77777777" w:rsidR="003C2AE6" w:rsidRDefault="003C2AE6" w:rsidP="00EF3D59">
      <w:pPr>
        <w:pStyle w:val="unico"/>
        <w:spacing w:before="0" w:beforeAutospacing="0" w:after="0" w:afterAutospacing="0" w:line="288" w:lineRule="auto"/>
        <w:jc w:val="both"/>
        <w:rPr>
          <w:rFonts w:ascii="Arial" w:hAnsi="Arial" w:cs="Arial"/>
          <w:color w:val="000000"/>
          <w:sz w:val="22"/>
          <w:szCs w:val="22"/>
        </w:rPr>
      </w:pPr>
    </w:p>
    <w:p w14:paraId="631B3D06" w14:textId="77777777" w:rsidR="00A33E48" w:rsidRPr="00A33E48" w:rsidRDefault="00A33E48" w:rsidP="00EF3D59">
      <w:pPr>
        <w:pStyle w:val="unico"/>
        <w:spacing w:before="0" w:beforeAutospacing="0" w:after="0" w:afterAutospacing="0" w:line="288" w:lineRule="auto"/>
        <w:jc w:val="both"/>
        <w:rPr>
          <w:rFonts w:ascii="Arial" w:hAnsi="Arial" w:cs="Arial"/>
          <w:color w:val="000000"/>
          <w:sz w:val="22"/>
          <w:szCs w:val="22"/>
        </w:rPr>
      </w:pPr>
      <w:r w:rsidRPr="00A33E48">
        <w:rPr>
          <w:rFonts w:ascii="Arial" w:hAnsi="Arial" w:cs="Arial"/>
          <w:color w:val="000000"/>
          <w:sz w:val="22"/>
          <w:szCs w:val="22"/>
        </w:rPr>
        <w:t>Para el reconocimiento contable se toma en cuenta la tabla TCON14-otros pagos:</w:t>
      </w:r>
    </w:p>
    <w:p w14:paraId="2701080A" w14:textId="77777777" w:rsidR="00A33E48" w:rsidRDefault="00A33E48" w:rsidP="004F1786">
      <w:pPr>
        <w:spacing w:line="288" w:lineRule="auto"/>
        <w:rPr>
          <w:rFonts w:ascii="Arial" w:hAnsi="Arial" w:cs="Arial"/>
          <w:sz w:val="22"/>
          <w:szCs w:val="22"/>
        </w:rPr>
      </w:pPr>
    </w:p>
    <w:tbl>
      <w:tblPr>
        <w:tblW w:w="9426" w:type="dxa"/>
        <w:tblLayout w:type="fixed"/>
        <w:tblCellMar>
          <w:left w:w="70" w:type="dxa"/>
          <w:right w:w="70" w:type="dxa"/>
        </w:tblCellMar>
        <w:tblLook w:val="04A0" w:firstRow="1" w:lastRow="0" w:firstColumn="1" w:lastColumn="0" w:noHBand="0" w:noVBand="1"/>
      </w:tblPr>
      <w:tblGrid>
        <w:gridCol w:w="448"/>
        <w:gridCol w:w="473"/>
        <w:gridCol w:w="709"/>
        <w:gridCol w:w="567"/>
        <w:gridCol w:w="708"/>
        <w:gridCol w:w="426"/>
        <w:gridCol w:w="425"/>
        <w:gridCol w:w="425"/>
        <w:gridCol w:w="567"/>
        <w:gridCol w:w="425"/>
        <w:gridCol w:w="426"/>
        <w:gridCol w:w="567"/>
        <w:gridCol w:w="425"/>
        <w:gridCol w:w="425"/>
        <w:gridCol w:w="567"/>
        <w:gridCol w:w="425"/>
        <w:gridCol w:w="426"/>
        <w:gridCol w:w="425"/>
        <w:gridCol w:w="567"/>
      </w:tblGrid>
      <w:tr w:rsidR="003861FB" w:rsidRPr="00023705" w14:paraId="2AAC5396" w14:textId="77777777" w:rsidTr="009D24BA">
        <w:trPr>
          <w:trHeight w:val="495"/>
          <w:tblHeader/>
        </w:trPr>
        <w:tc>
          <w:tcPr>
            <w:tcW w:w="44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D9E40F2"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Rubro Ingreso</w:t>
            </w:r>
          </w:p>
        </w:tc>
        <w:tc>
          <w:tcPr>
            <w:tcW w:w="473"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B2E7188"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Rubro Ingreso</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FC664B7"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Tipo Registro</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912B97E"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Rubro No Presupuestal</w:t>
            </w:r>
          </w:p>
        </w:tc>
        <w:tc>
          <w:tcPr>
            <w:tcW w:w="70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E62D7BC"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Rubro No Presupuestal</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0FB33A5"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Tipo Titulo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FF90D71"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Diferencial Cambiario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085935A"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Tipo Beneficiario</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F729B5D"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Medio de Pago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ABF3D6B"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Misma ECP</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5A3E473"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Asiento1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B7FDA8E"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Asiento1 Debe</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2F05E11"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Asiento1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A557BFA"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Asiento1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C8222CD"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Asiento2 Debe</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77DEB69"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Asiento2 Debe</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4BD0C49"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Código</w:t>
            </w:r>
            <w:r w:rsidR="003861FB" w:rsidRPr="00023705">
              <w:rPr>
                <w:rFonts w:asciiTheme="minorHAnsi" w:hAnsiTheme="minorHAnsi"/>
                <w:b/>
                <w:bCs/>
                <w:color w:val="FFFFFF"/>
                <w:sz w:val="10"/>
                <w:szCs w:val="10"/>
                <w:lang w:val="es-CO" w:eastAsia="es-CO"/>
              </w:rPr>
              <w:t xml:space="preserve"> Asiento2 Haber</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38D3100" w14:textId="77777777" w:rsidR="003861FB" w:rsidRPr="00023705" w:rsidRDefault="00D95115"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Descripción</w:t>
            </w:r>
            <w:r w:rsidR="003861FB" w:rsidRPr="00023705">
              <w:rPr>
                <w:rFonts w:asciiTheme="minorHAnsi" w:hAnsiTheme="minorHAnsi"/>
                <w:b/>
                <w:bCs/>
                <w:color w:val="FFFFFF"/>
                <w:sz w:val="10"/>
                <w:szCs w:val="10"/>
                <w:lang w:val="es-CO" w:eastAsia="es-CO"/>
              </w:rPr>
              <w:t xml:space="preserve"> Asiento2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1A9D96BB" w14:textId="77777777" w:rsidR="003861FB" w:rsidRPr="00023705" w:rsidRDefault="003861FB" w:rsidP="005E313F">
            <w:pPr>
              <w:jc w:val="center"/>
              <w:rPr>
                <w:rFonts w:asciiTheme="minorHAnsi" w:hAnsiTheme="minorHAnsi"/>
                <w:b/>
                <w:bCs/>
                <w:color w:val="FFFFFF"/>
                <w:sz w:val="10"/>
                <w:szCs w:val="10"/>
                <w:lang w:val="es-CO" w:eastAsia="es-CO"/>
              </w:rPr>
            </w:pPr>
            <w:r w:rsidRPr="00023705">
              <w:rPr>
                <w:rFonts w:asciiTheme="minorHAnsi" w:hAnsiTheme="minorHAnsi"/>
                <w:b/>
                <w:bCs/>
                <w:color w:val="FFFFFF"/>
                <w:sz w:val="10"/>
                <w:szCs w:val="10"/>
                <w:lang w:val="es-CO" w:eastAsia="es-CO"/>
              </w:rPr>
              <w:t>Vigente</w:t>
            </w:r>
          </w:p>
        </w:tc>
      </w:tr>
      <w:tr w:rsidR="003861FB" w:rsidRPr="00023705" w14:paraId="5A0542B1" w14:textId="77777777" w:rsidTr="003861FB">
        <w:trPr>
          <w:trHeight w:val="165"/>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300F583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57B71A3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Acuerdos de pago</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267524E5"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AcrdrIngPrsptls</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7151D2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000CA20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FB0FBB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3B5DAD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2999B0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49DC964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Cheque</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2E7F34D5"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11AAAF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71CB80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Saldos a favor de beneficiarios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3CD455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4E97E5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3CA156E7"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48FC0D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9E6120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A4DB40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1FFB666"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r w:rsidR="003861FB" w:rsidRPr="00023705" w14:paraId="4200FC2C" w14:textId="77777777" w:rsidTr="003861FB">
        <w:trPr>
          <w:trHeight w:val="330"/>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16DC5FC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3-1-2-1-2-8-6</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1F527F0E"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Administracion</w:t>
            </w:r>
            <w:proofErr w:type="spellEnd"/>
            <w:r w:rsidRPr="00023705">
              <w:rPr>
                <w:rFonts w:asciiTheme="minorHAnsi" w:hAnsiTheme="minorHAnsi"/>
                <w:color w:val="000000"/>
                <w:sz w:val="10"/>
                <w:szCs w:val="10"/>
                <w:lang w:val="es-CO" w:eastAsia="es-CO"/>
              </w:rPr>
              <w:t xml:space="preserve"> de proyectos</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3AE0ECF1"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AcrdrIngPrsptls</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61EE9D8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1A1D7AC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7FB7250"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45D615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D6C579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06927E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Cheque</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2D2C9FE9"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23FF831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C53D95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Saldos a favor de beneficiarios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57C611A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64A1450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9E32C2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B22075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237FBA3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618B41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2CC2A357"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r w:rsidR="003861FB" w:rsidRPr="00023705" w14:paraId="089BB50C" w14:textId="77777777" w:rsidTr="003861FB">
        <w:trPr>
          <w:trHeight w:val="495"/>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3AD70D56"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67275E8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6C633DE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xml:space="preserve">Pago No </w:t>
            </w:r>
            <w:proofErr w:type="spellStart"/>
            <w:r w:rsidRPr="00023705">
              <w:rPr>
                <w:rFonts w:asciiTheme="minorHAnsi" w:hAnsiTheme="minorHAnsi"/>
                <w:color w:val="000000"/>
                <w:sz w:val="10"/>
                <w:szCs w:val="10"/>
                <w:lang w:val="es-CO" w:eastAsia="es-CO"/>
              </w:rPr>
              <w:t>Prsptl</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364AE2B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2-20-01-01-02-02</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71E7926A"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Dtos</w:t>
            </w:r>
            <w:proofErr w:type="spellEnd"/>
            <w:r w:rsidRPr="00023705">
              <w:rPr>
                <w:rFonts w:asciiTheme="minorHAnsi" w:hAnsiTheme="minorHAnsi"/>
                <w:color w:val="000000"/>
                <w:sz w:val="10"/>
                <w:szCs w:val="10"/>
                <w:lang w:val="es-CO" w:eastAsia="es-CO"/>
              </w:rPr>
              <w:t xml:space="preserve"> empleado pensión sector público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5BE8DED9" w14:textId="77777777" w:rsidR="003861FB" w:rsidRPr="00023705" w:rsidRDefault="003861FB" w:rsidP="005E313F">
            <w:pPr>
              <w:jc w:val="both"/>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Fafondos</w:t>
            </w:r>
            <w:proofErr w:type="spellEnd"/>
            <w:r w:rsidRPr="00023705">
              <w:rPr>
                <w:rFonts w:asciiTheme="minorHAnsi" w:hAnsiTheme="minorHAnsi"/>
                <w:color w:val="000000"/>
                <w:sz w:val="10"/>
                <w:szCs w:val="10"/>
                <w:lang w:val="es-CO" w:eastAsia="es-CO"/>
              </w:rPr>
              <w:t xml:space="preserve"> administrados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FBA0BD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6F65FFB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3710E96D" w14:textId="77777777" w:rsidR="003861FB" w:rsidRPr="00023705" w:rsidRDefault="00D95115"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Títulos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ED7C681"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56E6F66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242401001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588192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Aportes a fondos pensionales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1399C1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190801001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A2553A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En administración</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250703D7"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92B09B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2321637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52F1156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05CF9BE1"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r w:rsidR="003861FB" w:rsidRPr="00023705" w14:paraId="76BC77A4" w14:textId="77777777" w:rsidTr="003861FB">
        <w:trPr>
          <w:trHeight w:val="330"/>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587D4A9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59A2D29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567638A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xml:space="preserve">Pago No </w:t>
            </w:r>
            <w:proofErr w:type="spellStart"/>
            <w:r w:rsidRPr="00023705">
              <w:rPr>
                <w:rFonts w:asciiTheme="minorHAnsi" w:hAnsiTheme="minorHAnsi"/>
                <w:color w:val="000000"/>
                <w:sz w:val="10"/>
                <w:szCs w:val="10"/>
                <w:lang w:val="es-CO" w:eastAsia="es-CO"/>
              </w:rPr>
              <w:t>Prsptl</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0696A2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2-40-01-04</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3719B56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Dobles pagos</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0501CF5" w14:textId="77777777" w:rsidR="003861FB" w:rsidRPr="00023705" w:rsidRDefault="003861FB" w:rsidP="005E313F">
            <w:pPr>
              <w:jc w:val="both"/>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Tidistitulos</w:t>
            </w:r>
            <w:proofErr w:type="spellEnd"/>
            <w:r w:rsidRPr="00023705">
              <w:rPr>
                <w:rFonts w:asciiTheme="minorHAnsi" w:hAnsiTheme="minorHAnsi"/>
                <w:color w:val="000000"/>
                <w:sz w:val="10"/>
                <w:szCs w:val="10"/>
                <w:lang w:val="es-CO" w:eastAsia="es-CO"/>
              </w:rPr>
              <w:t> de </w:t>
            </w:r>
            <w:r w:rsidR="00D95115" w:rsidRPr="00023705">
              <w:rPr>
                <w:rFonts w:asciiTheme="minorHAnsi" w:hAnsiTheme="minorHAnsi"/>
                <w:color w:val="000000"/>
                <w:sz w:val="10"/>
                <w:szCs w:val="10"/>
                <w:lang w:val="es-CO" w:eastAsia="es-CO"/>
              </w:rPr>
              <w:t>devolución</w:t>
            </w:r>
            <w:r w:rsidRPr="00023705">
              <w:rPr>
                <w:rFonts w:asciiTheme="minorHAnsi" w:hAnsiTheme="minorHAns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C73D13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22E590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71AAC9A" w14:textId="77777777" w:rsidR="003861FB" w:rsidRPr="00023705" w:rsidRDefault="00D95115"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Títulos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55C4CDC"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0FD879C"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494856E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Saldos a favor de beneficiarios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73A665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470508</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674AE3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Funcionamiento</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54D083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570508</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742013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Funcionamiento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4A34D0B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6738492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55C7334"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r>
      <w:tr w:rsidR="003861FB" w:rsidRPr="00023705" w14:paraId="3D6DC35E" w14:textId="77777777" w:rsidTr="003861FB">
        <w:trPr>
          <w:trHeight w:val="495"/>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3746C23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3094B62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541BF22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xml:space="preserve">Pago No </w:t>
            </w:r>
            <w:proofErr w:type="spellStart"/>
            <w:r w:rsidRPr="00023705">
              <w:rPr>
                <w:rFonts w:asciiTheme="minorHAnsi" w:hAnsiTheme="minorHAnsi"/>
                <w:color w:val="000000"/>
                <w:sz w:val="10"/>
                <w:szCs w:val="10"/>
                <w:lang w:val="es-CO" w:eastAsia="es-CO"/>
              </w:rPr>
              <w:t>Prsptl</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4F254D5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2-40-01-01</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65149230"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Por consignaciones en exceso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139333F" w14:textId="77777777" w:rsidR="003861FB" w:rsidRPr="00023705" w:rsidRDefault="003861FB" w:rsidP="005E313F">
            <w:pPr>
              <w:jc w:val="both"/>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Tidistitulos</w:t>
            </w:r>
            <w:proofErr w:type="spellEnd"/>
            <w:r w:rsidRPr="00023705">
              <w:rPr>
                <w:rFonts w:asciiTheme="minorHAnsi" w:hAnsiTheme="minorHAnsi"/>
                <w:color w:val="000000"/>
                <w:sz w:val="10"/>
                <w:szCs w:val="10"/>
                <w:lang w:val="es-CO" w:eastAsia="es-CO"/>
              </w:rPr>
              <w:t> de </w:t>
            </w:r>
            <w:r w:rsidR="00D95115" w:rsidRPr="00023705">
              <w:rPr>
                <w:rFonts w:asciiTheme="minorHAnsi" w:hAnsiTheme="minorHAnsi"/>
                <w:color w:val="000000"/>
                <w:sz w:val="10"/>
                <w:szCs w:val="10"/>
                <w:lang w:val="es-CO" w:eastAsia="es-CO"/>
              </w:rPr>
              <w:t>devolución</w:t>
            </w:r>
            <w:r w:rsidRPr="00023705">
              <w:rPr>
                <w:rFonts w:asciiTheme="minorHAnsi" w:hAnsiTheme="minorHAns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6A6FE2B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615A20E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9AC6F18" w14:textId="77777777" w:rsidR="003861FB" w:rsidRPr="00023705" w:rsidRDefault="00D95115"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Títulos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72EC243"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7DF564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DFF09F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Saldos a favor de beneficiarios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C2E067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470508</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CBB1D3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Funcionamiento</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415C5E8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570508</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FA27C6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Funcionamiento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78BCA8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8E52C40"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0ADF8E96"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r>
      <w:tr w:rsidR="003861FB" w:rsidRPr="00023705" w14:paraId="72CA9609" w14:textId="77777777" w:rsidTr="003861FB">
        <w:trPr>
          <w:trHeight w:val="330"/>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36ECD3C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3686337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Acuerdos de pago</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55714DD2"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AcrdrIngPrsptls</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6C35936"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3F426A5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1F6AA60" w14:textId="77777777" w:rsidR="003861FB" w:rsidRPr="00023705" w:rsidRDefault="003861FB" w:rsidP="005E313F">
            <w:pPr>
              <w:jc w:val="both"/>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EF3211C"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049E8F0"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E7A411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Abono en cuenta</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320CE2E"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C92699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47EAA100"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Saldos a favor de beneficiarios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F2F454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472081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2382A60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Devoluciones de ingreso</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6628AC4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572081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165965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Devoluciones de ingresos</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7145D8E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F9E15F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0EBC8F1A"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r w:rsidR="003861FB" w:rsidRPr="00023705" w14:paraId="2D637F15" w14:textId="77777777" w:rsidTr="003861FB">
        <w:trPr>
          <w:trHeight w:val="660"/>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60EABCF2"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285F7C7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7237827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xml:space="preserve">Pago No </w:t>
            </w:r>
            <w:proofErr w:type="spellStart"/>
            <w:r w:rsidRPr="00023705">
              <w:rPr>
                <w:rFonts w:asciiTheme="minorHAnsi" w:hAnsiTheme="minorHAnsi"/>
                <w:color w:val="000000"/>
                <w:sz w:val="10"/>
                <w:szCs w:val="10"/>
                <w:lang w:val="es-CO" w:eastAsia="es-CO"/>
              </w:rPr>
              <w:t>Prsptl</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6947B1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2-01-04-03-01-02</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1942672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Retención timbre nacional - compra de bienes</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237B7E63" w14:textId="77777777" w:rsidR="003861FB" w:rsidRPr="00023705" w:rsidRDefault="003861FB" w:rsidP="005E313F">
            <w:pPr>
              <w:jc w:val="both"/>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Tidistitulos</w:t>
            </w:r>
            <w:proofErr w:type="spellEnd"/>
            <w:r w:rsidRPr="00023705">
              <w:rPr>
                <w:rFonts w:asciiTheme="minorHAnsi" w:hAnsiTheme="minorHAnsi"/>
                <w:color w:val="000000"/>
                <w:sz w:val="10"/>
                <w:szCs w:val="10"/>
                <w:lang w:val="es-CO" w:eastAsia="es-CO"/>
              </w:rPr>
              <w:t> de </w:t>
            </w:r>
            <w:r w:rsidR="00D95115" w:rsidRPr="00023705">
              <w:rPr>
                <w:rFonts w:asciiTheme="minorHAnsi" w:hAnsiTheme="minorHAnsi"/>
                <w:color w:val="000000"/>
                <w:sz w:val="10"/>
                <w:szCs w:val="10"/>
                <w:lang w:val="es-CO" w:eastAsia="es-CO"/>
              </w:rPr>
              <w:t>devolución</w:t>
            </w:r>
            <w:r w:rsidRPr="00023705">
              <w:rPr>
                <w:rFonts w:asciiTheme="minorHAnsi" w:hAnsiTheme="minorHAns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53AC592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5E622E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Beneficiario final</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38D61F62" w14:textId="77777777" w:rsidR="003861FB" w:rsidRPr="00023705" w:rsidRDefault="00D95115"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Títulos</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97ECB2C"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6044FEEB"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243698002</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51F47674"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Pagado (</w:t>
            </w:r>
            <w:proofErr w:type="spellStart"/>
            <w:r w:rsidRPr="00023705">
              <w:rPr>
                <w:rFonts w:asciiTheme="minorHAnsi" w:hAnsiTheme="minorHAnsi"/>
                <w:color w:val="000000"/>
                <w:sz w:val="10"/>
                <w:szCs w:val="10"/>
                <w:lang w:val="es-CO" w:eastAsia="es-CO"/>
              </w:rPr>
              <w:t>db</w:t>
            </w:r>
            <w:proofErr w:type="spellEnd"/>
            <w:r w:rsidRPr="00023705">
              <w:rPr>
                <w:rFonts w:asciiTheme="minorHAnsi" w:hAnsiTheme="minorHAnsi"/>
                <w:color w:val="000000"/>
                <w:sz w:val="10"/>
                <w:szCs w:val="10"/>
                <w:lang w:val="es-CO" w:eastAsia="es-CO"/>
              </w:rPr>
              <w:t>)</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2A712E5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472210</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530C60A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Pago de obligaciones con títulos</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CE5C436"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572210</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5A50CA8"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Pago de obligaciones con títulos</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17E355FC"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223001001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07666CE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Títulos de devolución de impuestos (</w:t>
            </w:r>
            <w:proofErr w:type="spellStart"/>
            <w:r w:rsidRPr="00023705">
              <w:rPr>
                <w:rFonts w:asciiTheme="minorHAnsi" w:hAnsiTheme="minorHAnsi"/>
                <w:color w:val="000000"/>
                <w:sz w:val="10"/>
                <w:szCs w:val="10"/>
                <w:lang w:val="es-CO" w:eastAsia="es-CO"/>
              </w:rPr>
              <w:t>tidis</w:t>
            </w:r>
            <w:proofErr w:type="spellEnd"/>
            <w:r w:rsidRPr="00023705">
              <w:rPr>
                <w:rFonts w:asciiTheme="minorHAnsi" w:hAnsiTheme="minorHAnsi"/>
                <w:color w:val="000000"/>
                <w:sz w:val="10"/>
                <w:szCs w:val="10"/>
                <w:lang w:val="es-CO" w:eastAsia="es-CO"/>
              </w:rPr>
              <w:t>)</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F6DABC4"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r w:rsidR="003861FB" w:rsidRPr="00023705" w14:paraId="7673FB82" w14:textId="77777777" w:rsidTr="003861FB">
        <w:trPr>
          <w:trHeight w:val="330"/>
        </w:trPr>
        <w:tc>
          <w:tcPr>
            <w:tcW w:w="448"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5D0F0C4A"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auto"/>
            <w:vAlign w:val="center"/>
            <w:hideMark/>
          </w:tcPr>
          <w:p w14:paraId="25574D8C"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Acuerdos de pago</w:t>
            </w:r>
          </w:p>
        </w:tc>
        <w:tc>
          <w:tcPr>
            <w:tcW w:w="709" w:type="dxa"/>
            <w:tcBorders>
              <w:top w:val="single" w:sz="4" w:space="0" w:color="000000"/>
              <w:left w:val="nil"/>
              <w:bottom w:val="single" w:sz="4" w:space="0" w:color="000000"/>
              <w:right w:val="single" w:sz="4" w:space="0" w:color="000000"/>
            </w:tcBorders>
            <w:shd w:val="clear" w:color="000000" w:fill="auto"/>
            <w:vAlign w:val="center"/>
            <w:hideMark/>
          </w:tcPr>
          <w:p w14:paraId="2146C575" w14:textId="77777777" w:rsidR="003861FB" w:rsidRPr="00023705" w:rsidRDefault="003861FB" w:rsidP="005E313F">
            <w:pPr>
              <w:rPr>
                <w:rFonts w:asciiTheme="minorHAnsi" w:hAnsiTheme="minorHAnsi"/>
                <w:color w:val="000000"/>
                <w:sz w:val="10"/>
                <w:szCs w:val="10"/>
                <w:lang w:val="es-CO" w:eastAsia="es-CO"/>
              </w:rPr>
            </w:pPr>
            <w:proofErr w:type="spellStart"/>
            <w:r w:rsidRPr="00023705">
              <w:rPr>
                <w:rFonts w:asciiTheme="minorHAnsi" w:hAnsiTheme="minorHAnsi"/>
                <w:color w:val="000000"/>
                <w:sz w:val="10"/>
                <w:szCs w:val="10"/>
                <w:lang w:val="es-CO" w:eastAsia="es-CO"/>
              </w:rPr>
              <w:t>AcrdrIngPrsptls</w:t>
            </w:r>
            <w:proofErr w:type="spellEnd"/>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3311EBE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708" w:type="dxa"/>
            <w:tcBorders>
              <w:top w:val="single" w:sz="4" w:space="0" w:color="000000"/>
              <w:left w:val="nil"/>
              <w:bottom w:val="single" w:sz="4" w:space="0" w:color="000000"/>
              <w:right w:val="single" w:sz="4" w:space="0" w:color="000000"/>
            </w:tcBorders>
            <w:shd w:val="clear" w:color="000000" w:fill="auto"/>
            <w:vAlign w:val="center"/>
            <w:hideMark/>
          </w:tcPr>
          <w:p w14:paraId="5194B571"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5101A1CB" w14:textId="77777777" w:rsidR="003861FB" w:rsidRPr="00023705" w:rsidRDefault="003861FB" w:rsidP="005E313F">
            <w:pPr>
              <w:jc w:val="both"/>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6A8B83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51B1180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Traspaso a pagaduría</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11F2FDB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Abono en cuenta</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1FCFC8D"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NO</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51716C3D"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075230C9"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7726539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472081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1461365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Devoluciones de ingreso</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706DD4CF"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572081</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4089EE0E"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Devoluciones de ingresos</w:t>
            </w:r>
          </w:p>
        </w:tc>
        <w:tc>
          <w:tcPr>
            <w:tcW w:w="426" w:type="dxa"/>
            <w:tcBorders>
              <w:top w:val="single" w:sz="4" w:space="0" w:color="000000"/>
              <w:left w:val="nil"/>
              <w:bottom w:val="single" w:sz="4" w:space="0" w:color="000000"/>
              <w:right w:val="single" w:sz="4" w:space="0" w:color="000000"/>
            </w:tcBorders>
            <w:shd w:val="clear" w:color="000000" w:fill="auto"/>
            <w:vAlign w:val="center"/>
            <w:hideMark/>
          </w:tcPr>
          <w:p w14:paraId="067E5573"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auto"/>
            <w:vAlign w:val="center"/>
            <w:hideMark/>
          </w:tcPr>
          <w:p w14:paraId="37A0BF65" w14:textId="77777777" w:rsidR="003861FB" w:rsidRPr="00023705" w:rsidRDefault="003861FB" w:rsidP="005E313F">
            <w:pP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auto"/>
            <w:vAlign w:val="center"/>
            <w:hideMark/>
          </w:tcPr>
          <w:p w14:paraId="2CDB5C63" w14:textId="77777777" w:rsidR="003861FB" w:rsidRPr="00023705" w:rsidRDefault="003861FB" w:rsidP="005E313F">
            <w:pPr>
              <w:jc w:val="center"/>
              <w:rPr>
                <w:rFonts w:asciiTheme="minorHAnsi" w:hAnsiTheme="minorHAnsi"/>
                <w:color w:val="000000"/>
                <w:sz w:val="10"/>
                <w:szCs w:val="10"/>
                <w:lang w:val="es-CO" w:eastAsia="es-CO"/>
              </w:rPr>
            </w:pPr>
            <w:r w:rsidRPr="00023705">
              <w:rPr>
                <w:rFonts w:asciiTheme="minorHAnsi" w:hAnsiTheme="minorHAnsi"/>
                <w:color w:val="000000"/>
                <w:sz w:val="10"/>
                <w:szCs w:val="10"/>
                <w:lang w:val="es-CO" w:eastAsia="es-CO"/>
              </w:rPr>
              <w:t>SI</w:t>
            </w:r>
          </w:p>
        </w:tc>
      </w:tr>
    </w:tbl>
    <w:p w14:paraId="0A49C51E" w14:textId="77777777" w:rsidR="00023705" w:rsidRPr="00A33E48" w:rsidRDefault="00023705" w:rsidP="00A33E48">
      <w:pPr>
        <w:rPr>
          <w:rFonts w:ascii="Arial" w:hAnsi="Arial" w:cs="Arial"/>
          <w:sz w:val="22"/>
          <w:szCs w:val="22"/>
        </w:rPr>
      </w:pPr>
    </w:p>
    <w:p w14:paraId="617C8F1A" w14:textId="77777777" w:rsidR="00226D36" w:rsidRPr="00AF5B17" w:rsidRDefault="00226D36" w:rsidP="00EF3D59">
      <w:pPr>
        <w:spacing w:line="288" w:lineRule="auto"/>
        <w:rPr>
          <w:rFonts w:ascii="Arial" w:hAnsi="Arial" w:cs="Arial"/>
          <w:b/>
          <w:color w:val="000000"/>
          <w:sz w:val="22"/>
          <w:szCs w:val="22"/>
        </w:rPr>
      </w:pPr>
      <w:r w:rsidRPr="00AF5B17">
        <w:rPr>
          <w:rFonts w:ascii="Arial" w:hAnsi="Arial" w:cs="Arial"/>
          <w:b/>
          <w:color w:val="000000"/>
          <w:sz w:val="22"/>
          <w:szCs w:val="22"/>
        </w:rPr>
        <w:lastRenderedPageBreak/>
        <w:t>Pagos de órdenes de pago presupuestales originada en ingresos, ING</w:t>
      </w:r>
    </w:p>
    <w:p w14:paraId="028AB5BC" w14:textId="77777777" w:rsidR="00A93413" w:rsidRPr="00A0134B" w:rsidRDefault="00A93413" w:rsidP="00EF3D59">
      <w:pPr>
        <w:spacing w:line="288" w:lineRule="auto"/>
        <w:rPr>
          <w:rFonts w:ascii="Arial" w:hAnsi="Arial" w:cs="Arial"/>
          <w:sz w:val="22"/>
          <w:szCs w:val="22"/>
        </w:rPr>
      </w:pPr>
    </w:p>
    <w:p w14:paraId="1E6AA63F"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Las órdenes de pago presupuestales de ingresos con estado </w:t>
      </w:r>
      <w:r w:rsidRPr="00FB7B51">
        <w:rPr>
          <w:rFonts w:ascii="Arial" w:hAnsi="Arial" w:cs="Arial"/>
          <w:i/>
          <w:iCs/>
          <w:color w:val="000000"/>
          <w:sz w:val="22"/>
          <w:szCs w:val="22"/>
        </w:rPr>
        <w:t>“pagado”</w:t>
      </w:r>
      <w:r w:rsidRPr="00A0134B">
        <w:rPr>
          <w:rFonts w:ascii="Arial" w:hAnsi="Arial" w:cs="Arial"/>
          <w:color w:val="000000"/>
          <w:sz w:val="22"/>
          <w:szCs w:val="22"/>
        </w:rPr>
        <w:t xml:space="preserve"> tienen su origen en la constitución del acreedor de ingresos por pagos en exceso o de lo no debido, que podrá ser de oficio o a solicitud del interesado. Para el efecto, se registra el rubro concepto de ingresos que fue pagado en exceso, el tercero a quien le corresponde la devolución y el valor. También se podrán registrar deducciones para ser pagadas posteriormente o para que queden disponibles para su compensación.</w:t>
      </w:r>
    </w:p>
    <w:p w14:paraId="7C787429" w14:textId="77777777" w:rsidR="00A93413" w:rsidRPr="00A0134B" w:rsidRDefault="00A93413" w:rsidP="00EF3D59">
      <w:pPr>
        <w:pStyle w:val="unico"/>
        <w:spacing w:before="0" w:beforeAutospacing="0" w:after="0" w:afterAutospacing="0" w:line="288" w:lineRule="auto"/>
        <w:jc w:val="both"/>
        <w:rPr>
          <w:rFonts w:ascii="Arial" w:hAnsi="Arial" w:cs="Arial"/>
          <w:color w:val="000000"/>
          <w:sz w:val="22"/>
          <w:szCs w:val="22"/>
        </w:rPr>
      </w:pPr>
    </w:p>
    <w:p w14:paraId="340D3F5B" w14:textId="445F84ED"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tipo de registro corresponde a </w:t>
      </w:r>
      <w:r w:rsidRPr="00FB7B51">
        <w:rPr>
          <w:rFonts w:ascii="Arial" w:hAnsi="Arial" w:cs="Arial"/>
          <w:i/>
          <w:iCs/>
          <w:color w:val="000000"/>
          <w:sz w:val="22"/>
          <w:szCs w:val="22"/>
        </w:rPr>
        <w:t xml:space="preserve">“acreedor de ingresos presupuestales”, </w:t>
      </w:r>
      <w:r w:rsidRPr="00A0134B">
        <w:rPr>
          <w:rFonts w:ascii="Arial" w:hAnsi="Arial" w:cs="Arial"/>
          <w:color w:val="000000"/>
          <w:sz w:val="22"/>
          <w:szCs w:val="22"/>
        </w:rPr>
        <w:t xml:space="preserve">el </w:t>
      </w:r>
      <w:r w:rsidR="00124856" w:rsidRPr="00A0134B">
        <w:rPr>
          <w:rFonts w:ascii="Arial" w:hAnsi="Arial" w:cs="Arial"/>
          <w:color w:val="000000"/>
          <w:sz w:val="22"/>
          <w:szCs w:val="22"/>
        </w:rPr>
        <w:t>cual,</w:t>
      </w:r>
      <w:r w:rsidRPr="00A0134B">
        <w:rPr>
          <w:rFonts w:ascii="Arial" w:hAnsi="Arial" w:cs="Arial"/>
          <w:color w:val="000000"/>
          <w:sz w:val="22"/>
          <w:szCs w:val="22"/>
        </w:rPr>
        <w:t xml:space="preserve"> con un rubro de ingresos, tipo de beneficiario, medio de pago y la definición de los valores “SÍ” o “NO” en la marca </w:t>
      </w:r>
      <w:r w:rsidRPr="00FB7B51">
        <w:rPr>
          <w:rFonts w:ascii="Arial" w:hAnsi="Arial" w:cs="Arial"/>
          <w:i/>
          <w:iCs/>
          <w:color w:val="000000"/>
          <w:sz w:val="22"/>
          <w:szCs w:val="22"/>
        </w:rPr>
        <w:t>“misma ECP”</w:t>
      </w:r>
      <w:r w:rsidRPr="00A0134B">
        <w:rPr>
          <w:rFonts w:ascii="Arial" w:hAnsi="Arial" w:cs="Arial"/>
          <w:color w:val="000000"/>
          <w:sz w:val="22"/>
          <w:szCs w:val="22"/>
        </w:rPr>
        <w:t>, genera los registros contables.</w:t>
      </w:r>
    </w:p>
    <w:p w14:paraId="7B4466A3" w14:textId="77777777" w:rsidR="00A93413" w:rsidRPr="00A0134B" w:rsidRDefault="00A93413" w:rsidP="00EF3D59">
      <w:pPr>
        <w:pStyle w:val="unico"/>
        <w:spacing w:before="0" w:beforeAutospacing="0" w:after="0" w:afterAutospacing="0" w:line="288" w:lineRule="auto"/>
        <w:jc w:val="both"/>
        <w:rPr>
          <w:rFonts w:ascii="Arial" w:hAnsi="Arial" w:cs="Arial"/>
          <w:color w:val="000000"/>
          <w:sz w:val="22"/>
          <w:szCs w:val="22"/>
        </w:rPr>
      </w:pPr>
    </w:p>
    <w:p w14:paraId="0A228097"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la tesorería centralizada, DTN paga por cuenta de la ECP que constituyó la devolución, el sistema registra en la TCON14, para la ECP, un débito en la subcuenta del pasivo saldos a favor de beneficiarios o contribuyentes, según el rubro presupuestal que lo origine y un </w:t>
      </w:r>
      <w:r w:rsidR="006B6490" w:rsidRPr="00A0134B">
        <w:rPr>
          <w:rFonts w:ascii="Arial" w:hAnsi="Arial" w:cs="Arial"/>
          <w:color w:val="000000"/>
          <w:sz w:val="22"/>
          <w:szCs w:val="22"/>
        </w:rPr>
        <w:t>crédito en la subcuenta 472081-D</w:t>
      </w:r>
      <w:r w:rsidRPr="00A0134B">
        <w:rPr>
          <w:rFonts w:ascii="Arial" w:hAnsi="Arial" w:cs="Arial"/>
          <w:color w:val="000000"/>
          <w:sz w:val="22"/>
          <w:szCs w:val="22"/>
        </w:rPr>
        <w:t>evoluciones de ingresos. Para la tesorería, el sist</w:t>
      </w:r>
      <w:r w:rsidR="006B6490" w:rsidRPr="00A0134B">
        <w:rPr>
          <w:rFonts w:ascii="Arial" w:hAnsi="Arial" w:cs="Arial"/>
          <w:color w:val="000000"/>
          <w:sz w:val="22"/>
          <w:szCs w:val="22"/>
        </w:rPr>
        <w:t>ema debita la subcuenta 572081-D</w:t>
      </w:r>
      <w:r w:rsidRPr="00A0134B">
        <w:rPr>
          <w:rFonts w:ascii="Arial" w:hAnsi="Arial" w:cs="Arial"/>
          <w:color w:val="000000"/>
          <w:sz w:val="22"/>
          <w:szCs w:val="22"/>
        </w:rPr>
        <w:t>evoluciones de ingresos y acredita la subcuenta que corresponda de la cuenta 1110-depósitos en instituciones financieras.</w:t>
      </w:r>
    </w:p>
    <w:p w14:paraId="68ABE09E" w14:textId="77777777" w:rsidR="00A93413" w:rsidRPr="00A0134B" w:rsidRDefault="00A93413" w:rsidP="00EF3D59">
      <w:pPr>
        <w:pStyle w:val="unico"/>
        <w:spacing w:before="0" w:beforeAutospacing="0" w:after="0" w:afterAutospacing="0" w:line="288" w:lineRule="auto"/>
        <w:jc w:val="both"/>
        <w:rPr>
          <w:rFonts w:ascii="Arial" w:hAnsi="Arial" w:cs="Arial"/>
          <w:color w:val="000000"/>
          <w:sz w:val="22"/>
          <w:szCs w:val="22"/>
        </w:rPr>
      </w:pPr>
    </w:p>
    <w:p w14:paraId="24D4FD58"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Cuando el acreedor de ingresos presupuestales se pague con el tipo de beneficiario de traspaso a pagaduría, la entidad debe</w:t>
      </w:r>
      <w:r w:rsidR="006B6490" w:rsidRPr="00A0134B">
        <w:rPr>
          <w:rFonts w:ascii="Arial" w:hAnsi="Arial" w:cs="Arial"/>
          <w:color w:val="000000"/>
          <w:sz w:val="22"/>
          <w:szCs w:val="22"/>
        </w:rPr>
        <w:t xml:space="preserve"> realizar el procedimiento de </w:t>
      </w:r>
      <w:r w:rsidR="006B6490" w:rsidRPr="00FB7B51">
        <w:rPr>
          <w:rFonts w:ascii="Arial" w:hAnsi="Arial" w:cs="Arial"/>
          <w:i/>
          <w:iCs/>
          <w:color w:val="000000"/>
          <w:sz w:val="22"/>
          <w:szCs w:val="22"/>
        </w:rPr>
        <w:t>“P</w:t>
      </w:r>
      <w:r w:rsidRPr="00FB7B51">
        <w:rPr>
          <w:rFonts w:ascii="Arial" w:hAnsi="Arial" w:cs="Arial"/>
          <w:i/>
          <w:iCs/>
          <w:color w:val="000000"/>
          <w:sz w:val="22"/>
          <w:szCs w:val="22"/>
        </w:rPr>
        <w:t>ago extensivo”</w:t>
      </w:r>
      <w:r w:rsidRPr="00A0134B">
        <w:rPr>
          <w:rFonts w:ascii="Arial" w:hAnsi="Arial" w:cs="Arial"/>
          <w:color w:val="000000"/>
          <w:sz w:val="22"/>
          <w:szCs w:val="22"/>
        </w:rPr>
        <w:t>.</w:t>
      </w:r>
    </w:p>
    <w:p w14:paraId="1A07DAAF" w14:textId="77777777" w:rsidR="00A93413" w:rsidRPr="00A0134B" w:rsidRDefault="00A93413" w:rsidP="00EF3D59">
      <w:pPr>
        <w:pStyle w:val="unico"/>
        <w:spacing w:before="0" w:beforeAutospacing="0" w:after="0" w:afterAutospacing="0" w:line="288" w:lineRule="auto"/>
        <w:jc w:val="both"/>
        <w:rPr>
          <w:rFonts w:ascii="Arial" w:hAnsi="Arial" w:cs="Arial"/>
          <w:color w:val="000000"/>
          <w:sz w:val="22"/>
          <w:szCs w:val="22"/>
        </w:rPr>
      </w:pPr>
    </w:p>
    <w:p w14:paraId="3A5D2A84"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En el evento en que la ECP que constituye acreedor de ingresos presupuestales pague al beneficiario final, la contabilidad definida en el sistema corresponde a un registro débito en la subcuenta de pasivo saldos a favor de beneficiarios o contribuyentes según el rubro presupuestal que lo origine y a un registro crédito en la subcuenta que corresponda de la cuenta 1110-depósitos en instituciones financieras.</w:t>
      </w:r>
    </w:p>
    <w:p w14:paraId="2334D39C" w14:textId="77777777" w:rsidR="00A93413" w:rsidRPr="00A0134B" w:rsidRDefault="00A93413" w:rsidP="00EF3D59">
      <w:pPr>
        <w:pStyle w:val="unico"/>
        <w:spacing w:before="0" w:beforeAutospacing="0" w:after="0" w:afterAutospacing="0" w:line="288" w:lineRule="auto"/>
        <w:jc w:val="both"/>
        <w:rPr>
          <w:rFonts w:ascii="Arial" w:hAnsi="Arial" w:cs="Arial"/>
          <w:color w:val="000000"/>
          <w:sz w:val="22"/>
          <w:szCs w:val="22"/>
        </w:rPr>
      </w:pPr>
    </w:p>
    <w:p w14:paraId="3CA6D05A"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Para el reconocimiento contable se toma en cu</w:t>
      </w:r>
      <w:r w:rsidR="00A93413" w:rsidRPr="00A0134B">
        <w:rPr>
          <w:rFonts w:ascii="Arial" w:hAnsi="Arial" w:cs="Arial"/>
          <w:color w:val="000000"/>
          <w:sz w:val="22"/>
          <w:szCs w:val="22"/>
        </w:rPr>
        <w:t>enta la tabla TCON14-otros pagos.</w:t>
      </w:r>
    </w:p>
    <w:p w14:paraId="6693EDE0" w14:textId="77777777" w:rsidR="00226D36" w:rsidRPr="00A0134B" w:rsidRDefault="00226D36"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w:t>
      </w:r>
    </w:p>
    <w:p w14:paraId="54199AC4" w14:textId="77777777" w:rsidR="006B6490" w:rsidRPr="00A0134B" w:rsidRDefault="006B6490"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Para las órdenes de pagos presupuestales de ingresos, con diferencial cambiario positivo o negativo, el sistema calcula la diferencia de la TRM entre la fecha en que se constituyó el acreedor y la fecha en que se paga; esta diferencia puede ser positiva o negativa.</w:t>
      </w:r>
    </w:p>
    <w:p w14:paraId="75533CB9" w14:textId="77777777" w:rsidR="006B6490" w:rsidRPr="00A0134B" w:rsidRDefault="006B6490" w:rsidP="00EF3D59">
      <w:pPr>
        <w:pStyle w:val="unico"/>
        <w:spacing w:before="0" w:beforeAutospacing="0" w:after="0" w:afterAutospacing="0" w:line="288" w:lineRule="auto"/>
        <w:jc w:val="both"/>
        <w:rPr>
          <w:rFonts w:ascii="Arial" w:hAnsi="Arial" w:cs="Arial"/>
          <w:color w:val="000000"/>
          <w:sz w:val="22"/>
          <w:szCs w:val="22"/>
        </w:rPr>
      </w:pPr>
    </w:p>
    <w:p w14:paraId="154D7826" w14:textId="3972C2D2" w:rsidR="006B6490" w:rsidRDefault="006B6490"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Cuando el diferencial cambiario es positivo, se registra un gasto por diferencia en cambio en la subcuenta 580390, que corresponde al debe de la tabla TCON014. Cuando el diferencial cambiario es negativo se registra un ingreso por diferencia en cambio en la subcuenta 480690, que corresponde al haber de la tabla TCON14. En ambos casos la contrapartida es el acreedor.</w:t>
      </w:r>
    </w:p>
    <w:p w14:paraId="02A8D5B9" w14:textId="77777777" w:rsidR="00FB7B51" w:rsidRPr="00A0134B" w:rsidRDefault="00FB7B51" w:rsidP="00EF3D59">
      <w:pPr>
        <w:pStyle w:val="unico"/>
        <w:spacing w:before="0" w:beforeAutospacing="0" w:after="0" w:afterAutospacing="0" w:line="288" w:lineRule="auto"/>
        <w:jc w:val="both"/>
        <w:rPr>
          <w:rFonts w:ascii="Arial" w:hAnsi="Arial" w:cs="Arial"/>
          <w:color w:val="000000"/>
          <w:sz w:val="22"/>
          <w:szCs w:val="22"/>
        </w:rPr>
      </w:pPr>
    </w:p>
    <w:p w14:paraId="22DE5A69" w14:textId="77777777" w:rsidR="006B6490" w:rsidRPr="00AF5B17" w:rsidRDefault="00AF5B17" w:rsidP="00EF3D59">
      <w:pPr>
        <w:spacing w:line="288" w:lineRule="auto"/>
        <w:rPr>
          <w:rFonts w:ascii="Arial" w:hAnsi="Arial" w:cs="Arial"/>
          <w:b/>
          <w:color w:val="000000"/>
          <w:sz w:val="22"/>
          <w:szCs w:val="22"/>
        </w:rPr>
      </w:pPr>
      <w:r w:rsidRPr="00AF5B17">
        <w:rPr>
          <w:rFonts w:ascii="Arial" w:hAnsi="Arial" w:cs="Arial"/>
          <w:b/>
          <w:color w:val="000000"/>
          <w:sz w:val="22"/>
          <w:szCs w:val="22"/>
        </w:rPr>
        <w:t>Otros aspectos por considerar</w:t>
      </w:r>
      <w:r w:rsidR="006B6490" w:rsidRPr="00AF5B17">
        <w:rPr>
          <w:rFonts w:ascii="Arial" w:hAnsi="Arial" w:cs="Arial"/>
          <w:b/>
          <w:color w:val="000000"/>
          <w:sz w:val="22"/>
          <w:szCs w:val="22"/>
        </w:rPr>
        <w:t xml:space="preserve"> en el registro del pago, PAG</w:t>
      </w:r>
    </w:p>
    <w:p w14:paraId="473F3E8B" w14:textId="77777777" w:rsidR="006B6490" w:rsidRPr="00AF5B17" w:rsidRDefault="006B6490" w:rsidP="00EF3D59">
      <w:pPr>
        <w:spacing w:line="288" w:lineRule="auto"/>
        <w:rPr>
          <w:rFonts w:ascii="Arial" w:hAnsi="Arial" w:cs="Arial"/>
          <w:b/>
          <w:color w:val="000000"/>
          <w:sz w:val="22"/>
          <w:szCs w:val="22"/>
        </w:rPr>
      </w:pPr>
    </w:p>
    <w:p w14:paraId="604F3083" w14:textId="77777777" w:rsidR="006B6490" w:rsidRPr="00AF5B17" w:rsidRDefault="006B6490" w:rsidP="00EF3D59">
      <w:pPr>
        <w:spacing w:line="288" w:lineRule="auto"/>
        <w:rPr>
          <w:rFonts w:ascii="Arial" w:hAnsi="Arial" w:cs="Arial"/>
          <w:b/>
          <w:bCs/>
          <w:color w:val="000000"/>
          <w:sz w:val="22"/>
          <w:szCs w:val="22"/>
        </w:rPr>
      </w:pPr>
      <w:r w:rsidRPr="00AF5B17">
        <w:rPr>
          <w:rFonts w:ascii="Arial" w:hAnsi="Arial" w:cs="Arial"/>
          <w:b/>
          <w:color w:val="000000"/>
          <w:sz w:val="22"/>
          <w:szCs w:val="22"/>
        </w:rPr>
        <w:t>Pagos con títulos de tesorería, TES</w:t>
      </w:r>
    </w:p>
    <w:p w14:paraId="5904FF82" w14:textId="77777777" w:rsidR="006B6490" w:rsidRPr="00A0134B" w:rsidRDefault="006B6490" w:rsidP="00EF3D59">
      <w:pPr>
        <w:pStyle w:val="unico"/>
        <w:spacing w:before="0" w:beforeAutospacing="0" w:after="0" w:afterAutospacing="0" w:line="288" w:lineRule="auto"/>
        <w:jc w:val="both"/>
        <w:rPr>
          <w:rFonts w:ascii="Arial" w:hAnsi="Arial" w:cs="Arial"/>
          <w:color w:val="000000"/>
          <w:sz w:val="22"/>
          <w:szCs w:val="22"/>
        </w:rPr>
      </w:pPr>
    </w:p>
    <w:p w14:paraId="2FCB09FA" w14:textId="77777777" w:rsidR="006B6490" w:rsidRPr="00A0134B" w:rsidRDefault="006B6490"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Los pagos con el </w:t>
      </w:r>
      <w:r w:rsidRPr="00FB7B51">
        <w:rPr>
          <w:rFonts w:ascii="Arial" w:hAnsi="Arial" w:cs="Arial"/>
          <w:i/>
          <w:iCs/>
          <w:color w:val="000000"/>
          <w:sz w:val="22"/>
          <w:szCs w:val="22"/>
        </w:rPr>
        <w:t>“tipo de título-TES”</w:t>
      </w:r>
      <w:r w:rsidRPr="00A0134B">
        <w:rPr>
          <w:rFonts w:ascii="Arial" w:hAnsi="Arial" w:cs="Arial"/>
          <w:color w:val="000000"/>
          <w:sz w:val="22"/>
          <w:szCs w:val="22"/>
        </w:rPr>
        <w:t xml:space="preserve"> están defini</w:t>
      </w:r>
      <w:r w:rsidR="003C7524" w:rsidRPr="00A0134B">
        <w:rPr>
          <w:rFonts w:ascii="Arial" w:hAnsi="Arial" w:cs="Arial"/>
          <w:color w:val="000000"/>
          <w:sz w:val="22"/>
          <w:szCs w:val="22"/>
        </w:rPr>
        <w:t xml:space="preserve">dos para los </w:t>
      </w:r>
      <w:r w:rsidR="003C7524" w:rsidRPr="00FB7B51">
        <w:rPr>
          <w:rFonts w:ascii="Arial" w:hAnsi="Arial" w:cs="Arial"/>
          <w:i/>
          <w:iCs/>
          <w:color w:val="000000"/>
          <w:sz w:val="22"/>
          <w:szCs w:val="22"/>
        </w:rPr>
        <w:t>“Tipos de operación”</w:t>
      </w:r>
      <w:r w:rsidR="003C7524" w:rsidRPr="00A0134B">
        <w:rPr>
          <w:rFonts w:ascii="Arial" w:hAnsi="Arial" w:cs="Arial"/>
          <w:color w:val="000000"/>
          <w:sz w:val="22"/>
          <w:szCs w:val="22"/>
        </w:rPr>
        <w:t xml:space="preserve"> S</w:t>
      </w:r>
      <w:r w:rsidRPr="00A0134B">
        <w:rPr>
          <w:rFonts w:ascii="Arial" w:hAnsi="Arial" w:cs="Arial"/>
          <w:color w:val="000000"/>
          <w:sz w:val="22"/>
          <w:szCs w:val="22"/>
        </w:rPr>
        <w:t xml:space="preserve">istema </w:t>
      </w:r>
      <w:r w:rsidR="003C7524" w:rsidRPr="00A0134B">
        <w:rPr>
          <w:rFonts w:ascii="Arial" w:hAnsi="Arial" w:cs="Arial"/>
          <w:color w:val="000000"/>
          <w:sz w:val="22"/>
          <w:szCs w:val="22"/>
        </w:rPr>
        <w:t>General de P</w:t>
      </w:r>
      <w:r w:rsidRPr="00A0134B">
        <w:rPr>
          <w:rFonts w:ascii="Arial" w:hAnsi="Arial" w:cs="Arial"/>
          <w:color w:val="000000"/>
          <w:sz w:val="22"/>
          <w:szCs w:val="22"/>
        </w:rPr>
        <w:t>articipaciones</w:t>
      </w:r>
      <w:r w:rsidR="00772952" w:rsidRPr="00A0134B">
        <w:rPr>
          <w:rFonts w:ascii="Arial" w:hAnsi="Arial" w:cs="Arial"/>
          <w:color w:val="000000"/>
          <w:sz w:val="22"/>
          <w:szCs w:val="22"/>
        </w:rPr>
        <w:t xml:space="preserve">, entre otras. </w:t>
      </w:r>
    </w:p>
    <w:p w14:paraId="1B4A76F1" w14:textId="77777777" w:rsidR="00A33E48" w:rsidRPr="00A0134B" w:rsidRDefault="00A33E48" w:rsidP="00EF3D59">
      <w:pPr>
        <w:spacing w:line="288" w:lineRule="auto"/>
        <w:rPr>
          <w:rFonts w:ascii="Arial" w:hAnsi="Arial" w:cs="Arial"/>
          <w:sz w:val="22"/>
          <w:szCs w:val="22"/>
        </w:rPr>
      </w:pPr>
    </w:p>
    <w:p w14:paraId="12C1BB18" w14:textId="77777777" w:rsidR="00772952" w:rsidRPr="00AF5B17" w:rsidRDefault="00772952" w:rsidP="00EF3D59">
      <w:pPr>
        <w:spacing w:line="288" w:lineRule="auto"/>
        <w:rPr>
          <w:rFonts w:ascii="Arial" w:hAnsi="Arial" w:cs="Arial"/>
          <w:b/>
          <w:color w:val="000000"/>
          <w:sz w:val="22"/>
          <w:szCs w:val="22"/>
        </w:rPr>
      </w:pPr>
      <w:r w:rsidRPr="00AF5B17">
        <w:rPr>
          <w:rFonts w:ascii="Arial" w:hAnsi="Arial" w:cs="Arial"/>
          <w:b/>
          <w:color w:val="000000"/>
          <w:sz w:val="22"/>
          <w:szCs w:val="22"/>
        </w:rPr>
        <w:t>Medio de pago título</w:t>
      </w:r>
    </w:p>
    <w:p w14:paraId="2D333C65" w14:textId="77777777" w:rsidR="00772952" w:rsidRPr="00A0134B" w:rsidRDefault="00772952" w:rsidP="00EF3D59">
      <w:pPr>
        <w:spacing w:line="288" w:lineRule="auto"/>
        <w:rPr>
          <w:rFonts w:ascii="Arial" w:hAnsi="Arial" w:cs="Arial"/>
          <w:sz w:val="22"/>
          <w:szCs w:val="22"/>
        </w:rPr>
      </w:pPr>
    </w:p>
    <w:p w14:paraId="21A0BCC5"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el </w:t>
      </w:r>
      <w:r w:rsidRPr="00FB7B51">
        <w:rPr>
          <w:rFonts w:ascii="Arial" w:hAnsi="Arial" w:cs="Arial"/>
          <w:i/>
          <w:iCs/>
          <w:color w:val="000000"/>
          <w:sz w:val="22"/>
          <w:szCs w:val="22"/>
        </w:rPr>
        <w:t xml:space="preserve">“medio de </w:t>
      </w:r>
      <w:r w:rsidR="007E0ED1" w:rsidRPr="00FB7B51">
        <w:rPr>
          <w:rFonts w:ascii="Arial" w:hAnsi="Arial" w:cs="Arial"/>
          <w:i/>
          <w:iCs/>
          <w:color w:val="000000"/>
          <w:sz w:val="22"/>
          <w:szCs w:val="22"/>
        </w:rPr>
        <w:t>pago”</w:t>
      </w:r>
      <w:r w:rsidR="007E0ED1" w:rsidRPr="00A0134B">
        <w:rPr>
          <w:rFonts w:ascii="Arial" w:hAnsi="Arial" w:cs="Arial"/>
          <w:color w:val="000000"/>
          <w:sz w:val="22"/>
          <w:szCs w:val="22"/>
        </w:rPr>
        <w:t xml:space="preserve"> con título corresponde a Fondo en administración, Encargo fiduciario o F</w:t>
      </w:r>
      <w:r w:rsidRPr="00A0134B">
        <w:rPr>
          <w:rFonts w:ascii="Arial" w:hAnsi="Arial" w:cs="Arial"/>
          <w:color w:val="000000"/>
          <w:sz w:val="22"/>
          <w:szCs w:val="22"/>
        </w:rPr>
        <w:t xml:space="preserve">ideicomiso, el </w:t>
      </w:r>
      <w:r w:rsidRPr="00FB7B51">
        <w:rPr>
          <w:rFonts w:ascii="Arial" w:hAnsi="Arial" w:cs="Arial"/>
          <w:i/>
          <w:iCs/>
          <w:color w:val="000000"/>
          <w:sz w:val="22"/>
          <w:szCs w:val="22"/>
        </w:rPr>
        <w:t xml:space="preserve">“tipo de beneficiario” </w:t>
      </w:r>
      <w:r w:rsidRPr="00A0134B">
        <w:rPr>
          <w:rFonts w:ascii="Arial" w:hAnsi="Arial" w:cs="Arial"/>
          <w:color w:val="000000"/>
          <w:sz w:val="22"/>
          <w:szCs w:val="22"/>
        </w:rPr>
        <w:t xml:space="preserve">es </w:t>
      </w:r>
      <w:r w:rsidRPr="00FB7B51">
        <w:rPr>
          <w:rFonts w:ascii="Arial" w:hAnsi="Arial" w:cs="Arial"/>
          <w:i/>
          <w:iCs/>
          <w:color w:val="000000"/>
          <w:sz w:val="22"/>
          <w:szCs w:val="22"/>
        </w:rPr>
        <w:t>“beneficiar</w:t>
      </w:r>
      <w:r w:rsidR="007E0ED1" w:rsidRPr="00FB7B51">
        <w:rPr>
          <w:rFonts w:ascii="Arial" w:hAnsi="Arial" w:cs="Arial"/>
          <w:i/>
          <w:iCs/>
          <w:color w:val="000000"/>
          <w:sz w:val="22"/>
          <w:szCs w:val="22"/>
        </w:rPr>
        <w:t>io final”,</w:t>
      </w:r>
      <w:r w:rsidR="007E0ED1" w:rsidRPr="00A0134B">
        <w:rPr>
          <w:rFonts w:ascii="Arial" w:hAnsi="Arial" w:cs="Arial"/>
          <w:color w:val="000000"/>
          <w:sz w:val="22"/>
          <w:szCs w:val="22"/>
        </w:rPr>
        <w:t xml:space="preserve"> el atributo contable es</w:t>
      </w:r>
      <w:r w:rsidRPr="00A0134B">
        <w:rPr>
          <w:rFonts w:ascii="Arial" w:hAnsi="Arial" w:cs="Arial"/>
          <w:color w:val="000000"/>
          <w:sz w:val="22"/>
          <w:szCs w:val="22"/>
        </w:rPr>
        <w:t xml:space="preserve"> </w:t>
      </w:r>
      <w:r w:rsidRPr="00FB7B51">
        <w:rPr>
          <w:rFonts w:ascii="Arial" w:hAnsi="Arial" w:cs="Arial"/>
          <w:i/>
          <w:iCs/>
          <w:color w:val="000000"/>
          <w:sz w:val="22"/>
          <w:szCs w:val="22"/>
        </w:rPr>
        <w:t>“ninguno”</w:t>
      </w:r>
      <w:r w:rsidRPr="00A0134B">
        <w:rPr>
          <w:rFonts w:ascii="Arial" w:hAnsi="Arial" w:cs="Arial"/>
          <w:color w:val="000000"/>
          <w:sz w:val="22"/>
          <w:szCs w:val="22"/>
        </w:rPr>
        <w:t xml:space="preserve"> y siempre corresponde a “SÍ” en la marca </w:t>
      </w:r>
      <w:r w:rsidRPr="00FB7B51">
        <w:rPr>
          <w:rFonts w:ascii="Arial" w:hAnsi="Arial" w:cs="Arial"/>
          <w:i/>
          <w:iCs/>
          <w:color w:val="000000"/>
          <w:sz w:val="22"/>
          <w:szCs w:val="22"/>
        </w:rPr>
        <w:t>“misma ECP”</w:t>
      </w:r>
      <w:r w:rsidRPr="00A0134B">
        <w:rPr>
          <w:rFonts w:ascii="Arial" w:hAnsi="Arial" w:cs="Arial"/>
          <w:color w:val="000000"/>
          <w:sz w:val="22"/>
          <w:szCs w:val="22"/>
        </w:rPr>
        <w:t>.</w:t>
      </w:r>
    </w:p>
    <w:p w14:paraId="2E768F62"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p>
    <w:p w14:paraId="156776D3"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Encargo fiduciario-fiducia en administración</w:t>
      </w:r>
      <w:r w:rsidRPr="00A0134B">
        <w:rPr>
          <w:rFonts w:ascii="Arial" w:hAnsi="Arial" w:cs="Arial"/>
          <w:color w:val="000000"/>
          <w:sz w:val="22"/>
          <w:szCs w:val="22"/>
        </w:rPr>
        <w:t>: Corresponde al registro contable de la entrega de los recursos a la sociedad fiduciaria, del pago de obligaciones y de la administración y venta de bienes.</w:t>
      </w:r>
    </w:p>
    <w:p w14:paraId="3D46366C"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p>
    <w:p w14:paraId="49A2A8CC"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Los recursos entregados mediante encargo fiduciario para ser administrados por la sociedad fiduciaria, se registran debitando la subcuenta </w:t>
      </w:r>
      <w:r w:rsidR="00B41A5A" w:rsidRPr="00A0134B">
        <w:rPr>
          <w:rFonts w:ascii="Arial" w:hAnsi="Arial" w:cs="Arial"/>
          <w:color w:val="000000"/>
          <w:sz w:val="22"/>
          <w:szCs w:val="22"/>
        </w:rPr>
        <w:t>190803</w:t>
      </w:r>
      <w:r w:rsidRPr="00A0134B">
        <w:rPr>
          <w:rFonts w:ascii="Arial" w:hAnsi="Arial" w:cs="Arial"/>
          <w:color w:val="000000"/>
          <w:sz w:val="22"/>
          <w:szCs w:val="22"/>
        </w:rPr>
        <w:t>-</w:t>
      </w:r>
      <w:r w:rsidR="00B41A5A" w:rsidRPr="00A0134B">
        <w:rPr>
          <w:rFonts w:ascii="Arial" w:hAnsi="Arial" w:cs="Arial"/>
          <w:color w:val="000000"/>
          <w:sz w:val="22"/>
          <w:szCs w:val="22"/>
        </w:rPr>
        <w:t xml:space="preserve"> Encargo fiduciario- F</w:t>
      </w:r>
      <w:r w:rsidRPr="00A0134B">
        <w:rPr>
          <w:rFonts w:ascii="Arial" w:hAnsi="Arial" w:cs="Arial"/>
          <w:color w:val="000000"/>
          <w:sz w:val="22"/>
          <w:szCs w:val="22"/>
        </w:rPr>
        <w:t>iducia en administración y acreditando la</w:t>
      </w:r>
      <w:r w:rsidR="00B41A5A" w:rsidRPr="00A0134B">
        <w:rPr>
          <w:rFonts w:ascii="Arial" w:hAnsi="Arial" w:cs="Arial"/>
          <w:color w:val="000000"/>
          <w:sz w:val="22"/>
          <w:szCs w:val="22"/>
        </w:rPr>
        <w:t>s</w:t>
      </w:r>
      <w:r w:rsidRPr="00A0134B">
        <w:rPr>
          <w:rFonts w:ascii="Arial" w:hAnsi="Arial" w:cs="Arial"/>
          <w:color w:val="000000"/>
          <w:sz w:val="22"/>
          <w:szCs w:val="22"/>
        </w:rPr>
        <w:t xml:space="preserve"> subcuentas de la cuenta 1110-depósitos en instituciones financieras o 4705-fondos recibidos, dependiendo, si es o no, </w:t>
      </w:r>
      <w:r w:rsidRPr="00FB7B51">
        <w:rPr>
          <w:rFonts w:ascii="Arial" w:hAnsi="Arial" w:cs="Arial"/>
          <w:i/>
          <w:iCs/>
          <w:color w:val="000000"/>
          <w:sz w:val="22"/>
          <w:szCs w:val="22"/>
        </w:rPr>
        <w:t>“misma ECP”</w:t>
      </w:r>
      <w:r w:rsidRPr="00A0134B">
        <w:rPr>
          <w:rFonts w:ascii="Arial" w:hAnsi="Arial" w:cs="Arial"/>
          <w:color w:val="000000"/>
          <w:sz w:val="22"/>
          <w:szCs w:val="22"/>
        </w:rPr>
        <w:t xml:space="preserve">. </w:t>
      </w:r>
    </w:p>
    <w:p w14:paraId="0032729B"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p>
    <w:p w14:paraId="2A634547"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La ejecución correspondiente al giro de los recursos se realiza con el </w:t>
      </w:r>
      <w:r w:rsidRPr="00FB7B51">
        <w:rPr>
          <w:rFonts w:ascii="Arial" w:hAnsi="Arial" w:cs="Arial"/>
          <w:i/>
          <w:iCs/>
          <w:color w:val="000000"/>
          <w:sz w:val="22"/>
          <w:szCs w:val="22"/>
        </w:rPr>
        <w:t>“</w:t>
      </w:r>
      <w:r w:rsidR="0049574E" w:rsidRPr="00FB7B51">
        <w:rPr>
          <w:rFonts w:ascii="Arial" w:hAnsi="Arial" w:cs="Arial"/>
          <w:i/>
          <w:iCs/>
          <w:color w:val="000000"/>
          <w:sz w:val="22"/>
          <w:szCs w:val="22"/>
        </w:rPr>
        <w:t>A</w:t>
      </w:r>
      <w:r w:rsidRPr="00FB7B51">
        <w:rPr>
          <w:rFonts w:ascii="Arial" w:hAnsi="Arial" w:cs="Arial"/>
          <w:i/>
          <w:iCs/>
          <w:color w:val="000000"/>
          <w:sz w:val="22"/>
          <w:szCs w:val="22"/>
        </w:rPr>
        <w:t>tributo contable”</w:t>
      </w:r>
      <w:r w:rsidRPr="00A0134B">
        <w:rPr>
          <w:rFonts w:ascii="Arial" w:hAnsi="Arial" w:cs="Arial"/>
          <w:color w:val="000000"/>
          <w:sz w:val="22"/>
          <w:szCs w:val="22"/>
        </w:rPr>
        <w:t xml:space="preserve"> </w:t>
      </w:r>
      <w:r w:rsidR="0049574E" w:rsidRPr="00A0134B">
        <w:rPr>
          <w:rFonts w:ascii="Arial" w:hAnsi="Arial" w:cs="Arial"/>
          <w:color w:val="000000"/>
          <w:sz w:val="22"/>
          <w:szCs w:val="22"/>
        </w:rPr>
        <w:t>E</w:t>
      </w:r>
      <w:r w:rsidRPr="00A0134B">
        <w:rPr>
          <w:rFonts w:ascii="Arial" w:hAnsi="Arial" w:cs="Arial"/>
          <w:color w:val="000000"/>
          <w:sz w:val="22"/>
          <w:szCs w:val="22"/>
        </w:rPr>
        <w:t>ncargo fiduciario - TCON09- y procede la legalización de los recursos de conformidad con el procedimiento de legalización.</w:t>
      </w:r>
    </w:p>
    <w:p w14:paraId="3D658BA3"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p>
    <w:p w14:paraId="7BAAC214"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el encargo tiene por objeto el recaudo de los derechos y el pago de las obligaciones de la ECP, el recaudo se efectúa con el </w:t>
      </w:r>
      <w:r w:rsidRPr="00FB7B51">
        <w:rPr>
          <w:rFonts w:ascii="Arial" w:hAnsi="Arial" w:cs="Arial"/>
          <w:i/>
          <w:iCs/>
          <w:color w:val="000000"/>
          <w:sz w:val="22"/>
          <w:szCs w:val="22"/>
        </w:rPr>
        <w:t>“tipo de título”</w:t>
      </w:r>
      <w:r w:rsidRPr="00A0134B">
        <w:rPr>
          <w:rFonts w:ascii="Arial" w:hAnsi="Arial" w:cs="Arial"/>
          <w:color w:val="000000"/>
          <w:sz w:val="22"/>
          <w:szCs w:val="22"/>
        </w:rPr>
        <w:t xml:space="preserve"> encargo fiduciario, en la tabla de ingresos TC</w:t>
      </w:r>
      <w:r w:rsidR="0049574E" w:rsidRPr="00A0134B">
        <w:rPr>
          <w:rFonts w:ascii="Arial" w:hAnsi="Arial" w:cs="Arial"/>
          <w:color w:val="000000"/>
          <w:sz w:val="22"/>
          <w:szCs w:val="22"/>
        </w:rPr>
        <w:t xml:space="preserve">ON11 para el tipo de registro </w:t>
      </w:r>
      <w:r w:rsidR="0049574E" w:rsidRPr="00FB7B51">
        <w:rPr>
          <w:rFonts w:ascii="Arial" w:hAnsi="Arial" w:cs="Arial"/>
          <w:i/>
          <w:iCs/>
          <w:color w:val="000000"/>
          <w:sz w:val="22"/>
          <w:szCs w:val="22"/>
        </w:rPr>
        <w:t>“R</w:t>
      </w:r>
      <w:r w:rsidRPr="00FB7B51">
        <w:rPr>
          <w:rFonts w:ascii="Arial" w:hAnsi="Arial" w:cs="Arial"/>
          <w:i/>
          <w:iCs/>
          <w:color w:val="000000"/>
          <w:sz w:val="22"/>
          <w:szCs w:val="22"/>
        </w:rPr>
        <w:t>ecaudo por clasif</w:t>
      </w:r>
      <w:r w:rsidR="0049574E" w:rsidRPr="00FB7B51">
        <w:rPr>
          <w:rFonts w:ascii="Arial" w:hAnsi="Arial" w:cs="Arial"/>
          <w:i/>
          <w:iCs/>
          <w:color w:val="000000"/>
          <w:sz w:val="22"/>
          <w:szCs w:val="22"/>
        </w:rPr>
        <w:t>icar”</w:t>
      </w:r>
      <w:r w:rsidR="0049574E" w:rsidRPr="00A0134B">
        <w:rPr>
          <w:rFonts w:ascii="Arial" w:hAnsi="Arial" w:cs="Arial"/>
          <w:color w:val="000000"/>
          <w:sz w:val="22"/>
          <w:szCs w:val="22"/>
        </w:rPr>
        <w:t xml:space="preserve"> afecta la subcuenta 190803-E</w:t>
      </w:r>
      <w:r w:rsidRPr="00A0134B">
        <w:rPr>
          <w:rFonts w:ascii="Arial" w:hAnsi="Arial" w:cs="Arial"/>
          <w:color w:val="000000"/>
          <w:sz w:val="22"/>
          <w:szCs w:val="22"/>
        </w:rPr>
        <w:t>ncargo fiduciario-</w:t>
      </w:r>
      <w:r w:rsidR="0049574E" w:rsidRPr="00A0134B">
        <w:rPr>
          <w:rFonts w:ascii="Arial" w:hAnsi="Arial" w:cs="Arial"/>
          <w:color w:val="000000"/>
          <w:sz w:val="22"/>
          <w:szCs w:val="22"/>
        </w:rPr>
        <w:t>F</w:t>
      </w:r>
      <w:r w:rsidRPr="00A0134B">
        <w:rPr>
          <w:rFonts w:ascii="Arial" w:hAnsi="Arial" w:cs="Arial"/>
          <w:color w:val="000000"/>
          <w:sz w:val="22"/>
          <w:szCs w:val="22"/>
        </w:rPr>
        <w:t xml:space="preserve">iducia en administración y acredita la subcuenta </w:t>
      </w:r>
      <w:r w:rsidR="0049574E" w:rsidRPr="00A0134B">
        <w:rPr>
          <w:rFonts w:ascii="Arial" w:hAnsi="Arial" w:cs="Arial"/>
          <w:color w:val="000000"/>
          <w:sz w:val="22"/>
          <w:szCs w:val="22"/>
        </w:rPr>
        <w:t>240720- R</w:t>
      </w:r>
      <w:r w:rsidRPr="00A0134B">
        <w:rPr>
          <w:rFonts w:ascii="Arial" w:hAnsi="Arial" w:cs="Arial"/>
          <w:color w:val="000000"/>
          <w:sz w:val="22"/>
          <w:szCs w:val="22"/>
        </w:rPr>
        <w:t>ecaudos por clasificar. Así m</w:t>
      </w:r>
      <w:r w:rsidR="0049574E" w:rsidRPr="00A0134B">
        <w:rPr>
          <w:rFonts w:ascii="Arial" w:hAnsi="Arial" w:cs="Arial"/>
          <w:color w:val="000000"/>
          <w:sz w:val="22"/>
          <w:szCs w:val="22"/>
        </w:rPr>
        <w:t xml:space="preserve">ismo, con el tipo de registro </w:t>
      </w:r>
      <w:r w:rsidR="0049574E" w:rsidRPr="00FB7B51">
        <w:rPr>
          <w:rFonts w:ascii="Arial" w:hAnsi="Arial" w:cs="Arial"/>
          <w:i/>
          <w:iCs/>
          <w:color w:val="000000"/>
          <w:sz w:val="22"/>
          <w:szCs w:val="22"/>
        </w:rPr>
        <w:t>“R</w:t>
      </w:r>
      <w:r w:rsidRPr="00FB7B51">
        <w:rPr>
          <w:rFonts w:ascii="Arial" w:hAnsi="Arial" w:cs="Arial"/>
          <w:i/>
          <w:iCs/>
          <w:color w:val="000000"/>
          <w:sz w:val="22"/>
          <w:szCs w:val="22"/>
        </w:rPr>
        <w:t>ecaudo básico”</w:t>
      </w:r>
      <w:r w:rsidRPr="00A0134B">
        <w:rPr>
          <w:rFonts w:ascii="Arial" w:hAnsi="Arial" w:cs="Arial"/>
          <w:color w:val="000000"/>
          <w:sz w:val="22"/>
          <w:szCs w:val="22"/>
        </w:rPr>
        <w:t xml:space="preserve"> registra en el débito la </w:t>
      </w:r>
      <w:r w:rsidR="0049574E" w:rsidRPr="00A0134B">
        <w:rPr>
          <w:rFonts w:ascii="Arial" w:hAnsi="Arial" w:cs="Arial"/>
          <w:color w:val="000000"/>
          <w:sz w:val="22"/>
          <w:szCs w:val="22"/>
        </w:rPr>
        <w:t>240720</w:t>
      </w:r>
      <w:r w:rsidRPr="00A0134B">
        <w:rPr>
          <w:rFonts w:ascii="Arial" w:hAnsi="Arial" w:cs="Arial"/>
          <w:color w:val="000000"/>
          <w:sz w:val="22"/>
          <w:szCs w:val="22"/>
        </w:rPr>
        <w:t>-</w:t>
      </w:r>
      <w:r w:rsidR="0049574E" w:rsidRPr="00A0134B">
        <w:rPr>
          <w:rFonts w:ascii="Arial" w:hAnsi="Arial" w:cs="Arial"/>
          <w:color w:val="000000"/>
          <w:sz w:val="22"/>
          <w:szCs w:val="22"/>
        </w:rPr>
        <w:t xml:space="preserve"> R</w:t>
      </w:r>
      <w:r w:rsidRPr="00A0134B">
        <w:rPr>
          <w:rFonts w:ascii="Arial" w:hAnsi="Arial" w:cs="Arial"/>
          <w:color w:val="000000"/>
          <w:sz w:val="22"/>
          <w:szCs w:val="22"/>
        </w:rPr>
        <w:t>ecaudos por clasificar y acredita la subcuenta que identifica el derecho del grupo 1</w:t>
      </w:r>
      <w:r w:rsidR="0049574E" w:rsidRPr="00A0134B">
        <w:rPr>
          <w:rFonts w:ascii="Arial" w:hAnsi="Arial" w:cs="Arial"/>
          <w:color w:val="000000"/>
          <w:sz w:val="22"/>
          <w:szCs w:val="22"/>
        </w:rPr>
        <w:t>3</w:t>
      </w:r>
      <w:r w:rsidRPr="00A0134B">
        <w:rPr>
          <w:rFonts w:ascii="Arial" w:hAnsi="Arial" w:cs="Arial"/>
          <w:color w:val="000000"/>
          <w:sz w:val="22"/>
          <w:szCs w:val="22"/>
        </w:rPr>
        <w:t>-</w:t>
      </w:r>
      <w:r w:rsidR="0049574E" w:rsidRPr="00A0134B">
        <w:rPr>
          <w:rFonts w:ascii="Arial" w:hAnsi="Arial" w:cs="Arial"/>
          <w:color w:val="000000"/>
          <w:sz w:val="22"/>
          <w:szCs w:val="22"/>
        </w:rPr>
        <w:t xml:space="preserve"> Cuentas por cobrar</w:t>
      </w:r>
      <w:r w:rsidRPr="00A0134B">
        <w:rPr>
          <w:rFonts w:ascii="Arial" w:hAnsi="Arial" w:cs="Arial"/>
          <w:color w:val="000000"/>
          <w:sz w:val="22"/>
          <w:szCs w:val="22"/>
        </w:rPr>
        <w:t>.</w:t>
      </w:r>
    </w:p>
    <w:p w14:paraId="60E47F9C"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p>
    <w:p w14:paraId="390077BD"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registro contable del pago de las obligaciones de la ECP, se efectúan con el </w:t>
      </w:r>
      <w:r w:rsidRPr="00FB7B51">
        <w:rPr>
          <w:rFonts w:ascii="Arial" w:hAnsi="Arial" w:cs="Arial"/>
          <w:i/>
          <w:iCs/>
          <w:color w:val="000000"/>
          <w:sz w:val="22"/>
          <w:szCs w:val="22"/>
        </w:rPr>
        <w:t>“tipo de título”</w:t>
      </w:r>
      <w:r w:rsidRPr="00A0134B">
        <w:rPr>
          <w:rFonts w:ascii="Arial" w:hAnsi="Arial" w:cs="Arial"/>
          <w:color w:val="000000"/>
          <w:sz w:val="22"/>
          <w:szCs w:val="22"/>
        </w:rPr>
        <w:t xml:space="preserve"> encargo fiduciario debitando la subcuenta que identifique el pasivo que se cancela y acreditando la subcuenta </w:t>
      </w:r>
      <w:r w:rsidR="0049574E" w:rsidRPr="00A0134B">
        <w:rPr>
          <w:rFonts w:ascii="Arial" w:hAnsi="Arial" w:cs="Arial"/>
          <w:color w:val="000000"/>
          <w:sz w:val="22"/>
          <w:szCs w:val="22"/>
        </w:rPr>
        <w:t>190803</w:t>
      </w:r>
      <w:r w:rsidRPr="00A0134B">
        <w:rPr>
          <w:rFonts w:ascii="Arial" w:hAnsi="Arial" w:cs="Arial"/>
          <w:color w:val="000000"/>
          <w:sz w:val="22"/>
          <w:szCs w:val="22"/>
        </w:rPr>
        <w:t>-</w:t>
      </w:r>
      <w:r w:rsidR="0049574E" w:rsidRPr="00A0134B">
        <w:rPr>
          <w:rFonts w:ascii="Arial" w:hAnsi="Arial" w:cs="Arial"/>
          <w:color w:val="000000"/>
          <w:sz w:val="22"/>
          <w:szCs w:val="22"/>
        </w:rPr>
        <w:t xml:space="preserve"> E</w:t>
      </w:r>
      <w:r w:rsidRPr="00A0134B">
        <w:rPr>
          <w:rFonts w:ascii="Arial" w:hAnsi="Arial" w:cs="Arial"/>
          <w:color w:val="000000"/>
          <w:sz w:val="22"/>
          <w:szCs w:val="22"/>
        </w:rPr>
        <w:t xml:space="preserve">ncargo fiduciario- </w:t>
      </w:r>
      <w:r w:rsidR="0049574E" w:rsidRPr="00A0134B">
        <w:rPr>
          <w:rFonts w:ascii="Arial" w:hAnsi="Arial" w:cs="Arial"/>
          <w:color w:val="000000"/>
          <w:sz w:val="22"/>
          <w:szCs w:val="22"/>
        </w:rPr>
        <w:t>F</w:t>
      </w:r>
      <w:r w:rsidRPr="00A0134B">
        <w:rPr>
          <w:rFonts w:ascii="Arial" w:hAnsi="Arial" w:cs="Arial"/>
          <w:color w:val="000000"/>
          <w:sz w:val="22"/>
          <w:szCs w:val="22"/>
        </w:rPr>
        <w:t>iducia en administración.</w:t>
      </w:r>
    </w:p>
    <w:p w14:paraId="61FE4EFF"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74297575"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lastRenderedPageBreak/>
        <w:t xml:space="preserve">Fiducia mercantil-constitución de patrimonios autónomos: </w:t>
      </w:r>
      <w:r w:rsidRPr="00A0134B">
        <w:rPr>
          <w:rFonts w:ascii="Arial" w:hAnsi="Arial" w:cs="Arial"/>
          <w:color w:val="000000"/>
          <w:sz w:val="22"/>
          <w:szCs w:val="22"/>
        </w:rPr>
        <w:t>La fiducia mercantil implica la constitución de un patrimonio autónomo al que se le transfiere la propiedad de los bienes destinados a cumplir la finalidad del negocio fiduciario, por lo que debe mantenerse separado contablemente de los bienes propios del fiduciario y de los pertenecientes a otros fideicomisos.</w:t>
      </w:r>
    </w:p>
    <w:p w14:paraId="758C0E20"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1906CEF3"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fiducia mercantil se registra</w:t>
      </w:r>
      <w:r w:rsidR="0049574E" w:rsidRPr="00A0134B">
        <w:rPr>
          <w:rFonts w:ascii="Arial" w:hAnsi="Arial" w:cs="Arial"/>
          <w:color w:val="000000"/>
          <w:sz w:val="22"/>
          <w:szCs w:val="22"/>
        </w:rPr>
        <w:t xml:space="preserve"> debitando la subcuenta 192603- F</w:t>
      </w:r>
      <w:r w:rsidRPr="00A0134B">
        <w:rPr>
          <w:rFonts w:ascii="Arial" w:hAnsi="Arial" w:cs="Arial"/>
          <w:color w:val="000000"/>
          <w:sz w:val="22"/>
          <w:szCs w:val="22"/>
        </w:rPr>
        <w:t>iducia mercantil-</w:t>
      </w:r>
      <w:r w:rsidR="0049574E" w:rsidRPr="00A0134B">
        <w:rPr>
          <w:rFonts w:ascii="Arial" w:hAnsi="Arial" w:cs="Arial"/>
          <w:color w:val="000000"/>
          <w:sz w:val="22"/>
          <w:szCs w:val="22"/>
        </w:rPr>
        <w:t>C</w:t>
      </w:r>
      <w:r w:rsidRPr="00A0134B">
        <w:rPr>
          <w:rFonts w:ascii="Arial" w:hAnsi="Arial" w:cs="Arial"/>
          <w:color w:val="000000"/>
          <w:sz w:val="22"/>
          <w:szCs w:val="22"/>
        </w:rPr>
        <w:t xml:space="preserve">onstitución de patrimonio autónomo y acreditando </w:t>
      </w:r>
      <w:r w:rsidR="0049574E" w:rsidRPr="00A0134B">
        <w:rPr>
          <w:rFonts w:ascii="Arial" w:hAnsi="Arial" w:cs="Arial"/>
          <w:color w:val="000000"/>
          <w:sz w:val="22"/>
          <w:szCs w:val="22"/>
        </w:rPr>
        <w:t>las subcuentas</w:t>
      </w:r>
      <w:r w:rsidRPr="00A0134B">
        <w:rPr>
          <w:rFonts w:ascii="Arial" w:hAnsi="Arial" w:cs="Arial"/>
          <w:color w:val="000000"/>
          <w:sz w:val="22"/>
          <w:szCs w:val="22"/>
        </w:rPr>
        <w:t xml:space="preserve"> de la cuenta 1110-depósitos en instituciones financieras o 4705-fondos recibidos, dependiendo, si es o no, </w:t>
      </w:r>
      <w:r w:rsidRPr="00FB7B51">
        <w:rPr>
          <w:rFonts w:ascii="Arial" w:hAnsi="Arial" w:cs="Arial"/>
          <w:i/>
          <w:iCs/>
          <w:color w:val="000000"/>
          <w:sz w:val="22"/>
          <w:szCs w:val="22"/>
        </w:rPr>
        <w:t>“misma ECP”</w:t>
      </w:r>
      <w:r w:rsidRPr="00A0134B">
        <w:rPr>
          <w:rFonts w:ascii="Arial" w:hAnsi="Arial" w:cs="Arial"/>
          <w:color w:val="000000"/>
          <w:sz w:val="22"/>
          <w:szCs w:val="22"/>
        </w:rPr>
        <w:t xml:space="preserve">. La ejecución correspondiente al giro de los recursos se realiza con el </w:t>
      </w:r>
      <w:r w:rsidRPr="00FB7B51">
        <w:rPr>
          <w:rFonts w:ascii="Arial" w:hAnsi="Arial" w:cs="Arial"/>
          <w:i/>
          <w:iCs/>
          <w:color w:val="000000"/>
          <w:sz w:val="22"/>
          <w:szCs w:val="22"/>
        </w:rPr>
        <w:t>“atributo contable”</w:t>
      </w:r>
      <w:r w:rsidRPr="00A0134B">
        <w:rPr>
          <w:rFonts w:ascii="Arial" w:hAnsi="Arial" w:cs="Arial"/>
          <w:color w:val="000000"/>
          <w:sz w:val="22"/>
          <w:szCs w:val="22"/>
        </w:rPr>
        <w:t xml:space="preserve"> fideicomiso - TCON09- y procede la legalización de los recursos de conformidad con el procedimiento de legalización.</w:t>
      </w:r>
    </w:p>
    <w:p w14:paraId="353DF45A"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24D403C1"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En los casos en que proceda la </w:t>
      </w:r>
      <w:r w:rsidR="0049574E" w:rsidRPr="00A0134B">
        <w:rPr>
          <w:rFonts w:ascii="Arial" w:hAnsi="Arial" w:cs="Arial"/>
          <w:color w:val="000000"/>
          <w:sz w:val="22"/>
          <w:szCs w:val="22"/>
        </w:rPr>
        <w:t>F</w:t>
      </w:r>
      <w:r w:rsidRPr="00A0134B">
        <w:rPr>
          <w:rFonts w:ascii="Arial" w:hAnsi="Arial" w:cs="Arial"/>
          <w:color w:val="000000"/>
          <w:sz w:val="22"/>
          <w:szCs w:val="22"/>
        </w:rPr>
        <w:t xml:space="preserve">iducia mercantil - </w:t>
      </w:r>
      <w:r w:rsidR="0049574E" w:rsidRPr="00A0134B">
        <w:rPr>
          <w:rFonts w:ascii="Arial" w:hAnsi="Arial" w:cs="Arial"/>
          <w:color w:val="000000"/>
          <w:sz w:val="22"/>
          <w:szCs w:val="22"/>
        </w:rPr>
        <w:t>C</w:t>
      </w:r>
      <w:r w:rsidRPr="00A0134B">
        <w:rPr>
          <w:rFonts w:ascii="Arial" w:hAnsi="Arial" w:cs="Arial"/>
          <w:color w:val="000000"/>
          <w:sz w:val="22"/>
          <w:szCs w:val="22"/>
        </w:rPr>
        <w:t>onstitución de patrimonios autónomos teniendo como objeto el recaudo de derechos y el pago de obligaciones, proceden</w:t>
      </w:r>
      <w:r w:rsidR="0049574E" w:rsidRPr="00A0134B">
        <w:rPr>
          <w:rFonts w:ascii="Arial" w:hAnsi="Arial" w:cs="Arial"/>
          <w:color w:val="000000"/>
          <w:sz w:val="22"/>
          <w:szCs w:val="22"/>
        </w:rPr>
        <w:t xml:space="preserve"> los registros señalados en el E</w:t>
      </w:r>
      <w:r w:rsidRPr="00A0134B">
        <w:rPr>
          <w:rFonts w:ascii="Arial" w:hAnsi="Arial" w:cs="Arial"/>
          <w:color w:val="000000"/>
          <w:sz w:val="22"/>
          <w:szCs w:val="22"/>
        </w:rPr>
        <w:t>ncargo fiduciario</w:t>
      </w:r>
      <w:r w:rsidR="0049574E" w:rsidRPr="00A0134B">
        <w:rPr>
          <w:rFonts w:ascii="Arial" w:hAnsi="Arial" w:cs="Arial"/>
          <w:color w:val="000000"/>
          <w:sz w:val="22"/>
          <w:szCs w:val="22"/>
        </w:rPr>
        <w:t xml:space="preserve"> </w:t>
      </w:r>
      <w:r w:rsidRPr="00A0134B">
        <w:rPr>
          <w:rFonts w:ascii="Arial" w:hAnsi="Arial" w:cs="Arial"/>
          <w:color w:val="000000"/>
          <w:sz w:val="22"/>
          <w:szCs w:val="22"/>
        </w:rPr>
        <w:t>-</w:t>
      </w:r>
      <w:r w:rsidR="0049574E" w:rsidRPr="00A0134B">
        <w:rPr>
          <w:rFonts w:ascii="Arial" w:hAnsi="Arial" w:cs="Arial"/>
          <w:color w:val="000000"/>
          <w:sz w:val="22"/>
          <w:szCs w:val="22"/>
        </w:rPr>
        <w:t xml:space="preserve"> F</w:t>
      </w:r>
      <w:r w:rsidRPr="00A0134B">
        <w:rPr>
          <w:rFonts w:ascii="Arial" w:hAnsi="Arial" w:cs="Arial"/>
          <w:color w:val="000000"/>
          <w:sz w:val="22"/>
          <w:szCs w:val="22"/>
        </w:rPr>
        <w:t>iducia en administración, afectando la subcuenta 192603-</w:t>
      </w:r>
      <w:r w:rsidR="0049574E" w:rsidRPr="00A0134B">
        <w:rPr>
          <w:rFonts w:ascii="Arial" w:hAnsi="Arial" w:cs="Arial"/>
          <w:color w:val="000000"/>
          <w:sz w:val="22"/>
          <w:szCs w:val="22"/>
        </w:rPr>
        <w:t>Fiducia mercantil</w:t>
      </w:r>
      <w:r w:rsidRPr="00A0134B">
        <w:rPr>
          <w:rFonts w:ascii="Arial" w:hAnsi="Arial" w:cs="Arial"/>
          <w:color w:val="000000"/>
          <w:sz w:val="22"/>
          <w:szCs w:val="22"/>
        </w:rPr>
        <w:t>-</w:t>
      </w:r>
      <w:r w:rsidR="0049574E" w:rsidRPr="00A0134B">
        <w:rPr>
          <w:rFonts w:ascii="Arial" w:hAnsi="Arial" w:cs="Arial"/>
          <w:color w:val="000000"/>
          <w:sz w:val="22"/>
          <w:szCs w:val="22"/>
        </w:rPr>
        <w:t>C</w:t>
      </w:r>
      <w:r w:rsidRPr="00A0134B">
        <w:rPr>
          <w:rFonts w:ascii="Arial" w:hAnsi="Arial" w:cs="Arial"/>
          <w:color w:val="000000"/>
          <w:sz w:val="22"/>
          <w:szCs w:val="22"/>
        </w:rPr>
        <w:t>onstitución de patrimonios autónomos.</w:t>
      </w:r>
    </w:p>
    <w:p w14:paraId="74A0BB88"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554747FE"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t>Recursos entregados - en administración:</w:t>
      </w:r>
      <w:r w:rsidRPr="00A0134B">
        <w:rPr>
          <w:rFonts w:ascii="Arial" w:hAnsi="Arial" w:cs="Arial"/>
          <w:color w:val="000000"/>
          <w:sz w:val="22"/>
          <w:szCs w:val="22"/>
        </w:rPr>
        <w:t xml:space="preserve"> Corresponden a los recursos a favor de la entidad originados en los contratos para la administración de recursos bajo diversas modalidades, celebrados con entidades distintas de las sociedades fiduciarias.</w:t>
      </w:r>
    </w:p>
    <w:p w14:paraId="2AA1B138"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181871EF"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Se registran debitando la subcuenta </w:t>
      </w:r>
      <w:r w:rsidR="00E22555" w:rsidRPr="00A0134B">
        <w:rPr>
          <w:rFonts w:ascii="Arial" w:hAnsi="Arial" w:cs="Arial"/>
          <w:color w:val="000000"/>
          <w:sz w:val="22"/>
          <w:szCs w:val="22"/>
        </w:rPr>
        <w:t>190801</w:t>
      </w:r>
      <w:r w:rsidRPr="00A0134B">
        <w:rPr>
          <w:rFonts w:ascii="Arial" w:hAnsi="Arial" w:cs="Arial"/>
          <w:color w:val="000000"/>
          <w:sz w:val="22"/>
          <w:szCs w:val="22"/>
        </w:rPr>
        <w:t>-</w:t>
      </w:r>
      <w:r w:rsidR="00E22555" w:rsidRPr="00A0134B">
        <w:rPr>
          <w:rFonts w:ascii="Arial" w:hAnsi="Arial" w:cs="Arial"/>
          <w:color w:val="000000"/>
          <w:sz w:val="22"/>
          <w:szCs w:val="22"/>
        </w:rPr>
        <w:t>E</w:t>
      </w:r>
      <w:r w:rsidRPr="00A0134B">
        <w:rPr>
          <w:rFonts w:ascii="Arial" w:hAnsi="Arial" w:cs="Arial"/>
          <w:color w:val="000000"/>
          <w:sz w:val="22"/>
          <w:szCs w:val="22"/>
        </w:rPr>
        <w:t>n administración y acreditando la</w:t>
      </w:r>
      <w:r w:rsidR="00E22555" w:rsidRPr="00A0134B">
        <w:rPr>
          <w:rFonts w:ascii="Arial" w:hAnsi="Arial" w:cs="Arial"/>
          <w:color w:val="000000"/>
          <w:sz w:val="22"/>
          <w:szCs w:val="22"/>
        </w:rPr>
        <w:t>s</w:t>
      </w:r>
      <w:r w:rsidRPr="00A0134B">
        <w:rPr>
          <w:rFonts w:ascii="Arial" w:hAnsi="Arial" w:cs="Arial"/>
          <w:color w:val="000000"/>
          <w:sz w:val="22"/>
          <w:szCs w:val="22"/>
        </w:rPr>
        <w:t xml:space="preserve"> subcuentas de la cuenta 1110-depósitos en instituciones financieras o 4705-fondos recibidos, dependiendo, si es o no, </w:t>
      </w:r>
      <w:r w:rsidRPr="00FB7B51">
        <w:rPr>
          <w:rFonts w:ascii="Arial" w:hAnsi="Arial" w:cs="Arial"/>
          <w:i/>
          <w:iCs/>
          <w:color w:val="000000"/>
          <w:sz w:val="22"/>
          <w:szCs w:val="22"/>
        </w:rPr>
        <w:t>“misma ECP”</w:t>
      </w:r>
      <w:r w:rsidRPr="00A0134B">
        <w:rPr>
          <w:rFonts w:ascii="Arial" w:hAnsi="Arial" w:cs="Arial"/>
          <w:color w:val="000000"/>
          <w:sz w:val="22"/>
          <w:szCs w:val="22"/>
        </w:rPr>
        <w:t xml:space="preserve">. La ejecución correspondiente al giro de los recursos se realiza con el </w:t>
      </w:r>
      <w:r w:rsidRPr="00FB7B51">
        <w:rPr>
          <w:rFonts w:ascii="Arial" w:hAnsi="Arial" w:cs="Arial"/>
          <w:i/>
          <w:iCs/>
          <w:color w:val="000000"/>
          <w:sz w:val="22"/>
          <w:szCs w:val="22"/>
        </w:rPr>
        <w:t xml:space="preserve">“atributo contable” </w:t>
      </w:r>
      <w:r w:rsidRPr="00A0134B">
        <w:rPr>
          <w:rFonts w:ascii="Arial" w:hAnsi="Arial" w:cs="Arial"/>
          <w:color w:val="000000"/>
          <w:sz w:val="22"/>
          <w:szCs w:val="22"/>
        </w:rPr>
        <w:t>fondos administrados - TCON09- y procede la legalización de los recursos de conformidad con el procedimiento de legalización.</w:t>
      </w:r>
    </w:p>
    <w:p w14:paraId="7CD7A753"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783B229F"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En el caso en que procedan los recursos entregados en administración, teniendo como objeto el recaudo de derechos y el pago de obligaciones, proceden los registros señalados en el </w:t>
      </w:r>
      <w:r w:rsidR="00E22555" w:rsidRPr="00A0134B">
        <w:rPr>
          <w:rFonts w:ascii="Arial" w:hAnsi="Arial" w:cs="Arial"/>
          <w:color w:val="000000"/>
          <w:sz w:val="22"/>
          <w:szCs w:val="22"/>
        </w:rPr>
        <w:t>E</w:t>
      </w:r>
      <w:r w:rsidRPr="00A0134B">
        <w:rPr>
          <w:rFonts w:ascii="Arial" w:hAnsi="Arial" w:cs="Arial"/>
          <w:color w:val="000000"/>
          <w:sz w:val="22"/>
          <w:szCs w:val="22"/>
        </w:rPr>
        <w:t>ncargo fiduciario-</w:t>
      </w:r>
      <w:r w:rsidR="00E22555" w:rsidRPr="00A0134B">
        <w:rPr>
          <w:rFonts w:ascii="Arial" w:hAnsi="Arial" w:cs="Arial"/>
          <w:color w:val="000000"/>
          <w:sz w:val="22"/>
          <w:szCs w:val="22"/>
        </w:rPr>
        <w:t>F</w:t>
      </w:r>
      <w:r w:rsidRPr="00A0134B">
        <w:rPr>
          <w:rFonts w:ascii="Arial" w:hAnsi="Arial" w:cs="Arial"/>
          <w:color w:val="000000"/>
          <w:sz w:val="22"/>
          <w:szCs w:val="22"/>
        </w:rPr>
        <w:t xml:space="preserve">iducia en administración, afectando la subcuenta </w:t>
      </w:r>
      <w:r w:rsidR="00E22555" w:rsidRPr="00A0134B">
        <w:rPr>
          <w:rFonts w:ascii="Arial" w:hAnsi="Arial" w:cs="Arial"/>
          <w:color w:val="000000"/>
          <w:sz w:val="22"/>
          <w:szCs w:val="22"/>
        </w:rPr>
        <w:t>190801</w:t>
      </w:r>
      <w:r w:rsidRPr="00A0134B">
        <w:rPr>
          <w:rFonts w:ascii="Arial" w:hAnsi="Arial" w:cs="Arial"/>
          <w:color w:val="000000"/>
          <w:sz w:val="22"/>
          <w:szCs w:val="22"/>
        </w:rPr>
        <w:t>-</w:t>
      </w:r>
      <w:r w:rsidR="00E22555" w:rsidRPr="00A0134B">
        <w:rPr>
          <w:rFonts w:ascii="Arial" w:hAnsi="Arial" w:cs="Arial"/>
          <w:color w:val="000000"/>
          <w:sz w:val="22"/>
          <w:szCs w:val="22"/>
        </w:rPr>
        <w:t xml:space="preserve"> E</w:t>
      </w:r>
      <w:r w:rsidRPr="00A0134B">
        <w:rPr>
          <w:rFonts w:ascii="Arial" w:hAnsi="Arial" w:cs="Arial"/>
          <w:color w:val="000000"/>
          <w:sz w:val="22"/>
          <w:szCs w:val="22"/>
        </w:rPr>
        <w:t>n administración.</w:t>
      </w:r>
    </w:p>
    <w:p w14:paraId="0FAC1730" w14:textId="77777777" w:rsidR="007E0ED1" w:rsidRPr="00A0134B" w:rsidRDefault="007E0ED1" w:rsidP="00EF3D59">
      <w:pPr>
        <w:pStyle w:val="Ttulo2"/>
        <w:spacing w:line="288" w:lineRule="auto"/>
        <w:rPr>
          <w:rFonts w:ascii="Arial" w:hAnsi="Arial" w:cs="Arial"/>
          <w:color w:val="000000"/>
          <w:sz w:val="22"/>
          <w:szCs w:val="22"/>
        </w:rPr>
      </w:pPr>
    </w:p>
    <w:p w14:paraId="580255CB" w14:textId="77777777" w:rsidR="00772952" w:rsidRDefault="00772952" w:rsidP="00343ECE">
      <w:pPr>
        <w:pStyle w:val="Ttulo3"/>
        <w:numPr>
          <w:ilvl w:val="2"/>
          <w:numId w:val="15"/>
        </w:numPr>
        <w:spacing w:line="288" w:lineRule="auto"/>
        <w:rPr>
          <w:rFonts w:ascii="Arial" w:hAnsi="Arial" w:cs="Arial"/>
          <w:b/>
          <w:color w:val="000000"/>
          <w:sz w:val="22"/>
          <w:szCs w:val="22"/>
        </w:rPr>
      </w:pPr>
      <w:bookmarkStart w:id="152" w:name="_Toc59377837"/>
      <w:r w:rsidRPr="00A0134B">
        <w:rPr>
          <w:rFonts w:ascii="Arial" w:hAnsi="Arial" w:cs="Arial"/>
          <w:b/>
          <w:color w:val="000000"/>
          <w:sz w:val="22"/>
          <w:szCs w:val="22"/>
        </w:rPr>
        <w:t>Operaciones automáticas generadas en la ejecución de ingresos, ING.</w:t>
      </w:r>
      <w:bookmarkEnd w:id="152"/>
    </w:p>
    <w:p w14:paraId="6CA21FEA" w14:textId="77777777" w:rsidR="00852A89" w:rsidRPr="00852A89" w:rsidRDefault="00852A89" w:rsidP="00EF3D59">
      <w:pPr>
        <w:spacing w:line="288" w:lineRule="auto"/>
        <w:ind w:left="720"/>
      </w:pPr>
    </w:p>
    <w:p w14:paraId="22AF45AD"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Este macroproceso permite registrar las siguientes transacciones con impacto contable: acto administrativo, causación básica, acreedor, causación y recaudo, recaudo anticipado y modificar vigencia.</w:t>
      </w:r>
    </w:p>
    <w:p w14:paraId="3910C674" w14:textId="77777777" w:rsidR="007E0ED1" w:rsidRPr="00A0134B" w:rsidRDefault="007E0ED1" w:rsidP="00EF3D59">
      <w:pPr>
        <w:pStyle w:val="unico"/>
        <w:spacing w:before="0" w:beforeAutospacing="0" w:after="0" w:afterAutospacing="0" w:line="288" w:lineRule="auto"/>
        <w:jc w:val="both"/>
        <w:rPr>
          <w:rFonts w:ascii="Arial" w:hAnsi="Arial" w:cs="Arial"/>
          <w:color w:val="000000"/>
          <w:sz w:val="22"/>
          <w:szCs w:val="22"/>
        </w:rPr>
      </w:pPr>
    </w:p>
    <w:p w14:paraId="539A2A5A"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b/>
          <w:color w:val="000000"/>
          <w:sz w:val="22"/>
          <w:szCs w:val="22"/>
        </w:rPr>
        <w:lastRenderedPageBreak/>
        <w:t>Acto administrativo:</w:t>
      </w:r>
      <w:r w:rsidRPr="00A0134B">
        <w:rPr>
          <w:rFonts w:ascii="Arial" w:hAnsi="Arial" w:cs="Arial"/>
          <w:color w:val="000000"/>
          <w:sz w:val="22"/>
          <w:szCs w:val="22"/>
        </w:rPr>
        <w:t xml:space="preserve"> los hechos económicos que representan procesos administrativos son registrados en el sistema y, una vez queden en firme, se convierten en un derecho cierto a favor de la ECP, para lo cual el sistema dispone una lista de documentos seleccionados por el usuario. Por ejemplo: una resolución mediante la cual se impone una multa a un tercero, sujeto a discusión y/o apelación.</w:t>
      </w:r>
    </w:p>
    <w:p w14:paraId="7B2E786C" w14:textId="77777777" w:rsidR="00023705" w:rsidRDefault="00023705" w:rsidP="00EF3D59">
      <w:pPr>
        <w:pStyle w:val="unico"/>
        <w:spacing w:before="0" w:beforeAutospacing="0" w:after="0" w:afterAutospacing="0" w:line="288" w:lineRule="auto"/>
        <w:jc w:val="both"/>
        <w:rPr>
          <w:rFonts w:ascii="Arial" w:hAnsi="Arial" w:cs="Arial"/>
          <w:color w:val="000000"/>
          <w:sz w:val="22"/>
          <w:szCs w:val="22"/>
        </w:rPr>
      </w:pPr>
    </w:p>
    <w:p w14:paraId="5C57B335" w14:textId="6AB9F665"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Teniendo en cuenta que estos actos administrativos no están en firme, la contingencia del derecho se registra en cuentas de orden deudoras para cada una de las siguientes transacciones: crear, modificar, anular.</w:t>
      </w:r>
    </w:p>
    <w:p w14:paraId="2B82E367" w14:textId="77777777" w:rsidR="006D62DA" w:rsidRPr="00A0134B" w:rsidRDefault="006D62DA" w:rsidP="00EF3D59">
      <w:pPr>
        <w:pStyle w:val="unico"/>
        <w:spacing w:before="0" w:beforeAutospacing="0" w:after="0" w:afterAutospacing="0" w:line="288" w:lineRule="auto"/>
        <w:jc w:val="both"/>
        <w:rPr>
          <w:rFonts w:ascii="Arial" w:hAnsi="Arial" w:cs="Arial"/>
          <w:color w:val="000000"/>
          <w:sz w:val="22"/>
          <w:szCs w:val="22"/>
        </w:rPr>
      </w:pPr>
    </w:p>
    <w:p w14:paraId="575AB684" w14:textId="77777777" w:rsidR="00772952" w:rsidRPr="00A0134B" w:rsidRDefault="00772952"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Una vez quede en firme, se constituye el derecho con la transacción de causar ingresos a partir de actos administrativos, generando dos (2) registros contables, uno por la </w:t>
      </w:r>
      <w:proofErr w:type="spellStart"/>
      <w:r w:rsidRPr="00A0134B">
        <w:rPr>
          <w:rFonts w:ascii="Arial" w:hAnsi="Arial" w:cs="Arial"/>
          <w:color w:val="000000"/>
          <w:sz w:val="22"/>
          <w:szCs w:val="22"/>
        </w:rPr>
        <w:t>causación</w:t>
      </w:r>
      <w:proofErr w:type="spellEnd"/>
      <w:r w:rsidRPr="00A0134B">
        <w:rPr>
          <w:rFonts w:ascii="Arial" w:hAnsi="Arial" w:cs="Arial"/>
          <w:color w:val="000000"/>
          <w:sz w:val="22"/>
          <w:szCs w:val="22"/>
        </w:rPr>
        <w:t xml:space="preserve"> del ingreso debitando el deudor y acreditando el ingreso respectivo, y otro por la disminución de las cuentas de orden deudoras constituidas con el acto administrativo.</w:t>
      </w:r>
    </w:p>
    <w:p w14:paraId="4E18C676"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278274E9"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modificación de un acto administrativo, bien sea por valor o por ítems de afectación de ingresos, genera dos registros contables: el primero contabiliza el nuevo documento de acto administrativo y el segundo reversa el registro del documento que ha sido objeto de modificación.</w:t>
      </w:r>
    </w:p>
    <w:p w14:paraId="52CBD287"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7058749C"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Con la anulación del acto administrativo, el sistema genera un comprobante contable, que reversa el registro original, siempre que no esté en firme.</w:t>
      </w:r>
    </w:p>
    <w:p w14:paraId="0C7E7046"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69A5DA9C"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saneamiento permite reemplazar o corregir los datos administrativos que soportan el registro, sin efecto en la contabilidad.</w:t>
      </w:r>
    </w:p>
    <w:p w14:paraId="1AC080D2" w14:textId="77777777" w:rsidR="00EA42B9" w:rsidRPr="00A0134B" w:rsidRDefault="00EA42B9" w:rsidP="00EF3D59">
      <w:pPr>
        <w:pStyle w:val="unico"/>
        <w:spacing w:before="0" w:beforeAutospacing="0" w:after="0" w:afterAutospacing="0" w:line="288" w:lineRule="auto"/>
        <w:jc w:val="both"/>
        <w:rPr>
          <w:rFonts w:ascii="Arial" w:hAnsi="Arial" w:cs="Arial"/>
          <w:b/>
          <w:color w:val="000000"/>
          <w:sz w:val="22"/>
          <w:szCs w:val="22"/>
        </w:rPr>
      </w:pPr>
    </w:p>
    <w:p w14:paraId="661AAC36" w14:textId="77777777" w:rsidR="00EA42B9" w:rsidRPr="00A0134B" w:rsidRDefault="00EA42B9" w:rsidP="00EF3D59">
      <w:pPr>
        <w:pStyle w:val="unico"/>
        <w:spacing w:before="0" w:beforeAutospacing="0" w:after="0" w:afterAutospacing="0" w:line="288" w:lineRule="auto"/>
        <w:jc w:val="both"/>
        <w:rPr>
          <w:rFonts w:ascii="Arial" w:hAnsi="Arial" w:cs="Arial"/>
          <w:b/>
          <w:color w:val="000000"/>
          <w:sz w:val="22"/>
          <w:szCs w:val="22"/>
        </w:rPr>
      </w:pPr>
      <w:r w:rsidRPr="00A0134B">
        <w:rPr>
          <w:rFonts w:ascii="Arial" w:hAnsi="Arial" w:cs="Arial"/>
          <w:b/>
          <w:color w:val="000000"/>
          <w:sz w:val="22"/>
          <w:szCs w:val="22"/>
        </w:rPr>
        <w:t>Causación básica en ingresos</w:t>
      </w:r>
    </w:p>
    <w:p w14:paraId="284D8F1A"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4277991C"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La </w:t>
      </w:r>
      <w:r w:rsidRPr="00A0134B">
        <w:rPr>
          <w:rFonts w:ascii="Arial" w:hAnsi="Arial" w:cs="Arial"/>
          <w:b/>
          <w:color w:val="000000"/>
          <w:sz w:val="22"/>
          <w:szCs w:val="22"/>
        </w:rPr>
        <w:t>causación básica</w:t>
      </w:r>
      <w:r w:rsidRPr="00A0134B">
        <w:rPr>
          <w:rFonts w:ascii="Arial" w:hAnsi="Arial" w:cs="Arial"/>
          <w:color w:val="000000"/>
          <w:sz w:val="22"/>
          <w:szCs w:val="22"/>
        </w:rPr>
        <w:t>: corresponde al reconocimiento de los ingresos en cumplimiento del principio de devengo o causación, con base en las normas que los imponen, las declaraciones tributarias, las liquidaciones de pago, o el desarrollo de actividades de comercialización de bienes y presentación de servicios.</w:t>
      </w:r>
    </w:p>
    <w:p w14:paraId="013997A6"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197B71EE" w14:textId="77777777" w:rsidR="00EA42B9" w:rsidRPr="00FB7B51" w:rsidRDefault="00EA42B9" w:rsidP="00EF3D59">
      <w:pPr>
        <w:pStyle w:val="unico"/>
        <w:spacing w:before="0" w:beforeAutospacing="0" w:after="0" w:afterAutospacing="0" w:line="288" w:lineRule="auto"/>
        <w:jc w:val="both"/>
        <w:rPr>
          <w:rFonts w:ascii="Arial" w:hAnsi="Arial" w:cs="Arial"/>
          <w:i/>
          <w:iCs/>
          <w:color w:val="000000"/>
          <w:sz w:val="22"/>
          <w:szCs w:val="22"/>
        </w:rPr>
      </w:pPr>
      <w:r w:rsidRPr="00A0134B">
        <w:rPr>
          <w:rFonts w:ascii="Arial" w:hAnsi="Arial" w:cs="Arial"/>
          <w:color w:val="000000"/>
          <w:sz w:val="22"/>
          <w:szCs w:val="22"/>
        </w:rPr>
        <w:t xml:space="preserve">Para construir el registro débito y crédito del asiento contable, se requieren como insumos el código y la denominación del rubro, el tipo de registro y la vigencia; de esta manera se deja disponible un documento de causación con los datos anteriores y el tercero, que permite su identificación en el recaudo con la carga de los extractos bancarios que generan el </w:t>
      </w:r>
      <w:r w:rsidRPr="00FB7B51">
        <w:rPr>
          <w:rFonts w:ascii="Arial" w:hAnsi="Arial" w:cs="Arial"/>
          <w:i/>
          <w:iCs/>
          <w:color w:val="000000"/>
          <w:sz w:val="22"/>
          <w:szCs w:val="22"/>
        </w:rPr>
        <w:t>“documento de recaudo por clasificar”.</w:t>
      </w:r>
    </w:p>
    <w:p w14:paraId="2FCE7AE6"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p>
    <w:p w14:paraId="1F4D9AD1" w14:textId="77777777" w:rsidR="00EA42B9" w:rsidRPr="00A0134B" w:rsidRDefault="00EA42B9" w:rsidP="00EF3D5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lastRenderedPageBreak/>
        <w:t>El efecto contable de la causación básica se registra en la tabla de eventos TCON10-causación de ingresos, así:</w:t>
      </w:r>
    </w:p>
    <w:p w14:paraId="7F390A2B" w14:textId="77777777" w:rsidR="00EA42B9" w:rsidRDefault="00EA42B9" w:rsidP="00A33E48">
      <w:pPr>
        <w:rPr>
          <w:rFonts w:ascii="Arial" w:hAnsi="Arial" w:cs="Arial"/>
          <w:sz w:val="22"/>
          <w:szCs w:val="22"/>
        </w:rPr>
      </w:pPr>
    </w:p>
    <w:tbl>
      <w:tblPr>
        <w:tblW w:w="8653" w:type="dxa"/>
        <w:tblInd w:w="80" w:type="dxa"/>
        <w:tblCellMar>
          <w:left w:w="70" w:type="dxa"/>
          <w:right w:w="70" w:type="dxa"/>
        </w:tblCellMar>
        <w:tblLook w:val="04A0" w:firstRow="1" w:lastRow="0" w:firstColumn="1" w:lastColumn="0" w:noHBand="0" w:noVBand="1"/>
      </w:tblPr>
      <w:tblGrid>
        <w:gridCol w:w="960"/>
        <w:gridCol w:w="836"/>
        <w:gridCol w:w="509"/>
        <w:gridCol w:w="997"/>
        <w:gridCol w:w="694"/>
        <w:gridCol w:w="651"/>
        <w:gridCol w:w="688"/>
        <w:gridCol w:w="1090"/>
        <w:gridCol w:w="706"/>
        <w:gridCol w:w="997"/>
        <w:gridCol w:w="525"/>
      </w:tblGrid>
      <w:tr w:rsidR="00093B82" w:rsidRPr="006E06E7" w14:paraId="0DBC1870" w14:textId="77777777" w:rsidTr="00093B82">
        <w:trPr>
          <w:trHeight w:val="360"/>
          <w:tblHeader/>
        </w:trPr>
        <w:tc>
          <w:tcPr>
            <w:tcW w:w="960"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A480BB2" w14:textId="77777777" w:rsidR="00093B82" w:rsidRPr="006E06E7" w:rsidRDefault="00093B82"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Tipo de Registro</w:t>
            </w:r>
          </w:p>
        </w:tc>
        <w:tc>
          <w:tcPr>
            <w:tcW w:w="83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8F57578" w14:textId="77777777" w:rsidR="00093B82" w:rsidRPr="006E06E7" w:rsidRDefault="00093B82"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Vigencia</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BA85337" w14:textId="77777777" w:rsidR="00093B82" w:rsidRPr="006E06E7" w:rsidRDefault="00D95115"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Código</w:t>
            </w:r>
            <w:r w:rsidR="00093B82" w:rsidRPr="006E06E7">
              <w:rPr>
                <w:rFonts w:ascii="Calibri" w:hAnsi="Calibri"/>
                <w:b/>
                <w:bCs/>
                <w:color w:val="FFFFFF"/>
                <w:sz w:val="12"/>
                <w:szCs w:val="12"/>
                <w:lang w:val="es-CO" w:eastAsia="es-CO"/>
              </w:rPr>
              <w:t xml:space="preserve"> Rubro de Ingreso</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538D178E" w14:textId="77777777" w:rsidR="00093B82" w:rsidRPr="006E06E7" w:rsidRDefault="00D95115"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Descripción</w:t>
            </w:r>
            <w:r w:rsidR="00093B82" w:rsidRPr="006E06E7">
              <w:rPr>
                <w:rFonts w:ascii="Calibri" w:hAnsi="Calibri"/>
                <w:b/>
                <w:bCs/>
                <w:color w:val="FFFFFF"/>
                <w:sz w:val="12"/>
                <w:szCs w:val="12"/>
                <w:lang w:val="es-CO" w:eastAsia="es-CO"/>
              </w:rPr>
              <w:t xml:space="preserve"> Rubro de Ingreso</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66CD93BA" w14:textId="77777777" w:rsidR="00093B82" w:rsidRPr="006E06E7" w:rsidRDefault="00093B82"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No Contabiliza</w:t>
            </w:r>
          </w:p>
        </w:tc>
        <w:tc>
          <w:tcPr>
            <w:tcW w:w="0" w:type="auto"/>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77A92B0C" w14:textId="77777777" w:rsidR="00093B82" w:rsidRPr="006E06E7" w:rsidRDefault="00093B82" w:rsidP="00B22B8B">
            <w:pPr>
              <w:jc w:val="center"/>
              <w:rPr>
                <w:rFonts w:ascii="Calibri" w:hAnsi="Calibri"/>
                <w:b/>
                <w:bCs/>
                <w:color w:val="FFFFFF"/>
                <w:sz w:val="12"/>
                <w:szCs w:val="12"/>
                <w:lang w:val="es-CO" w:eastAsia="es-CO"/>
              </w:rPr>
            </w:pPr>
            <w:proofErr w:type="spellStart"/>
            <w:r w:rsidRPr="006E06E7">
              <w:rPr>
                <w:rFonts w:ascii="Calibri" w:hAnsi="Calibri"/>
                <w:b/>
                <w:bCs/>
                <w:color w:val="FFFFFF"/>
                <w:sz w:val="12"/>
                <w:szCs w:val="12"/>
                <w:lang w:val="es-CO" w:eastAsia="es-CO"/>
              </w:rPr>
              <w:t>Dif</w:t>
            </w:r>
            <w:proofErr w:type="spellEnd"/>
            <w:r w:rsidRPr="006E06E7">
              <w:rPr>
                <w:rFonts w:ascii="Calibri" w:hAnsi="Calibri"/>
                <w:b/>
                <w:bCs/>
                <w:color w:val="FFFFFF"/>
                <w:sz w:val="12"/>
                <w:szCs w:val="12"/>
                <w:lang w:val="es-CO" w:eastAsia="es-CO"/>
              </w:rPr>
              <w:t xml:space="preserve"> Cambiario</w:t>
            </w:r>
          </w:p>
        </w:tc>
        <w:tc>
          <w:tcPr>
            <w:tcW w:w="688"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FE55B74" w14:textId="77777777" w:rsidR="00093B82" w:rsidRPr="006E06E7" w:rsidRDefault="00D95115"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Código</w:t>
            </w:r>
            <w:r w:rsidR="00093B82" w:rsidRPr="006E06E7">
              <w:rPr>
                <w:rFonts w:ascii="Calibri" w:hAnsi="Calibri"/>
                <w:b/>
                <w:bCs/>
                <w:color w:val="FFFFFF"/>
                <w:sz w:val="12"/>
                <w:szCs w:val="12"/>
                <w:lang w:val="es-CO" w:eastAsia="es-CO"/>
              </w:rPr>
              <w:t xml:space="preserve"> Contable Debe</w:t>
            </w:r>
          </w:p>
        </w:tc>
        <w:tc>
          <w:tcPr>
            <w:tcW w:w="1090"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0CF240CB" w14:textId="77777777" w:rsidR="00093B82" w:rsidRPr="006E06E7" w:rsidRDefault="00D95115" w:rsidP="00D95115">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Descripción</w:t>
            </w:r>
            <w:r w:rsidR="00093B82" w:rsidRPr="006E06E7">
              <w:rPr>
                <w:rFonts w:ascii="Calibri" w:hAnsi="Calibri"/>
                <w:b/>
                <w:bCs/>
                <w:color w:val="FFFFFF"/>
                <w:sz w:val="12"/>
                <w:szCs w:val="12"/>
                <w:lang w:val="es-CO" w:eastAsia="es-CO"/>
              </w:rPr>
              <w:t xml:space="preserve"> </w:t>
            </w:r>
            <w:r w:rsidRPr="006E06E7">
              <w:rPr>
                <w:rFonts w:ascii="Calibri" w:hAnsi="Calibri"/>
                <w:b/>
                <w:bCs/>
                <w:color w:val="FFFFFF"/>
                <w:sz w:val="12"/>
                <w:szCs w:val="12"/>
                <w:lang w:val="es-CO" w:eastAsia="es-CO"/>
              </w:rPr>
              <w:t>Código</w:t>
            </w:r>
            <w:r w:rsidR="00093B82" w:rsidRPr="006E06E7">
              <w:rPr>
                <w:rFonts w:ascii="Calibri" w:hAnsi="Calibri"/>
                <w:b/>
                <w:bCs/>
                <w:color w:val="FFFFFF"/>
                <w:sz w:val="12"/>
                <w:szCs w:val="12"/>
                <w:lang w:val="es-CO" w:eastAsia="es-CO"/>
              </w:rPr>
              <w:t xml:space="preserve"> Contable Debe</w:t>
            </w:r>
          </w:p>
        </w:tc>
        <w:tc>
          <w:tcPr>
            <w:tcW w:w="706"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44AC6272" w14:textId="77777777" w:rsidR="00093B82" w:rsidRPr="006E06E7" w:rsidRDefault="00D95115"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Código</w:t>
            </w:r>
            <w:r w:rsidR="00093B82" w:rsidRPr="006E06E7">
              <w:rPr>
                <w:rFonts w:ascii="Calibri" w:hAnsi="Calibri"/>
                <w:b/>
                <w:bCs/>
                <w:color w:val="FFFFFF"/>
                <w:sz w:val="12"/>
                <w:szCs w:val="12"/>
                <w:lang w:val="es-CO" w:eastAsia="es-CO"/>
              </w:rPr>
              <w:t xml:space="preserve"> Contable Haber</w:t>
            </w:r>
          </w:p>
        </w:tc>
        <w:tc>
          <w:tcPr>
            <w:tcW w:w="997"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244979D2" w14:textId="77777777" w:rsidR="00093B82" w:rsidRPr="006E06E7" w:rsidRDefault="00D95115"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Descripción</w:t>
            </w:r>
            <w:r w:rsidR="00093B82" w:rsidRPr="006E06E7">
              <w:rPr>
                <w:rFonts w:ascii="Calibri" w:hAnsi="Calibri"/>
                <w:b/>
                <w:bCs/>
                <w:color w:val="FFFFFF"/>
                <w:sz w:val="12"/>
                <w:szCs w:val="12"/>
                <w:lang w:val="es-CO" w:eastAsia="es-CO"/>
              </w:rPr>
              <w:t xml:space="preserve"> </w:t>
            </w:r>
            <w:r w:rsidRPr="006E06E7">
              <w:rPr>
                <w:rFonts w:ascii="Calibri" w:hAnsi="Calibri"/>
                <w:b/>
                <w:bCs/>
                <w:color w:val="FFFFFF"/>
                <w:sz w:val="12"/>
                <w:szCs w:val="12"/>
                <w:lang w:val="es-CO" w:eastAsia="es-CO"/>
              </w:rPr>
              <w:t>Código</w:t>
            </w:r>
            <w:r w:rsidR="00093B82" w:rsidRPr="006E06E7">
              <w:rPr>
                <w:rFonts w:ascii="Calibri" w:hAnsi="Calibri"/>
                <w:b/>
                <w:bCs/>
                <w:color w:val="FFFFFF"/>
                <w:sz w:val="12"/>
                <w:szCs w:val="12"/>
                <w:lang w:val="es-CO" w:eastAsia="es-CO"/>
              </w:rPr>
              <w:t xml:space="preserve"> Contable Haber</w:t>
            </w:r>
          </w:p>
        </w:tc>
        <w:tc>
          <w:tcPr>
            <w:tcW w:w="525" w:type="dxa"/>
            <w:tcBorders>
              <w:top w:val="single" w:sz="8" w:space="0" w:color="000000"/>
              <w:left w:val="single" w:sz="8" w:space="0" w:color="000000"/>
              <w:bottom w:val="single" w:sz="4" w:space="0" w:color="000000"/>
              <w:right w:val="single" w:sz="4" w:space="0" w:color="000000"/>
            </w:tcBorders>
            <w:shd w:val="clear" w:color="000000" w:fill="2F5395"/>
            <w:vAlign w:val="center"/>
            <w:hideMark/>
          </w:tcPr>
          <w:p w14:paraId="31D32EED" w14:textId="77777777" w:rsidR="00093B82" w:rsidRPr="006E06E7" w:rsidRDefault="00093B82" w:rsidP="00B22B8B">
            <w:pPr>
              <w:jc w:val="center"/>
              <w:rPr>
                <w:rFonts w:ascii="Calibri" w:hAnsi="Calibri"/>
                <w:b/>
                <w:bCs/>
                <w:color w:val="FFFFFF"/>
                <w:sz w:val="12"/>
                <w:szCs w:val="12"/>
                <w:lang w:val="es-CO" w:eastAsia="es-CO"/>
              </w:rPr>
            </w:pPr>
            <w:r w:rsidRPr="006E06E7">
              <w:rPr>
                <w:rFonts w:ascii="Calibri" w:hAnsi="Calibri"/>
                <w:b/>
                <w:bCs/>
                <w:color w:val="FFFFFF"/>
                <w:sz w:val="12"/>
                <w:szCs w:val="12"/>
                <w:lang w:val="es-CO" w:eastAsia="es-CO"/>
              </w:rPr>
              <w:t>Vigente</w:t>
            </w:r>
          </w:p>
        </w:tc>
      </w:tr>
      <w:tr w:rsidR="00093B82" w:rsidRPr="006E06E7" w14:paraId="6D9A8E27"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402281B"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61C935C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Anterior</w:t>
            </w:r>
          </w:p>
        </w:tc>
        <w:tc>
          <w:tcPr>
            <w:tcW w:w="0" w:type="auto"/>
            <w:tcBorders>
              <w:top w:val="nil"/>
              <w:left w:val="nil"/>
              <w:bottom w:val="single" w:sz="4" w:space="0" w:color="000000"/>
              <w:right w:val="single" w:sz="4" w:space="0" w:color="000000"/>
            </w:tcBorders>
            <w:shd w:val="clear" w:color="auto" w:fill="auto"/>
            <w:vAlign w:val="bottom"/>
            <w:hideMark/>
          </w:tcPr>
          <w:p w14:paraId="7F1FEB73"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2-9-0-0-1-5</w:t>
            </w:r>
          </w:p>
        </w:tc>
        <w:tc>
          <w:tcPr>
            <w:tcW w:w="0" w:type="auto"/>
            <w:tcBorders>
              <w:top w:val="nil"/>
              <w:left w:val="nil"/>
              <w:bottom w:val="single" w:sz="4" w:space="0" w:color="000000"/>
              <w:right w:val="single" w:sz="4" w:space="0" w:color="000000"/>
            </w:tcBorders>
            <w:shd w:val="clear" w:color="auto" w:fill="auto"/>
            <w:vAlign w:val="bottom"/>
            <w:hideMark/>
          </w:tcPr>
          <w:p w14:paraId="06989FC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Recuperaciones</w:t>
            </w:r>
          </w:p>
        </w:tc>
        <w:tc>
          <w:tcPr>
            <w:tcW w:w="0" w:type="auto"/>
            <w:tcBorders>
              <w:top w:val="nil"/>
              <w:left w:val="nil"/>
              <w:bottom w:val="single" w:sz="4" w:space="0" w:color="000000"/>
              <w:right w:val="single" w:sz="4" w:space="0" w:color="000000"/>
            </w:tcBorders>
            <w:shd w:val="clear" w:color="auto" w:fill="auto"/>
            <w:vAlign w:val="bottom"/>
            <w:hideMark/>
          </w:tcPr>
          <w:p w14:paraId="283658A8"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c>
          <w:tcPr>
            <w:tcW w:w="0" w:type="auto"/>
            <w:tcBorders>
              <w:top w:val="nil"/>
              <w:left w:val="nil"/>
              <w:bottom w:val="single" w:sz="4" w:space="0" w:color="000000"/>
              <w:right w:val="single" w:sz="4" w:space="0" w:color="000000"/>
            </w:tcBorders>
            <w:shd w:val="clear" w:color="auto" w:fill="auto"/>
            <w:vAlign w:val="bottom"/>
            <w:hideMark/>
          </w:tcPr>
          <w:p w14:paraId="47F3E3D2"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7277D15E"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1090" w:type="dxa"/>
            <w:tcBorders>
              <w:top w:val="nil"/>
              <w:left w:val="nil"/>
              <w:bottom w:val="single" w:sz="4" w:space="0" w:color="000000"/>
              <w:right w:val="single" w:sz="4" w:space="0" w:color="000000"/>
            </w:tcBorders>
            <w:shd w:val="clear" w:color="auto" w:fill="auto"/>
            <w:vAlign w:val="bottom"/>
            <w:hideMark/>
          </w:tcPr>
          <w:p w14:paraId="79A7FA6E"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706" w:type="dxa"/>
            <w:tcBorders>
              <w:top w:val="nil"/>
              <w:left w:val="nil"/>
              <w:bottom w:val="single" w:sz="4" w:space="0" w:color="000000"/>
              <w:right w:val="single" w:sz="4" w:space="0" w:color="000000"/>
            </w:tcBorders>
            <w:shd w:val="clear" w:color="auto" w:fill="auto"/>
            <w:vAlign w:val="bottom"/>
            <w:hideMark/>
          </w:tcPr>
          <w:p w14:paraId="3C3F54C2"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997" w:type="dxa"/>
            <w:tcBorders>
              <w:top w:val="nil"/>
              <w:left w:val="nil"/>
              <w:bottom w:val="single" w:sz="4" w:space="0" w:color="000000"/>
              <w:right w:val="single" w:sz="4" w:space="0" w:color="000000"/>
            </w:tcBorders>
            <w:shd w:val="clear" w:color="auto" w:fill="auto"/>
            <w:vAlign w:val="bottom"/>
            <w:hideMark/>
          </w:tcPr>
          <w:p w14:paraId="64A3679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525" w:type="dxa"/>
            <w:tcBorders>
              <w:top w:val="nil"/>
              <w:left w:val="nil"/>
              <w:bottom w:val="single" w:sz="4" w:space="0" w:color="000000"/>
              <w:right w:val="single" w:sz="4" w:space="0" w:color="000000"/>
            </w:tcBorders>
            <w:shd w:val="clear" w:color="auto" w:fill="auto"/>
            <w:vAlign w:val="bottom"/>
            <w:hideMark/>
          </w:tcPr>
          <w:p w14:paraId="6BCB3419"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r>
      <w:tr w:rsidR="00093B82" w:rsidRPr="006E06E7" w14:paraId="1B3B88DC"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D4C5DBC"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55B4E0F8"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1727649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2-9-0-0-1-5</w:t>
            </w:r>
          </w:p>
        </w:tc>
        <w:tc>
          <w:tcPr>
            <w:tcW w:w="0" w:type="auto"/>
            <w:tcBorders>
              <w:top w:val="nil"/>
              <w:left w:val="nil"/>
              <w:bottom w:val="single" w:sz="4" w:space="0" w:color="000000"/>
              <w:right w:val="single" w:sz="4" w:space="0" w:color="000000"/>
            </w:tcBorders>
            <w:shd w:val="clear" w:color="auto" w:fill="auto"/>
            <w:vAlign w:val="bottom"/>
            <w:hideMark/>
          </w:tcPr>
          <w:p w14:paraId="5D4B7855"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Recuperaciones</w:t>
            </w:r>
          </w:p>
        </w:tc>
        <w:tc>
          <w:tcPr>
            <w:tcW w:w="0" w:type="auto"/>
            <w:tcBorders>
              <w:top w:val="nil"/>
              <w:left w:val="nil"/>
              <w:bottom w:val="single" w:sz="4" w:space="0" w:color="000000"/>
              <w:right w:val="single" w:sz="4" w:space="0" w:color="000000"/>
            </w:tcBorders>
            <w:shd w:val="clear" w:color="auto" w:fill="auto"/>
            <w:vAlign w:val="bottom"/>
            <w:hideMark/>
          </w:tcPr>
          <w:p w14:paraId="33542F8B"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c>
          <w:tcPr>
            <w:tcW w:w="0" w:type="auto"/>
            <w:tcBorders>
              <w:top w:val="nil"/>
              <w:left w:val="nil"/>
              <w:bottom w:val="single" w:sz="4" w:space="0" w:color="000000"/>
              <w:right w:val="single" w:sz="4" w:space="0" w:color="000000"/>
            </w:tcBorders>
            <w:shd w:val="clear" w:color="auto" w:fill="auto"/>
            <w:vAlign w:val="bottom"/>
            <w:hideMark/>
          </w:tcPr>
          <w:p w14:paraId="3FB0B918"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79B9A023"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1090" w:type="dxa"/>
            <w:tcBorders>
              <w:top w:val="nil"/>
              <w:left w:val="nil"/>
              <w:bottom w:val="single" w:sz="4" w:space="0" w:color="000000"/>
              <w:right w:val="single" w:sz="4" w:space="0" w:color="000000"/>
            </w:tcBorders>
            <w:shd w:val="clear" w:color="auto" w:fill="auto"/>
            <w:vAlign w:val="bottom"/>
            <w:hideMark/>
          </w:tcPr>
          <w:p w14:paraId="6141576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706" w:type="dxa"/>
            <w:tcBorders>
              <w:top w:val="nil"/>
              <w:left w:val="nil"/>
              <w:bottom w:val="single" w:sz="4" w:space="0" w:color="000000"/>
              <w:right w:val="single" w:sz="4" w:space="0" w:color="000000"/>
            </w:tcBorders>
            <w:shd w:val="clear" w:color="auto" w:fill="auto"/>
            <w:vAlign w:val="bottom"/>
            <w:hideMark/>
          </w:tcPr>
          <w:p w14:paraId="22C3BC0D"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997" w:type="dxa"/>
            <w:tcBorders>
              <w:top w:val="nil"/>
              <w:left w:val="nil"/>
              <w:bottom w:val="single" w:sz="4" w:space="0" w:color="000000"/>
              <w:right w:val="single" w:sz="4" w:space="0" w:color="000000"/>
            </w:tcBorders>
            <w:shd w:val="clear" w:color="auto" w:fill="auto"/>
            <w:vAlign w:val="bottom"/>
            <w:hideMark/>
          </w:tcPr>
          <w:p w14:paraId="4A121531"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525" w:type="dxa"/>
            <w:tcBorders>
              <w:top w:val="nil"/>
              <w:left w:val="nil"/>
              <w:bottom w:val="single" w:sz="4" w:space="0" w:color="000000"/>
              <w:right w:val="single" w:sz="4" w:space="0" w:color="000000"/>
            </w:tcBorders>
            <w:shd w:val="clear" w:color="auto" w:fill="auto"/>
            <w:vAlign w:val="bottom"/>
            <w:hideMark/>
          </w:tcPr>
          <w:p w14:paraId="32C3C3CE"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r>
      <w:tr w:rsidR="00093B82" w:rsidRPr="006E06E7" w14:paraId="4F7C03CC"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5FE1D4A"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10B670A9"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420CAF8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2-5-5-0-1</w:t>
            </w:r>
          </w:p>
        </w:tc>
        <w:tc>
          <w:tcPr>
            <w:tcW w:w="0" w:type="auto"/>
            <w:tcBorders>
              <w:top w:val="nil"/>
              <w:left w:val="nil"/>
              <w:bottom w:val="single" w:sz="4" w:space="0" w:color="000000"/>
              <w:right w:val="single" w:sz="4" w:space="0" w:color="000000"/>
            </w:tcBorders>
            <w:shd w:val="clear" w:color="auto" w:fill="auto"/>
            <w:vAlign w:val="bottom"/>
            <w:hideMark/>
          </w:tcPr>
          <w:p w14:paraId="7BB6A75B"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Proveedores</w:t>
            </w:r>
          </w:p>
        </w:tc>
        <w:tc>
          <w:tcPr>
            <w:tcW w:w="0" w:type="auto"/>
            <w:tcBorders>
              <w:top w:val="nil"/>
              <w:left w:val="nil"/>
              <w:bottom w:val="single" w:sz="4" w:space="0" w:color="000000"/>
              <w:right w:val="single" w:sz="4" w:space="0" w:color="000000"/>
            </w:tcBorders>
            <w:shd w:val="clear" w:color="auto" w:fill="auto"/>
            <w:vAlign w:val="bottom"/>
            <w:hideMark/>
          </w:tcPr>
          <w:p w14:paraId="293F3BAE"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c>
          <w:tcPr>
            <w:tcW w:w="0" w:type="auto"/>
            <w:tcBorders>
              <w:top w:val="nil"/>
              <w:left w:val="nil"/>
              <w:bottom w:val="single" w:sz="4" w:space="0" w:color="000000"/>
              <w:right w:val="single" w:sz="4" w:space="0" w:color="000000"/>
            </w:tcBorders>
            <w:shd w:val="clear" w:color="auto" w:fill="auto"/>
            <w:vAlign w:val="bottom"/>
            <w:hideMark/>
          </w:tcPr>
          <w:p w14:paraId="79E15228"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5419C17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1090" w:type="dxa"/>
            <w:tcBorders>
              <w:top w:val="nil"/>
              <w:left w:val="nil"/>
              <w:bottom w:val="single" w:sz="4" w:space="0" w:color="000000"/>
              <w:right w:val="single" w:sz="4" w:space="0" w:color="000000"/>
            </w:tcBorders>
            <w:shd w:val="clear" w:color="auto" w:fill="auto"/>
            <w:vAlign w:val="bottom"/>
            <w:hideMark/>
          </w:tcPr>
          <w:p w14:paraId="7B1FD2A9"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706" w:type="dxa"/>
            <w:tcBorders>
              <w:top w:val="nil"/>
              <w:left w:val="nil"/>
              <w:bottom w:val="single" w:sz="4" w:space="0" w:color="000000"/>
              <w:right w:val="single" w:sz="4" w:space="0" w:color="000000"/>
            </w:tcBorders>
            <w:shd w:val="clear" w:color="auto" w:fill="auto"/>
            <w:vAlign w:val="bottom"/>
            <w:hideMark/>
          </w:tcPr>
          <w:p w14:paraId="0EE194D5"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997" w:type="dxa"/>
            <w:tcBorders>
              <w:top w:val="nil"/>
              <w:left w:val="nil"/>
              <w:bottom w:val="single" w:sz="4" w:space="0" w:color="000000"/>
              <w:right w:val="single" w:sz="4" w:space="0" w:color="000000"/>
            </w:tcBorders>
            <w:shd w:val="clear" w:color="auto" w:fill="auto"/>
            <w:vAlign w:val="bottom"/>
            <w:hideMark/>
          </w:tcPr>
          <w:p w14:paraId="7F177788"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 </w:t>
            </w:r>
          </w:p>
        </w:tc>
        <w:tc>
          <w:tcPr>
            <w:tcW w:w="525" w:type="dxa"/>
            <w:tcBorders>
              <w:top w:val="nil"/>
              <w:left w:val="nil"/>
              <w:bottom w:val="single" w:sz="4" w:space="0" w:color="000000"/>
              <w:right w:val="single" w:sz="4" w:space="0" w:color="000000"/>
            </w:tcBorders>
            <w:shd w:val="clear" w:color="auto" w:fill="auto"/>
            <w:vAlign w:val="bottom"/>
            <w:hideMark/>
          </w:tcPr>
          <w:p w14:paraId="42519989"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r>
      <w:tr w:rsidR="00093B82" w:rsidRPr="006E06E7" w14:paraId="35DAA776"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3AA7995"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1E07261E"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134E1056"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1-1-1-0-1-1</w:t>
            </w:r>
          </w:p>
        </w:tc>
        <w:tc>
          <w:tcPr>
            <w:tcW w:w="0" w:type="auto"/>
            <w:tcBorders>
              <w:top w:val="nil"/>
              <w:left w:val="nil"/>
              <w:bottom w:val="single" w:sz="4" w:space="0" w:color="000000"/>
              <w:right w:val="single" w:sz="4" w:space="0" w:color="000000"/>
            </w:tcBorders>
            <w:shd w:val="clear" w:color="auto" w:fill="auto"/>
            <w:vAlign w:val="bottom"/>
            <w:hideMark/>
          </w:tcPr>
          <w:p w14:paraId="34D57900" w14:textId="77777777" w:rsidR="00093B82" w:rsidRPr="006E06E7" w:rsidRDefault="00093B82" w:rsidP="00B22B8B">
            <w:pPr>
              <w:rPr>
                <w:rFonts w:ascii="Calibri" w:hAnsi="Calibri"/>
                <w:color w:val="000000"/>
                <w:sz w:val="12"/>
                <w:szCs w:val="12"/>
                <w:lang w:val="es-CO" w:eastAsia="es-CO"/>
              </w:rPr>
            </w:pPr>
            <w:proofErr w:type="gramStart"/>
            <w:r w:rsidRPr="006E06E7">
              <w:rPr>
                <w:rFonts w:ascii="Calibri" w:hAnsi="Calibri"/>
                <w:color w:val="000000"/>
                <w:sz w:val="12"/>
                <w:szCs w:val="12"/>
                <w:lang w:val="es-CO" w:eastAsia="es-CO"/>
              </w:rPr>
              <w:t>Cuota impuesto</w:t>
            </w:r>
            <w:proofErr w:type="gramEnd"/>
            <w:r w:rsidRPr="006E06E7">
              <w:rPr>
                <w:rFonts w:ascii="Calibri" w:hAnsi="Calibri"/>
                <w:color w:val="000000"/>
                <w:sz w:val="12"/>
                <w:szCs w:val="12"/>
                <w:lang w:val="es-CO" w:eastAsia="es-CO"/>
              </w:rPr>
              <w:t xml:space="preserve"> de renta y complementarios</w:t>
            </w:r>
          </w:p>
        </w:tc>
        <w:tc>
          <w:tcPr>
            <w:tcW w:w="0" w:type="auto"/>
            <w:tcBorders>
              <w:top w:val="nil"/>
              <w:left w:val="nil"/>
              <w:bottom w:val="single" w:sz="4" w:space="0" w:color="000000"/>
              <w:right w:val="single" w:sz="4" w:space="0" w:color="000000"/>
            </w:tcBorders>
            <w:shd w:val="clear" w:color="auto" w:fill="auto"/>
            <w:vAlign w:val="bottom"/>
            <w:hideMark/>
          </w:tcPr>
          <w:p w14:paraId="7C8FD2F5"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349CF8AA"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04FC6EB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130501001</w:t>
            </w:r>
          </w:p>
        </w:tc>
        <w:tc>
          <w:tcPr>
            <w:tcW w:w="1090" w:type="dxa"/>
            <w:tcBorders>
              <w:top w:val="nil"/>
              <w:left w:val="nil"/>
              <w:bottom w:val="single" w:sz="4" w:space="0" w:color="000000"/>
              <w:right w:val="single" w:sz="4" w:space="0" w:color="000000"/>
            </w:tcBorders>
            <w:shd w:val="clear" w:color="auto" w:fill="auto"/>
            <w:vAlign w:val="bottom"/>
            <w:hideMark/>
          </w:tcPr>
          <w:p w14:paraId="633158D2"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Cuota del impuesto sobre la renta y complementarios</w:t>
            </w:r>
          </w:p>
        </w:tc>
        <w:tc>
          <w:tcPr>
            <w:tcW w:w="706" w:type="dxa"/>
            <w:tcBorders>
              <w:top w:val="nil"/>
              <w:left w:val="nil"/>
              <w:bottom w:val="single" w:sz="4" w:space="0" w:color="000000"/>
              <w:right w:val="single" w:sz="4" w:space="0" w:color="000000"/>
            </w:tcBorders>
            <w:shd w:val="clear" w:color="auto" w:fill="auto"/>
            <w:vAlign w:val="bottom"/>
            <w:hideMark/>
          </w:tcPr>
          <w:p w14:paraId="77295C68"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410501001</w:t>
            </w:r>
          </w:p>
        </w:tc>
        <w:tc>
          <w:tcPr>
            <w:tcW w:w="997" w:type="dxa"/>
            <w:tcBorders>
              <w:top w:val="nil"/>
              <w:left w:val="nil"/>
              <w:bottom w:val="single" w:sz="4" w:space="0" w:color="000000"/>
              <w:right w:val="single" w:sz="4" w:space="0" w:color="000000"/>
            </w:tcBorders>
            <w:shd w:val="clear" w:color="auto" w:fill="auto"/>
            <w:vAlign w:val="bottom"/>
            <w:hideMark/>
          </w:tcPr>
          <w:p w14:paraId="08CB061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Cuota del impuesto sobre la renta y complementarios</w:t>
            </w:r>
          </w:p>
        </w:tc>
        <w:tc>
          <w:tcPr>
            <w:tcW w:w="525" w:type="dxa"/>
            <w:tcBorders>
              <w:top w:val="nil"/>
              <w:left w:val="nil"/>
              <w:bottom w:val="single" w:sz="4" w:space="0" w:color="000000"/>
              <w:right w:val="single" w:sz="4" w:space="0" w:color="000000"/>
            </w:tcBorders>
            <w:shd w:val="clear" w:color="auto" w:fill="auto"/>
            <w:vAlign w:val="bottom"/>
            <w:hideMark/>
          </w:tcPr>
          <w:p w14:paraId="6FB60B41"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1DED3B52"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057349C"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4C89F6E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Anterior</w:t>
            </w:r>
          </w:p>
        </w:tc>
        <w:tc>
          <w:tcPr>
            <w:tcW w:w="0" w:type="auto"/>
            <w:tcBorders>
              <w:top w:val="nil"/>
              <w:left w:val="nil"/>
              <w:bottom w:val="single" w:sz="4" w:space="0" w:color="000000"/>
              <w:right w:val="single" w:sz="4" w:space="0" w:color="000000"/>
            </w:tcBorders>
            <w:shd w:val="clear" w:color="auto" w:fill="auto"/>
            <w:vAlign w:val="bottom"/>
            <w:hideMark/>
          </w:tcPr>
          <w:p w14:paraId="63D0BDA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1-1-1-0-1-1</w:t>
            </w:r>
          </w:p>
        </w:tc>
        <w:tc>
          <w:tcPr>
            <w:tcW w:w="0" w:type="auto"/>
            <w:tcBorders>
              <w:top w:val="nil"/>
              <w:left w:val="nil"/>
              <w:bottom w:val="single" w:sz="4" w:space="0" w:color="000000"/>
              <w:right w:val="single" w:sz="4" w:space="0" w:color="000000"/>
            </w:tcBorders>
            <w:shd w:val="clear" w:color="auto" w:fill="auto"/>
            <w:vAlign w:val="bottom"/>
            <w:hideMark/>
          </w:tcPr>
          <w:p w14:paraId="5A096891" w14:textId="77777777" w:rsidR="00093B82" w:rsidRPr="006E06E7" w:rsidRDefault="00093B82" w:rsidP="00B22B8B">
            <w:pPr>
              <w:rPr>
                <w:rFonts w:ascii="Calibri" w:hAnsi="Calibri"/>
                <w:color w:val="000000"/>
                <w:sz w:val="12"/>
                <w:szCs w:val="12"/>
                <w:lang w:val="es-CO" w:eastAsia="es-CO"/>
              </w:rPr>
            </w:pPr>
            <w:proofErr w:type="gramStart"/>
            <w:r w:rsidRPr="006E06E7">
              <w:rPr>
                <w:rFonts w:ascii="Calibri" w:hAnsi="Calibri"/>
                <w:color w:val="000000"/>
                <w:sz w:val="12"/>
                <w:szCs w:val="12"/>
                <w:lang w:val="es-CO" w:eastAsia="es-CO"/>
              </w:rPr>
              <w:t>Cuota impuesto</w:t>
            </w:r>
            <w:proofErr w:type="gramEnd"/>
            <w:r w:rsidRPr="006E06E7">
              <w:rPr>
                <w:rFonts w:ascii="Calibri" w:hAnsi="Calibri"/>
                <w:color w:val="000000"/>
                <w:sz w:val="12"/>
                <w:szCs w:val="12"/>
                <w:lang w:val="es-CO" w:eastAsia="es-CO"/>
              </w:rPr>
              <w:t xml:space="preserve"> de renta y complementarios</w:t>
            </w:r>
          </w:p>
        </w:tc>
        <w:tc>
          <w:tcPr>
            <w:tcW w:w="0" w:type="auto"/>
            <w:tcBorders>
              <w:top w:val="nil"/>
              <w:left w:val="nil"/>
              <w:bottom w:val="single" w:sz="4" w:space="0" w:color="000000"/>
              <w:right w:val="single" w:sz="4" w:space="0" w:color="000000"/>
            </w:tcBorders>
            <w:shd w:val="clear" w:color="auto" w:fill="auto"/>
            <w:vAlign w:val="bottom"/>
            <w:hideMark/>
          </w:tcPr>
          <w:p w14:paraId="35FD70E5"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56E0E272"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0C5C26C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130501001</w:t>
            </w:r>
          </w:p>
        </w:tc>
        <w:tc>
          <w:tcPr>
            <w:tcW w:w="1090" w:type="dxa"/>
            <w:tcBorders>
              <w:top w:val="nil"/>
              <w:left w:val="nil"/>
              <w:bottom w:val="single" w:sz="4" w:space="0" w:color="000000"/>
              <w:right w:val="single" w:sz="4" w:space="0" w:color="000000"/>
            </w:tcBorders>
            <w:shd w:val="clear" w:color="auto" w:fill="auto"/>
            <w:vAlign w:val="bottom"/>
            <w:hideMark/>
          </w:tcPr>
          <w:p w14:paraId="46486155"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Cuota del impuesto sobre la renta y complementarios</w:t>
            </w:r>
          </w:p>
        </w:tc>
        <w:tc>
          <w:tcPr>
            <w:tcW w:w="706" w:type="dxa"/>
            <w:tcBorders>
              <w:top w:val="nil"/>
              <w:left w:val="nil"/>
              <w:bottom w:val="single" w:sz="4" w:space="0" w:color="000000"/>
              <w:right w:val="single" w:sz="4" w:space="0" w:color="000000"/>
            </w:tcBorders>
            <w:shd w:val="clear" w:color="auto" w:fill="auto"/>
            <w:vAlign w:val="bottom"/>
            <w:hideMark/>
          </w:tcPr>
          <w:p w14:paraId="61CAC6D4"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410501001</w:t>
            </w:r>
          </w:p>
        </w:tc>
        <w:tc>
          <w:tcPr>
            <w:tcW w:w="997" w:type="dxa"/>
            <w:tcBorders>
              <w:top w:val="nil"/>
              <w:left w:val="nil"/>
              <w:bottom w:val="single" w:sz="4" w:space="0" w:color="000000"/>
              <w:right w:val="single" w:sz="4" w:space="0" w:color="000000"/>
            </w:tcBorders>
            <w:shd w:val="clear" w:color="auto" w:fill="auto"/>
            <w:vAlign w:val="bottom"/>
            <w:hideMark/>
          </w:tcPr>
          <w:p w14:paraId="3B3AA1C3"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Cuota del impuesto sobre la renta y complementarios</w:t>
            </w:r>
          </w:p>
        </w:tc>
        <w:tc>
          <w:tcPr>
            <w:tcW w:w="525" w:type="dxa"/>
            <w:tcBorders>
              <w:top w:val="nil"/>
              <w:left w:val="nil"/>
              <w:bottom w:val="single" w:sz="4" w:space="0" w:color="000000"/>
              <w:right w:val="single" w:sz="4" w:space="0" w:color="000000"/>
            </w:tcBorders>
            <w:shd w:val="clear" w:color="auto" w:fill="auto"/>
            <w:vAlign w:val="bottom"/>
            <w:hideMark/>
          </w:tcPr>
          <w:p w14:paraId="535C7B26"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6C56E1C8"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1097C73"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CausRecAntcpdo</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53F82271"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714E1AA5"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1-1-1-0-1-3</w:t>
            </w:r>
          </w:p>
        </w:tc>
        <w:tc>
          <w:tcPr>
            <w:tcW w:w="0" w:type="auto"/>
            <w:tcBorders>
              <w:top w:val="nil"/>
              <w:left w:val="nil"/>
              <w:bottom w:val="single" w:sz="4" w:space="0" w:color="000000"/>
              <w:right w:val="single" w:sz="4" w:space="0" w:color="000000"/>
            </w:tcBorders>
            <w:shd w:val="clear" w:color="auto" w:fill="auto"/>
            <w:vAlign w:val="bottom"/>
            <w:hideMark/>
          </w:tcPr>
          <w:p w14:paraId="5C6124B9"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Anticipo impuesto de renta y complementarios</w:t>
            </w:r>
          </w:p>
        </w:tc>
        <w:tc>
          <w:tcPr>
            <w:tcW w:w="0" w:type="auto"/>
            <w:tcBorders>
              <w:top w:val="nil"/>
              <w:left w:val="nil"/>
              <w:bottom w:val="single" w:sz="4" w:space="0" w:color="000000"/>
              <w:right w:val="single" w:sz="4" w:space="0" w:color="000000"/>
            </w:tcBorders>
            <w:shd w:val="clear" w:color="auto" w:fill="auto"/>
            <w:vAlign w:val="bottom"/>
            <w:hideMark/>
          </w:tcPr>
          <w:p w14:paraId="15CAC5EB"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1F1793C0"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668BFC3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291701001</w:t>
            </w:r>
          </w:p>
        </w:tc>
        <w:tc>
          <w:tcPr>
            <w:tcW w:w="1090" w:type="dxa"/>
            <w:tcBorders>
              <w:top w:val="nil"/>
              <w:left w:val="nil"/>
              <w:bottom w:val="single" w:sz="4" w:space="0" w:color="000000"/>
              <w:right w:val="single" w:sz="4" w:space="0" w:color="000000"/>
            </w:tcBorders>
            <w:shd w:val="clear" w:color="auto" w:fill="auto"/>
            <w:vAlign w:val="bottom"/>
            <w:hideMark/>
          </w:tcPr>
          <w:p w14:paraId="2358F26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Anticipo impuesto de renta y complementarios</w:t>
            </w:r>
          </w:p>
        </w:tc>
        <w:tc>
          <w:tcPr>
            <w:tcW w:w="706" w:type="dxa"/>
            <w:tcBorders>
              <w:top w:val="nil"/>
              <w:left w:val="nil"/>
              <w:bottom w:val="single" w:sz="4" w:space="0" w:color="000000"/>
              <w:right w:val="single" w:sz="4" w:space="0" w:color="000000"/>
            </w:tcBorders>
            <w:shd w:val="clear" w:color="auto" w:fill="auto"/>
            <w:vAlign w:val="bottom"/>
            <w:hideMark/>
          </w:tcPr>
          <w:p w14:paraId="26571F86"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410501001</w:t>
            </w:r>
          </w:p>
        </w:tc>
        <w:tc>
          <w:tcPr>
            <w:tcW w:w="997" w:type="dxa"/>
            <w:tcBorders>
              <w:top w:val="nil"/>
              <w:left w:val="nil"/>
              <w:bottom w:val="single" w:sz="4" w:space="0" w:color="000000"/>
              <w:right w:val="single" w:sz="4" w:space="0" w:color="000000"/>
            </w:tcBorders>
            <w:shd w:val="clear" w:color="auto" w:fill="auto"/>
            <w:vAlign w:val="bottom"/>
            <w:hideMark/>
          </w:tcPr>
          <w:p w14:paraId="77611891"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Cuota del impuesto sobre la renta y complementarios</w:t>
            </w:r>
          </w:p>
        </w:tc>
        <w:tc>
          <w:tcPr>
            <w:tcW w:w="525" w:type="dxa"/>
            <w:tcBorders>
              <w:top w:val="nil"/>
              <w:left w:val="nil"/>
              <w:bottom w:val="single" w:sz="4" w:space="0" w:color="000000"/>
              <w:right w:val="single" w:sz="4" w:space="0" w:color="000000"/>
            </w:tcBorders>
            <w:shd w:val="clear" w:color="auto" w:fill="auto"/>
            <w:vAlign w:val="bottom"/>
            <w:hideMark/>
          </w:tcPr>
          <w:p w14:paraId="62F8580D"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38243F31"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C20A78C"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6BC8834B"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Anterior</w:t>
            </w:r>
          </w:p>
        </w:tc>
        <w:tc>
          <w:tcPr>
            <w:tcW w:w="0" w:type="auto"/>
            <w:tcBorders>
              <w:top w:val="nil"/>
              <w:left w:val="nil"/>
              <w:bottom w:val="single" w:sz="4" w:space="0" w:color="000000"/>
              <w:right w:val="single" w:sz="4" w:space="0" w:color="000000"/>
            </w:tcBorders>
            <w:shd w:val="clear" w:color="auto" w:fill="auto"/>
            <w:vAlign w:val="bottom"/>
            <w:hideMark/>
          </w:tcPr>
          <w:p w14:paraId="0661C17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1-1-2-0-1-1</w:t>
            </w:r>
          </w:p>
        </w:tc>
        <w:tc>
          <w:tcPr>
            <w:tcW w:w="0" w:type="auto"/>
            <w:tcBorders>
              <w:top w:val="nil"/>
              <w:left w:val="nil"/>
              <w:bottom w:val="single" w:sz="4" w:space="0" w:color="000000"/>
              <w:right w:val="single" w:sz="4" w:space="0" w:color="000000"/>
            </w:tcBorders>
            <w:shd w:val="clear" w:color="auto" w:fill="auto"/>
            <w:vAlign w:val="bottom"/>
            <w:hideMark/>
          </w:tcPr>
          <w:p w14:paraId="6F48D251"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Impuesto sobre aduanas y recargos</w:t>
            </w:r>
          </w:p>
        </w:tc>
        <w:tc>
          <w:tcPr>
            <w:tcW w:w="0" w:type="auto"/>
            <w:tcBorders>
              <w:top w:val="nil"/>
              <w:left w:val="nil"/>
              <w:bottom w:val="single" w:sz="4" w:space="0" w:color="000000"/>
              <w:right w:val="single" w:sz="4" w:space="0" w:color="000000"/>
            </w:tcBorders>
            <w:shd w:val="clear" w:color="auto" w:fill="auto"/>
            <w:vAlign w:val="bottom"/>
            <w:hideMark/>
          </w:tcPr>
          <w:p w14:paraId="57B95B92"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7CFACA79"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3C368D6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130503001</w:t>
            </w:r>
          </w:p>
        </w:tc>
        <w:tc>
          <w:tcPr>
            <w:tcW w:w="1090" w:type="dxa"/>
            <w:tcBorders>
              <w:top w:val="nil"/>
              <w:left w:val="nil"/>
              <w:bottom w:val="single" w:sz="4" w:space="0" w:color="000000"/>
              <w:right w:val="single" w:sz="4" w:space="0" w:color="000000"/>
            </w:tcBorders>
            <w:shd w:val="clear" w:color="auto" w:fill="auto"/>
            <w:vAlign w:val="bottom"/>
            <w:hideMark/>
          </w:tcPr>
          <w:p w14:paraId="13DA7AD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Impuesto sobre aduana y recargos</w:t>
            </w:r>
          </w:p>
        </w:tc>
        <w:tc>
          <w:tcPr>
            <w:tcW w:w="706" w:type="dxa"/>
            <w:tcBorders>
              <w:top w:val="nil"/>
              <w:left w:val="nil"/>
              <w:bottom w:val="single" w:sz="4" w:space="0" w:color="000000"/>
              <w:right w:val="single" w:sz="4" w:space="0" w:color="000000"/>
            </w:tcBorders>
            <w:shd w:val="clear" w:color="auto" w:fill="auto"/>
            <w:vAlign w:val="bottom"/>
            <w:hideMark/>
          </w:tcPr>
          <w:p w14:paraId="3FA6365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410503001</w:t>
            </w:r>
          </w:p>
        </w:tc>
        <w:tc>
          <w:tcPr>
            <w:tcW w:w="997" w:type="dxa"/>
            <w:tcBorders>
              <w:top w:val="nil"/>
              <w:left w:val="nil"/>
              <w:bottom w:val="single" w:sz="4" w:space="0" w:color="000000"/>
              <w:right w:val="single" w:sz="4" w:space="0" w:color="000000"/>
            </w:tcBorders>
            <w:shd w:val="clear" w:color="auto" w:fill="auto"/>
            <w:vAlign w:val="bottom"/>
            <w:hideMark/>
          </w:tcPr>
          <w:p w14:paraId="6680351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Impuesto sobre aduana y recargos</w:t>
            </w:r>
          </w:p>
        </w:tc>
        <w:tc>
          <w:tcPr>
            <w:tcW w:w="525" w:type="dxa"/>
            <w:tcBorders>
              <w:top w:val="nil"/>
              <w:left w:val="nil"/>
              <w:bottom w:val="single" w:sz="4" w:space="0" w:color="000000"/>
              <w:right w:val="single" w:sz="4" w:space="0" w:color="000000"/>
            </w:tcBorders>
            <w:shd w:val="clear" w:color="auto" w:fill="auto"/>
            <w:vAlign w:val="bottom"/>
            <w:hideMark/>
          </w:tcPr>
          <w:p w14:paraId="5F82CDF6"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50A1BD10"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199190F"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4963419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7FD93D2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1-1-2-0-9-1</w:t>
            </w:r>
          </w:p>
        </w:tc>
        <w:tc>
          <w:tcPr>
            <w:tcW w:w="0" w:type="auto"/>
            <w:tcBorders>
              <w:top w:val="nil"/>
              <w:left w:val="nil"/>
              <w:bottom w:val="single" w:sz="4" w:space="0" w:color="000000"/>
              <w:right w:val="single" w:sz="4" w:space="0" w:color="000000"/>
            </w:tcBorders>
            <w:shd w:val="clear" w:color="auto" w:fill="auto"/>
            <w:vAlign w:val="bottom"/>
            <w:hideMark/>
          </w:tcPr>
          <w:p w14:paraId="4C0D3EC4"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Gravamen a los movimientos financieros</w:t>
            </w:r>
          </w:p>
        </w:tc>
        <w:tc>
          <w:tcPr>
            <w:tcW w:w="0" w:type="auto"/>
            <w:tcBorders>
              <w:top w:val="nil"/>
              <w:left w:val="nil"/>
              <w:bottom w:val="single" w:sz="4" w:space="0" w:color="000000"/>
              <w:right w:val="single" w:sz="4" w:space="0" w:color="000000"/>
            </w:tcBorders>
            <w:shd w:val="clear" w:color="auto" w:fill="auto"/>
            <w:vAlign w:val="bottom"/>
            <w:hideMark/>
          </w:tcPr>
          <w:p w14:paraId="332DC76F"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7E48CC2E"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49CDFF44"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130552001</w:t>
            </w:r>
          </w:p>
        </w:tc>
        <w:tc>
          <w:tcPr>
            <w:tcW w:w="1090" w:type="dxa"/>
            <w:tcBorders>
              <w:top w:val="nil"/>
              <w:left w:val="nil"/>
              <w:bottom w:val="single" w:sz="4" w:space="0" w:color="000000"/>
              <w:right w:val="single" w:sz="4" w:space="0" w:color="000000"/>
            </w:tcBorders>
            <w:shd w:val="clear" w:color="auto" w:fill="auto"/>
            <w:vAlign w:val="bottom"/>
            <w:hideMark/>
          </w:tcPr>
          <w:p w14:paraId="7EC6A599"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Gravamen a los movimientos financieros</w:t>
            </w:r>
          </w:p>
        </w:tc>
        <w:tc>
          <w:tcPr>
            <w:tcW w:w="706" w:type="dxa"/>
            <w:tcBorders>
              <w:top w:val="nil"/>
              <w:left w:val="nil"/>
              <w:bottom w:val="single" w:sz="4" w:space="0" w:color="000000"/>
              <w:right w:val="single" w:sz="4" w:space="0" w:color="000000"/>
            </w:tcBorders>
            <w:shd w:val="clear" w:color="auto" w:fill="auto"/>
            <w:vAlign w:val="bottom"/>
            <w:hideMark/>
          </w:tcPr>
          <w:p w14:paraId="25CBCCE1"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410552001</w:t>
            </w:r>
          </w:p>
        </w:tc>
        <w:tc>
          <w:tcPr>
            <w:tcW w:w="997" w:type="dxa"/>
            <w:tcBorders>
              <w:top w:val="nil"/>
              <w:left w:val="nil"/>
              <w:bottom w:val="single" w:sz="4" w:space="0" w:color="000000"/>
              <w:right w:val="single" w:sz="4" w:space="0" w:color="000000"/>
            </w:tcBorders>
            <w:shd w:val="clear" w:color="auto" w:fill="auto"/>
            <w:vAlign w:val="bottom"/>
            <w:hideMark/>
          </w:tcPr>
          <w:p w14:paraId="167F959A"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Gravamen a los movimientos financieros</w:t>
            </w:r>
          </w:p>
        </w:tc>
        <w:tc>
          <w:tcPr>
            <w:tcW w:w="525" w:type="dxa"/>
            <w:tcBorders>
              <w:top w:val="nil"/>
              <w:left w:val="nil"/>
              <w:bottom w:val="single" w:sz="4" w:space="0" w:color="000000"/>
              <w:right w:val="single" w:sz="4" w:space="0" w:color="000000"/>
            </w:tcBorders>
            <w:shd w:val="clear" w:color="auto" w:fill="auto"/>
            <w:vAlign w:val="bottom"/>
            <w:hideMark/>
          </w:tcPr>
          <w:p w14:paraId="379B01D3"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67DB860A"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7DEFE9A"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70DA5A72"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Anterior</w:t>
            </w:r>
          </w:p>
        </w:tc>
        <w:tc>
          <w:tcPr>
            <w:tcW w:w="0" w:type="auto"/>
            <w:tcBorders>
              <w:top w:val="nil"/>
              <w:left w:val="nil"/>
              <w:bottom w:val="single" w:sz="4" w:space="0" w:color="000000"/>
              <w:right w:val="single" w:sz="4" w:space="0" w:color="000000"/>
            </w:tcBorders>
            <w:shd w:val="clear" w:color="auto" w:fill="auto"/>
            <w:vAlign w:val="bottom"/>
            <w:hideMark/>
          </w:tcPr>
          <w:p w14:paraId="03CCB4F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3-1-2-9-6-2</w:t>
            </w:r>
          </w:p>
        </w:tc>
        <w:tc>
          <w:tcPr>
            <w:tcW w:w="0" w:type="auto"/>
            <w:tcBorders>
              <w:top w:val="nil"/>
              <w:left w:val="nil"/>
              <w:bottom w:val="single" w:sz="4" w:space="0" w:color="000000"/>
              <w:right w:val="single" w:sz="4" w:space="0" w:color="000000"/>
            </w:tcBorders>
            <w:shd w:val="clear" w:color="auto" w:fill="auto"/>
            <w:vAlign w:val="bottom"/>
            <w:hideMark/>
          </w:tcPr>
          <w:p w14:paraId="5F470A6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 corrientes</w:t>
            </w:r>
          </w:p>
        </w:tc>
        <w:tc>
          <w:tcPr>
            <w:tcW w:w="0" w:type="auto"/>
            <w:tcBorders>
              <w:top w:val="nil"/>
              <w:left w:val="nil"/>
              <w:bottom w:val="single" w:sz="4" w:space="0" w:color="000000"/>
              <w:right w:val="single" w:sz="4" w:space="0" w:color="000000"/>
            </w:tcBorders>
            <w:shd w:val="clear" w:color="auto" w:fill="auto"/>
            <w:vAlign w:val="bottom"/>
            <w:hideMark/>
          </w:tcPr>
          <w:p w14:paraId="4367AEE5"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7BAD62FA"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45BAFE3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131103001</w:t>
            </w:r>
          </w:p>
        </w:tc>
        <w:tc>
          <w:tcPr>
            <w:tcW w:w="1090" w:type="dxa"/>
            <w:tcBorders>
              <w:top w:val="nil"/>
              <w:left w:val="nil"/>
              <w:bottom w:val="single" w:sz="4" w:space="0" w:color="000000"/>
              <w:right w:val="single" w:sz="4" w:space="0" w:color="000000"/>
            </w:tcBorders>
            <w:shd w:val="clear" w:color="auto" w:fill="auto"/>
            <w:vAlign w:val="bottom"/>
            <w:hideMark/>
          </w:tcPr>
          <w:p w14:paraId="31B76550"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w:t>
            </w:r>
          </w:p>
        </w:tc>
        <w:tc>
          <w:tcPr>
            <w:tcW w:w="706" w:type="dxa"/>
            <w:tcBorders>
              <w:top w:val="nil"/>
              <w:left w:val="nil"/>
              <w:bottom w:val="single" w:sz="4" w:space="0" w:color="000000"/>
              <w:right w:val="single" w:sz="4" w:space="0" w:color="000000"/>
            </w:tcBorders>
            <w:shd w:val="clear" w:color="auto" w:fill="auto"/>
            <w:vAlign w:val="bottom"/>
            <w:hideMark/>
          </w:tcPr>
          <w:p w14:paraId="63B6860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411003001</w:t>
            </w:r>
          </w:p>
        </w:tc>
        <w:tc>
          <w:tcPr>
            <w:tcW w:w="997" w:type="dxa"/>
            <w:tcBorders>
              <w:top w:val="nil"/>
              <w:left w:val="nil"/>
              <w:bottom w:val="single" w:sz="4" w:space="0" w:color="000000"/>
              <w:right w:val="single" w:sz="4" w:space="0" w:color="000000"/>
            </w:tcBorders>
            <w:shd w:val="clear" w:color="auto" w:fill="auto"/>
            <w:vAlign w:val="bottom"/>
            <w:hideMark/>
          </w:tcPr>
          <w:p w14:paraId="6C409DD2"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w:t>
            </w:r>
          </w:p>
        </w:tc>
        <w:tc>
          <w:tcPr>
            <w:tcW w:w="525" w:type="dxa"/>
            <w:tcBorders>
              <w:top w:val="nil"/>
              <w:left w:val="nil"/>
              <w:bottom w:val="single" w:sz="4" w:space="0" w:color="000000"/>
              <w:right w:val="single" w:sz="4" w:space="0" w:color="000000"/>
            </w:tcBorders>
            <w:shd w:val="clear" w:color="auto" w:fill="auto"/>
            <w:vAlign w:val="bottom"/>
            <w:hideMark/>
          </w:tcPr>
          <w:p w14:paraId="05F374FB"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r w:rsidR="00093B82" w:rsidRPr="006E06E7" w14:paraId="4B829B72" w14:textId="77777777" w:rsidTr="00093B82">
        <w:trPr>
          <w:trHeight w:val="18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BB22B0F" w14:textId="77777777" w:rsidR="00093B82" w:rsidRPr="006E06E7" w:rsidRDefault="00093B82" w:rsidP="00B22B8B">
            <w:pPr>
              <w:rPr>
                <w:rFonts w:ascii="Calibri" w:hAnsi="Calibri"/>
                <w:color w:val="000000"/>
                <w:sz w:val="12"/>
                <w:szCs w:val="12"/>
                <w:lang w:val="es-CO" w:eastAsia="es-CO"/>
              </w:rPr>
            </w:pPr>
            <w:proofErr w:type="spellStart"/>
            <w:r w:rsidRPr="006E06E7">
              <w:rPr>
                <w:rFonts w:ascii="Calibri" w:hAnsi="Calibri"/>
                <w:color w:val="000000"/>
                <w:sz w:val="12"/>
                <w:szCs w:val="12"/>
                <w:lang w:val="es-CO" w:eastAsia="es-CO"/>
              </w:rPr>
              <w:t>Causacion</w:t>
            </w:r>
            <w:proofErr w:type="spellEnd"/>
          </w:p>
        </w:tc>
        <w:tc>
          <w:tcPr>
            <w:tcW w:w="0" w:type="auto"/>
            <w:tcBorders>
              <w:top w:val="nil"/>
              <w:left w:val="nil"/>
              <w:bottom w:val="single" w:sz="4" w:space="0" w:color="000000"/>
              <w:right w:val="single" w:sz="4" w:space="0" w:color="000000"/>
            </w:tcBorders>
            <w:shd w:val="clear" w:color="auto" w:fill="auto"/>
            <w:vAlign w:val="bottom"/>
            <w:hideMark/>
          </w:tcPr>
          <w:p w14:paraId="2D2AE133"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Actual</w:t>
            </w:r>
          </w:p>
        </w:tc>
        <w:tc>
          <w:tcPr>
            <w:tcW w:w="0" w:type="auto"/>
            <w:tcBorders>
              <w:top w:val="nil"/>
              <w:left w:val="nil"/>
              <w:bottom w:val="single" w:sz="4" w:space="0" w:color="000000"/>
              <w:right w:val="single" w:sz="4" w:space="0" w:color="000000"/>
            </w:tcBorders>
            <w:shd w:val="clear" w:color="auto" w:fill="auto"/>
            <w:vAlign w:val="bottom"/>
            <w:hideMark/>
          </w:tcPr>
          <w:p w14:paraId="610E3A04"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3-1-2-9-6-2</w:t>
            </w:r>
          </w:p>
        </w:tc>
        <w:tc>
          <w:tcPr>
            <w:tcW w:w="0" w:type="auto"/>
            <w:tcBorders>
              <w:top w:val="nil"/>
              <w:left w:val="nil"/>
              <w:bottom w:val="single" w:sz="4" w:space="0" w:color="000000"/>
              <w:right w:val="single" w:sz="4" w:space="0" w:color="000000"/>
            </w:tcBorders>
            <w:shd w:val="clear" w:color="auto" w:fill="auto"/>
            <w:vAlign w:val="bottom"/>
            <w:hideMark/>
          </w:tcPr>
          <w:p w14:paraId="79D49925"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 corrientes</w:t>
            </w:r>
          </w:p>
        </w:tc>
        <w:tc>
          <w:tcPr>
            <w:tcW w:w="0" w:type="auto"/>
            <w:tcBorders>
              <w:top w:val="nil"/>
              <w:left w:val="nil"/>
              <w:bottom w:val="single" w:sz="4" w:space="0" w:color="000000"/>
              <w:right w:val="single" w:sz="4" w:space="0" w:color="000000"/>
            </w:tcBorders>
            <w:shd w:val="clear" w:color="auto" w:fill="auto"/>
            <w:vAlign w:val="bottom"/>
            <w:hideMark/>
          </w:tcPr>
          <w:p w14:paraId="6C041DA5"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vAlign w:val="bottom"/>
            <w:hideMark/>
          </w:tcPr>
          <w:p w14:paraId="74F230DC"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bottom"/>
            <w:hideMark/>
          </w:tcPr>
          <w:p w14:paraId="0A4953BF"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131103001</w:t>
            </w:r>
          </w:p>
        </w:tc>
        <w:tc>
          <w:tcPr>
            <w:tcW w:w="1090" w:type="dxa"/>
            <w:tcBorders>
              <w:top w:val="nil"/>
              <w:left w:val="nil"/>
              <w:bottom w:val="single" w:sz="4" w:space="0" w:color="000000"/>
              <w:right w:val="single" w:sz="4" w:space="0" w:color="000000"/>
            </w:tcBorders>
            <w:shd w:val="clear" w:color="auto" w:fill="auto"/>
            <w:vAlign w:val="bottom"/>
            <w:hideMark/>
          </w:tcPr>
          <w:p w14:paraId="3A1E888D"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w:t>
            </w:r>
          </w:p>
        </w:tc>
        <w:tc>
          <w:tcPr>
            <w:tcW w:w="706" w:type="dxa"/>
            <w:tcBorders>
              <w:top w:val="nil"/>
              <w:left w:val="nil"/>
              <w:bottom w:val="single" w:sz="4" w:space="0" w:color="000000"/>
              <w:right w:val="single" w:sz="4" w:space="0" w:color="000000"/>
            </w:tcBorders>
            <w:shd w:val="clear" w:color="auto" w:fill="auto"/>
            <w:vAlign w:val="bottom"/>
            <w:hideMark/>
          </w:tcPr>
          <w:p w14:paraId="40694B9C"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411003001</w:t>
            </w:r>
          </w:p>
        </w:tc>
        <w:tc>
          <w:tcPr>
            <w:tcW w:w="997" w:type="dxa"/>
            <w:tcBorders>
              <w:top w:val="nil"/>
              <w:left w:val="nil"/>
              <w:bottom w:val="single" w:sz="4" w:space="0" w:color="000000"/>
              <w:right w:val="single" w:sz="4" w:space="0" w:color="000000"/>
            </w:tcBorders>
            <w:shd w:val="clear" w:color="auto" w:fill="auto"/>
            <w:vAlign w:val="bottom"/>
            <w:hideMark/>
          </w:tcPr>
          <w:p w14:paraId="228676F7" w14:textId="77777777" w:rsidR="00093B82" w:rsidRPr="006E06E7" w:rsidRDefault="00093B82" w:rsidP="00B22B8B">
            <w:pPr>
              <w:rPr>
                <w:rFonts w:ascii="Calibri" w:hAnsi="Calibri"/>
                <w:color w:val="000000"/>
                <w:sz w:val="12"/>
                <w:szCs w:val="12"/>
                <w:lang w:val="es-CO" w:eastAsia="es-CO"/>
              </w:rPr>
            </w:pPr>
            <w:r w:rsidRPr="006E06E7">
              <w:rPr>
                <w:rFonts w:ascii="Calibri" w:hAnsi="Calibri"/>
                <w:color w:val="000000"/>
                <w:sz w:val="12"/>
                <w:szCs w:val="12"/>
                <w:lang w:val="es-CO" w:eastAsia="es-CO"/>
              </w:rPr>
              <w:t>Intereses</w:t>
            </w:r>
          </w:p>
        </w:tc>
        <w:tc>
          <w:tcPr>
            <w:tcW w:w="525" w:type="dxa"/>
            <w:tcBorders>
              <w:top w:val="nil"/>
              <w:left w:val="nil"/>
              <w:bottom w:val="single" w:sz="4" w:space="0" w:color="000000"/>
              <w:right w:val="single" w:sz="4" w:space="0" w:color="000000"/>
            </w:tcBorders>
            <w:shd w:val="clear" w:color="auto" w:fill="auto"/>
            <w:vAlign w:val="bottom"/>
            <w:hideMark/>
          </w:tcPr>
          <w:p w14:paraId="1B8EACA9" w14:textId="77777777" w:rsidR="00093B82" w:rsidRPr="006E06E7" w:rsidRDefault="00093B82" w:rsidP="00B22B8B">
            <w:pPr>
              <w:jc w:val="center"/>
              <w:rPr>
                <w:rFonts w:ascii="Calibri" w:hAnsi="Calibri"/>
                <w:color w:val="000000"/>
                <w:sz w:val="12"/>
                <w:szCs w:val="12"/>
                <w:lang w:val="es-CO" w:eastAsia="es-CO"/>
              </w:rPr>
            </w:pPr>
            <w:r w:rsidRPr="006E06E7">
              <w:rPr>
                <w:rFonts w:ascii="Calibri" w:hAnsi="Calibri"/>
                <w:color w:val="000000"/>
                <w:sz w:val="12"/>
                <w:szCs w:val="12"/>
                <w:lang w:val="es-CO" w:eastAsia="es-CO"/>
              </w:rPr>
              <w:t>SI</w:t>
            </w:r>
          </w:p>
        </w:tc>
      </w:tr>
    </w:tbl>
    <w:p w14:paraId="6C924C43" w14:textId="77777777" w:rsidR="00B22B8B" w:rsidRPr="00EA42B9" w:rsidRDefault="00B22B8B" w:rsidP="00A33E48">
      <w:pPr>
        <w:rPr>
          <w:rFonts w:ascii="Arial" w:hAnsi="Arial" w:cs="Arial"/>
          <w:sz w:val="22"/>
          <w:szCs w:val="22"/>
        </w:rPr>
      </w:pPr>
    </w:p>
    <w:p w14:paraId="518BC48A"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r w:rsidRPr="00265D33">
        <w:rPr>
          <w:rFonts w:ascii="Arial" w:hAnsi="Arial" w:cs="Arial"/>
          <w:color w:val="000000"/>
          <w:sz w:val="22"/>
          <w:szCs w:val="22"/>
        </w:rPr>
        <w:t xml:space="preserve">La columna denominada </w:t>
      </w:r>
      <w:r w:rsidRPr="00FB7B51">
        <w:rPr>
          <w:rFonts w:ascii="Arial" w:hAnsi="Arial" w:cs="Arial"/>
          <w:i/>
          <w:iCs/>
          <w:color w:val="000000"/>
          <w:sz w:val="22"/>
          <w:szCs w:val="22"/>
        </w:rPr>
        <w:t xml:space="preserve">“no contabiliza” </w:t>
      </w:r>
      <w:r w:rsidRPr="00265D33">
        <w:rPr>
          <w:rFonts w:ascii="Arial" w:hAnsi="Arial" w:cs="Arial"/>
          <w:color w:val="000000"/>
          <w:sz w:val="22"/>
          <w:szCs w:val="22"/>
        </w:rPr>
        <w:t xml:space="preserve">con valor “SÍ” permite que la ejecución presupuestal del ingreso no tenga impacto contable en la </w:t>
      </w:r>
      <w:proofErr w:type="spellStart"/>
      <w:r w:rsidRPr="00265D33">
        <w:rPr>
          <w:rFonts w:ascii="Arial" w:hAnsi="Arial" w:cs="Arial"/>
          <w:color w:val="000000"/>
          <w:sz w:val="22"/>
          <w:szCs w:val="22"/>
        </w:rPr>
        <w:t>causación</w:t>
      </w:r>
      <w:proofErr w:type="spellEnd"/>
      <w:r w:rsidRPr="00265D33">
        <w:rPr>
          <w:rFonts w:ascii="Arial" w:hAnsi="Arial" w:cs="Arial"/>
          <w:color w:val="000000"/>
          <w:sz w:val="22"/>
          <w:szCs w:val="22"/>
        </w:rPr>
        <w:t xml:space="preserve"> y corresponde a los ingresos o pasivos que se registran con el flujo de efectivo en el recaudo. Por ejemplo: deuda, reintegro de vigencias anteriores, donaciones, intereses de mora, entre otros.</w:t>
      </w:r>
    </w:p>
    <w:p w14:paraId="79FFB0A8"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p>
    <w:p w14:paraId="612904A8" w14:textId="77777777" w:rsidR="00EA42B9" w:rsidRPr="001D2485" w:rsidRDefault="00EA42B9" w:rsidP="00EF3D59">
      <w:pPr>
        <w:spacing w:line="288" w:lineRule="auto"/>
        <w:rPr>
          <w:rFonts w:ascii="Arial" w:hAnsi="Arial" w:cs="Arial"/>
          <w:b/>
          <w:color w:val="000000"/>
          <w:sz w:val="22"/>
          <w:szCs w:val="22"/>
        </w:rPr>
      </w:pPr>
      <w:r w:rsidRPr="001D2485">
        <w:rPr>
          <w:rFonts w:ascii="Arial" w:hAnsi="Arial" w:cs="Arial"/>
          <w:b/>
          <w:color w:val="000000"/>
          <w:sz w:val="22"/>
          <w:szCs w:val="22"/>
        </w:rPr>
        <w:t xml:space="preserve">Administración de la </w:t>
      </w:r>
      <w:proofErr w:type="spellStart"/>
      <w:r w:rsidRPr="001D2485">
        <w:rPr>
          <w:rFonts w:ascii="Arial" w:hAnsi="Arial" w:cs="Arial"/>
          <w:b/>
          <w:color w:val="000000"/>
          <w:sz w:val="22"/>
          <w:szCs w:val="22"/>
        </w:rPr>
        <w:t>causación</w:t>
      </w:r>
      <w:proofErr w:type="spellEnd"/>
      <w:r w:rsidRPr="001D2485">
        <w:rPr>
          <w:rFonts w:ascii="Arial" w:hAnsi="Arial" w:cs="Arial"/>
          <w:b/>
          <w:color w:val="000000"/>
          <w:sz w:val="22"/>
          <w:szCs w:val="22"/>
        </w:rPr>
        <w:t xml:space="preserve"> de ingresos</w:t>
      </w:r>
    </w:p>
    <w:p w14:paraId="7DA482F6" w14:textId="77777777" w:rsidR="00EA42B9" w:rsidRPr="00265D33" w:rsidRDefault="00EA42B9" w:rsidP="00EF3D59">
      <w:pPr>
        <w:spacing w:line="288" w:lineRule="auto"/>
        <w:rPr>
          <w:rFonts w:ascii="Arial" w:hAnsi="Arial" w:cs="Arial"/>
          <w:sz w:val="22"/>
          <w:szCs w:val="22"/>
        </w:rPr>
      </w:pPr>
    </w:p>
    <w:p w14:paraId="2B4100B8"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r w:rsidRPr="00265D33">
        <w:rPr>
          <w:rFonts w:ascii="Arial" w:hAnsi="Arial" w:cs="Arial"/>
          <w:color w:val="000000"/>
          <w:sz w:val="22"/>
          <w:szCs w:val="22"/>
        </w:rPr>
        <w:t>La ejecución de un ingreso se puede adicionar, reducir o anular, con incidencia en la contabilidad de la ECP.</w:t>
      </w:r>
    </w:p>
    <w:p w14:paraId="77C5554D"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p>
    <w:p w14:paraId="68666F98"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r w:rsidRPr="00265D33">
        <w:rPr>
          <w:rFonts w:ascii="Arial" w:hAnsi="Arial" w:cs="Arial"/>
          <w:color w:val="000000"/>
          <w:sz w:val="22"/>
          <w:szCs w:val="22"/>
        </w:rPr>
        <w:t xml:space="preserve">El registro contable de la adición afecta los mismos códigos contables de la </w:t>
      </w:r>
      <w:proofErr w:type="spellStart"/>
      <w:r w:rsidRPr="00265D33">
        <w:rPr>
          <w:rFonts w:ascii="Arial" w:hAnsi="Arial" w:cs="Arial"/>
          <w:color w:val="000000"/>
          <w:sz w:val="22"/>
          <w:szCs w:val="22"/>
        </w:rPr>
        <w:t>causación</w:t>
      </w:r>
      <w:proofErr w:type="spellEnd"/>
      <w:r w:rsidRPr="00265D33">
        <w:rPr>
          <w:rFonts w:ascii="Arial" w:hAnsi="Arial" w:cs="Arial"/>
          <w:color w:val="000000"/>
          <w:sz w:val="22"/>
          <w:szCs w:val="22"/>
        </w:rPr>
        <w:t xml:space="preserve"> del ingreso por el valor adicionado.</w:t>
      </w:r>
    </w:p>
    <w:p w14:paraId="3CD4078A"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p>
    <w:p w14:paraId="2D32137F"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r w:rsidRPr="00265D33">
        <w:rPr>
          <w:rFonts w:ascii="Arial" w:hAnsi="Arial" w:cs="Arial"/>
          <w:color w:val="000000"/>
          <w:sz w:val="22"/>
          <w:szCs w:val="22"/>
        </w:rPr>
        <w:t>El registro contable de la reducción del ingreso afecta los mismos códigos contables de su causación por el valor reducido. Igual efecto genera la transacción de anulación por el total del valor causado.</w:t>
      </w:r>
    </w:p>
    <w:p w14:paraId="7522CB38" w14:textId="77777777" w:rsidR="00EA42B9" w:rsidRPr="00265D33" w:rsidRDefault="00EA42B9" w:rsidP="00EF3D59">
      <w:pPr>
        <w:pStyle w:val="unico"/>
        <w:spacing w:before="0" w:beforeAutospacing="0" w:after="0" w:afterAutospacing="0" w:line="288" w:lineRule="auto"/>
        <w:jc w:val="both"/>
        <w:rPr>
          <w:rFonts w:ascii="Arial" w:hAnsi="Arial" w:cs="Arial"/>
          <w:color w:val="000000"/>
          <w:sz w:val="22"/>
          <w:szCs w:val="22"/>
        </w:rPr>
      </w:pPr>
    </w:p>
    <w:p w14:paraId="52DB2C9D" w14:textId="77777777" w:rsidR="00EA42B9" w:rsidRPr="001D2485" w:rsidRDefault="00EA42B9" w:rsidP="00EF3D59">
      <w:pPr>
        <w:spacing w:line="288" w:lineRule="auto"/>
        <w:rPr>
          <w:rFonts w:ascii="Arial" w:hAnsi="Arial" w:cs="Arial"/>
          <w:b/>
          <w:color w:val="000000"/>
          <w:sz w:val="22"/>
          <w:szCs w:val="22"/>
        </w:rPr>
      </w:pPr>
      <w:r w:rsidRPr="001D2485">
        <w:rPr>
          <w:rFonts w:ascii="Arial" w:hAnsi="Arial" w:cs="Arial"/>
          <w:b/>
          <w:color w:val="000000"/>
          <w:sz w:val="22"/>
          <w:szCs w:val="22"/>
        </w:rPr>
        <w:t>Constitución de acreedores varios de ingresos</w:t>
      </w:r>
    </w:p>
    <w:p w14:paraId="3D4B53E2" w14:textId="77777777" w:rsidR="00EA42B9" w:rsidRPr="00265D33" w:rsidRDefault="00EA42B9" w:rsidP="00EF3D59">
      <w:pPr>
        <w:spacing w:line="288" w:lineRule="auto"/>
        <w:rPr>
          <w:rFonts w:ascii="Arial" w:hAnsi="Arial" w:cs="Arial"/>
          <w:sz w:val="22"/>
          <w:szCs w:val="22"/>
        </w:rPr>
      </w:pPr>
    </w:p>
    <w:p w14:paraId="0DDDDE92"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265D33">
        <w:rPr>
          <w:rFonts w:ascii="Arial" w:hAnsi="Arial" w:cs="Arial"/>
          <w:color w:val="000000"/>
          <w:sz w:val="22"/>
          <w:szCs w:val="22"/>
        </w:rPr>
        <w:t xml:space="preserve">Esta transacción tiene su origen en los valores en exceso de consignaciones, consignaciones erradas en cuentas bancarias y mayores valores liquidados en las </w:t>
      </w:r>
      <w:r w:rsidRPr="00265D33">
        <w:rPr>
          <w:rFonts w:ascii="Arial" w:hAnsi="Arial" w:cs="Arial"/>
          <w:color w:val="000000"/>
          <w:sz w:val="22"/>
          <w:szCs w:val="22"/>
        </w:rPr>
        <w:lastRenderedPageBreak/>
        <w:t xml:space="preserve">declaraciones tributarias o actos administrativos, así como en las devoluciones y descuentos en los diferentes conceptos de ingreso, que determinan el acreedor. Requiere de un </w:t>
      </w:r>
      <w:r w:rsidRPr="004D36C1">
        <w:rPr>
          <w:rFonts w:ascii="Arial" w:hAnsi="Arial" w:cs="Arial"/>
          <w:i/>
          <w:iCs/>
          <w:color w:val="000000"/>
          <w:sz w:val="22"/>
          <w:szCs w:val="22"/>
        </w:rPr>
        <w:t>“documento de recaudo por clasificar”</w:t>
      </w:r>
      <w:r w:rsidRPr="00265D33">
        <w:rPr>
          <w:rFonts w:ascii="Arial" w:hAnsi="Arial" w:cs="Arial"/>
          <w:color w:val="000000"/>
          <w:sz w:val="22"/>
          <w:szCs w:val="22"/>
        </w:rPr>
        <w:t xml:space="preserve"> y del registro de la imputación del recaudo</w:t>
      </w:r>
      <w:r w:rsidRPr="00EA42B9">
        <w:rPr>
          <w:rFonts w:ascii="Arial" w:hAnsi="Arial" w:cs="Arial"/>
          <w:color w:val="000000"/>
          <w:sz w:val="22"/>
          <w:szCs w:val="22"/>
        </w:rPr>
        <w:t xml:space="preserve"> para la constitución del acreedor de ingresos. Posterior a su constitución procede el pago con una “orden de pago presupuestal de ingresos”.</w:t>
      </w:r>
    </w:p>
    <w:p w14:paraId="13B035DF"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p>
    <w:p w14:paraId="6A0F73A4"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Los acreedores se constituyen con el rubro de ingresos, el tercero beneficiario de la devolución que define el auxiliar del pasivo constituido y el valor de la misma.</w:t>
      </w:r>
    </w:p>
    <w:p w14:paraId="6DD44D4A" w14:textId="77777777" w:rsidR="00265D33" w:rsidRPr="00EA42B9" w:rsidRDefault="00265D33" w:rsidP="00EF3D59">
      <w:pPr>
        <w:pStyle w:val="unico"/>
        <w:spacing w:before="0" w:beforeAutospacing="0" w:after="0" w:afterAutospacing="0" w:line="288" w:lineRule="auto"/>
        <w:jc w:val="both"/>
        <w:rPr>
          <w:rFonts w:ascii="Arial" w:hAnsi="Arial" w:cs="Arial"/>
          <w:color w:val="000000"/>
          <w:sz w:val="22"/>
          <w:szCs w:val="22"/>
        </w:rPr>
      </w:pPr>
    </w:p>
    <w:p w14:paraId="04A6139C"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El efecto contable está registrado en la tabla de eventos TCON10, con el tipo de registro </w:t>
      </w:r>
      <w:r w:rsidRPr="004D36C1">
        <w:rPr>
          <w:rFonts w:ascii="Arial" w:hAnsi="Arial" w:cs="Arial"/>
          <w:i/>
          <w:iCs/>
          <w:color w:val="000000"/>
          <w:sz w:val="22"/>
          <w:szCs w:val="22"/>
        </w:rPr>
        <w:t>“acreedor”</w:t>
      </w:r>
      <w:r w:rsidRPr="00EA42B9">
        <w:rPr>
          <w:rFonts w:ascii="Arial" w:hAnsi="Arial" w:cs="Arial"/>
          <w:color w:val="000000"/>
          <w:sz w:val="22"/>
          <w:szCs w:val="22"/>
        </w:rPr>
        <w:t>:</w:t>
      </w:r>
    </w:p>
    <w:p w14:paraId="724B07BC" w14:textId="77777777" w:rsidR="00FA7D6F" w:rsidRDefault="00FA7D6F" w:rsidP="00265D33">
      <w:pPr>
        <w:pStyle w:val="unico"/>
        <w:spacing w:before="0" w:beforeAutospacing="0" w:after="0" w:afterAutospacing="0" w:line="312" w:lineRule="auto"/>
        <w:jc w:val="both"/>
        <w:rPr>
          <w:rFonts w:ascii="Arial" w:hAnsi="Arial" w:cs="Arial"/>
          <w:color w:val="000000"/>
          <w:sz w:val="22"/>
          <w:szCs w:val="22"/>
        </w:rPr>
      </w:pPr>
    </w:p>
    <w:tbl>
      <w:tblPr>
        <w:tblW w:w="8784" w:type="dxa"/>
        <w:tblInd w:w="75" w:type="dxa"/>
        <w:tblLayout w:type="fixed"/>
        <w:tblCellMar>
          <w:left w:w="70" w:type="dxa"/>
          <w:right w:w="70" w:type="dxa"/>
        </w:tblCellMar>
        <w:tblLook w:val="04A0" w:firstRow="1" w:lastRow="0" w:firstColumn="1" w:lastColumn="0" w:noHBand="0" w:noVBand="1"/>
      </w:tblPr>
      <w:tblGrid>
        <w:gridCol w:w="704"/>
        <w:gridCol w:w="709"/>
        <w:gridCol w:w="850"/>
        <w:gridCol w:w="993"/>
        <w:gridCol w:w="425"/>
        <w:gridCol w:w="709"/>
        <w:gridCol w:w="708"/>
        <w:gridCol w:w="993"/>
        <w:gridCol w:w="708"/>
        <w:gridCol w:w="851"/>
        <w:gridCol w:w="567"/>
        <w:gridCol w:w="567"/>
      </w:tblGrid>
      <w:tr w:rsidR="005B0A55" w:rsidRPr="00875602" w14:paraId="79A0D9B8" w14:textId="77777777" w:rsidTr="00F01CE1">
        <w:trPr>
          <w:trHeight w:val="113"/>
          <w:tblHeader/>
        </w:trPr>
        <w:tc>
          <w:tcPr>
            <w:tcW w:w="704" w:type="dxa"/>
            <w:tcBorders>
              <w:top w:val="single" w:sz="4" w:space="0" w:color="000000"/>
              <w:left w:val="single" w:sz="4" w:space="0" w:color="000000"/>
              <w:bottom w:val="single" w:sz="4" w:space="0" w:color="000000"/>
              <w:right w:val="single" w:sz="4" w:space="0" w:color="000000"/>
            </w:tcBorders>
            <w:shd w:val="clear" w:color="000000" w:fill="2F5395"/>
            <w:vAlign w:val="center"/>
            <w:hideMark/>
          </w:tcPr>
          <w:p w14:paraId="43749CC0" w14:textId="77777777" w:rsidR="00FA7D6F" w:rsidRPr="00875602" w:rsidRDefault="00FA7D6F"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Tipo de Registro</w:t>
            </w:r>
          </w:p>
        </w:tc>
        <w:tc>
          <w:tcPr>
            <w:tcW w:w="709" w:type="dxa"/>
            <w:tcBorders>
              <w:top w:val="single" w:sz="4" w:space="0" w:color="000000"/>
              <w:left w:val="nil"/>
              <w:bottom w:val="single" w:sz="4" w:space="0" w:color="000000"/>
              <w:right w:val="single" w:sz="4" w:space="0" w:color="000000"/>
            </w:tcBorders>
            <w:shd w:val="clear" w:color="000000" w:fill="2F5395"/>
            <w:vAlign w:val="center"/>
            <w:hideMark/>
          </w:tcPr>
          <w:p w14:paraId="6BAE497D" w14:textId="77777777" w:rsidR="00FA7D6F" w:rsidRPr="00875602" w:rsidRDefault="00FA7D6F"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Vigencia</w:t>
            </w:r>
          </w:p>
        </w:tc>
        <w:tc>
          <w:tcPr>
            <w:tcW w:w="850" w:type="dxa"/>
            <w:tcBorders>
              <w:top w:val="single" w:sz="4" w:space="0" w:color="000000"/>
              <w:left w:val="nil"/>
              <w:bottom w:val="single" w:sz="4" w:space="0" w:color="000000"/>
              <w:right w:val="single" w:sz="4" w:space="0" w:color="000000"/>
            </w:tcBorders>
            <w:shd w:val="clear" w:color="000000" w:fill="2F5395"/>
            <w:vAlign w:val="center"/>
            <w:hideMark/>
          </w:tcPr>
          <w:p w14:paraId="18463527" w14:textId="77777777" w:rsidR="00FA7D6F" w:rsidRPr="00875602" w:rsidRDefault="005B0A5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FA7D6F" w:rsidRPr="00875602">
              <w:rPr>
                <w:rFonts w:ascii="Calibri" w:hAnsi="Calibri"/>
                <w:b/>
                <w:bCs/>
                <w:color w:val="FFFFFF"/>
                <w:sz w:val="12"/>
                <w:szCs w:val="12"/>
                <w:lang w:val="es-CO" w:eastAsia="es-CO"/>
              </w:rPr>
              <w:t xml:space="preserve"> Rubro de Ingreso</w:t>
            </w:r>
          </w:p>
        </w:tc>
        <w:tc>
          <w:tcPr>
            <w:tcW w:w="993" w:type="dxa"/>
            <w:tcBorders>
              <w:top w:val="single" w:sz="4" w:space="0" w:color="000000"/>
              <w:left w:val="nil"/>
              <w:bottom w:val="single" w:sz="4" w:space="0" w:color="000000"/>
              <w:right w:val="single" w:sz="4" w:space="0" w:color="000000"/>
            </w:tcBorders>
            <w:shd w:val="clear" w:color="000000" w:fill="2F5395"/>
            <w:vAlign w:val="center"/>
            <w:hideMark/>
          </w:tcPr>
          <w:p w14:paraId="5871CCA4" w14:textId="77777777" w:rsidR="00FA7D6F" w:rsidRPr="00875602" w:rsidRDefault="005B0A5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FA7D6F" w:rsidRPr="00875602">
              <w:rPr>
                <w:rFonts w:ascii="Calibri" w:hAnsi="Calibri"/>
                <w:b/>
                <w:bCs/>
                <w:color w:val="FFFFFF"/>
                <w:sz w:val="12"/>
                <w:szCs w:val="12"/>
                <w:lang w:val="es-CO" w:eastAsia="es-CO"/>
              </w:rPr>
              <w:t xml:space="preserve"> Rubro de Ingreso</w:t>
            </w:r>
          </w:p>
        </w:tc>
        <w:tc>
          <w:tcPr>
            <w:tcW w:w="425" w:type="dxa"/>
            <w:tcBorders>
              <w:top w:val="single" w:sz="4" w:space="0" w:color="000000"/>
              <w:left w:val="nil"/>
              <w:bottom w:val="single" w:sz="4" w:space="0" w:color="000000"/>
              <w:right w:val="single" w:sz="4" w:space="0" w:color="000000"/>
            </w:tcBorders>
            <w:shd w:val="clear" w:color="000000" w:fill="2F5395"/>
            <w:vAlign w:val="center"/>
            <w:hideMark/>
          </w:tcPr>
          <w:p w14:paraId="20C4A79E" w14:textId="77777777" w:rsidR="00FA7D6F" w:rsidRPr="00875602" w:rsidRDefault="00FA7D6F"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No Contabiliza</w:t>
            </w:r>
          </w:p>
        </w:tc>
        <w:tc>
          <w:tcPr>
            <w:tcW w:w="709" w:type="dxa"/>
            <w:tcBorders>
              <w:top w:val="single" w:sz="4" w:space="0" w:color="000000"/>
              <w:left w:val="nil"/>
              <w:bottom w:val="single" w:sz="4" w:space="0" w:color="000000"/>
              <w:right w:val="single" w:sz="4" w:space="0" w:color="000000"/>
            </w:tcBorders>
            <w:shd w:val="clear" w:color="000000" w:fill="2F5395"/>
            <w:vAlign w:val="center"/>
            <w:hideMark/>
          </w:tcPr>
          <w:p w14:paraId="335F0B6D" w14:textId="77777777" w:rsidR="00FA7D6F" w:rsidRPr="00875602" w:rsidRDefault="00FA7D6F" w:rsidP="00FA7D6F">
            <w:pPr>
              <w:jc w:val="center"/>
              <w:rPr>
                <w:rFonts w:ascii="Calibri" w:hAnsi="Calibri"/>
                <w:b/>
                <w:bCs/>
                <w:color w:val="FFFFFF"/>
                <w:sz w:val="12"/>
                <w:szCs w:val="12"/>
                <w:lang w:val="es-CO" w:eastAsia="es-CO"/>
              </w:rPr>
            </w:pPr>
            <w:proofErr w:type="spellStart"/>
            <w:r w:rsidRPr="00875602">
              <w:rPr>
                <w:rFonts w:ascii="Calibri" w:hAnsi="Calibri"/>
                <w:b/>
                <w:bCs/>
                <w:color w:val="FFFFFF"/>
                <w:sz w:val="12"/>
                <w:szCs w:val="12"/>
                <w:lang w:val="es-CO" w:eastAsia="es-CO"/>
              </w:rPr>
              <w:t>Dif</w:t>
            </w:r>
            <w:proofErr w:type="spellEnd"/>
            <w:r w:rsidRPr="00875602">
              <w:rPr>
                <w:rFonts w:ascii="Calibri" w:hAnsi="Calibri"/>
                <w:b/>
                <w:bCs/>
                <w:color w:val="FFFFFF"/>
                <w:sz w:val="12"/>
                <w:szCs w:val="12"/>
                <w:lang w:val="es-CO" w:eastAsia="es-CO"/>
              </w:rPr>
              <w:t xml:space="preserve"> Cambiario</w:t>
            </w:r>
          </w:p>
        </w:tc>
        <w:tc>
          <w:tcPr>
            <w:tcW w:w="708" w:type="dxa"/>
            <w:tcBorders>
              <w:top w:val="single" w:sz="4" w:space="0" w:color="000000"/>
              <w:left w:val="nil"/>
              <w:bottom w:val="single" w:sz="4" w:space="0" w:color="000000"/>
              <w:right w:val="single" w:sz="4" w:space="0" w:color="000000"/>
            </w:tcBorders>
            <w:shd w:val="clear" w:color="000000" w:fill="2F5395"/>
            <w:vAlign w:val="center"/>
            <w:hideMark/>
          </w:tcPr>
          <w:p w14:paraId="604622D2" w14:textId="77777777" w:rsidR="00FA7D6F" w:rsidRPr="00875602" w:rsidRDefault="00D9511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FA7D6F" w:rsidRPr="00875602">
              <w:rPr>
                <w:rFonts w:ascii="Calibri" w:hAnsi="Calibri"/>
                <w:b/>
                <w:bCs/>
                <w:color w:val="FFFFFF"/>
                <w:sz w:val="12"/>
                <w:szCs w:val="12"/>
                <w:lang w:val="es-CO" w:eastAsia="es-CO"/>
              </w:rPr>
              <w:t xml:space="preserve"> Contable Debe</w:t>
            </w:r>
          </w:p>
        </w:tc>
        <w:tc>
          <w:tcPr>
            <w:tcW w:w="993" w:type="dxa"/>
            <w:tcBorders>
              <w:top w:val="single" w:sz="4" w:space="0" w:color="000000"/>
              <w:left w:val="nil"/>
              <w:bottom w:val="single" w:sz="4" w:space="0" w:color="000000"/>
              <w:right w:val="single" w:sz="4" w:space="0" w:color="000000"/>
            </w:tcBorders>
            <w:shd w:val="clear" w:color="000000" w:fill="2F5395"/>
            <w:vAlign w:val="center"/>
            <w:hideMark/>
          </w:tcPr>
          <w:p w14:paraId="7DB2C467" w14:textId="77777777" w:rsidR="00FA7D6F" w:rsidRPr="00875602" w:rsidRDefault="00D95115" w:rsidP="00FA7D6F">
            <w:pPr>
              <w:jc w:val="center"/>
              <w:rPr>
                <w:rFonts w:ascii="Calibri" w:hAnsi="Calibri"/>
                <w:b/>
                <w:bCs/>
                <w:color w:val="FFFFFF"/>
                <w:sz w:val="12"/>
                <w:szCs w:val="12"/>
                <w:lang w:val="es-CO" w:eastAsia="es-CO"/>
              </w:rPr>
            </w:pPr>
            <w:r>
              <w:rPr>
                <w:rFonts w:ascii="Calibri" w:hAnsi="Calibri"/>
                <w:b/>
                <w:bCs/>
                <w:color w:val="FFFFFF"/>
                <w:sz w:val="12"/>
                <w:szCs w:val="12"/>
                <w:lang w:val="es-CO" w:eastAsia="es-CO"/>
              </w:rPr>
              <w:t>Des</w:t>
            </w:r>
            <w:r w:rsidRPr="00875602">
              <w:rPr>
                <w:rFonts w:ascii="Calibri" w:hAnsi="Calibri"/>
                <w:b/>
                <w:bCs/>
                <w:color w:val="FFFFFF"/>
                <w:sz w:val="12"/>
                <w:szCs w:val="12"/>
                <w:lang w:val="es-CO" w:eastAsia="es-CO"/>
              </w:rPr>
              <w:t>cripción</w:t>
            </w:r>
            <w:r w:rsidR="00FA7D6F"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FA7D6F" w:rsidRPr="00875602">
              <w:rPr>
                <w:rFonts w:ascii="Calibri" w:hAnsi="Calibri"/>
                <w:b/>
                <w:bCs/>
                <w:color w:val="FFFFFF"/>
                <w:sz w:val="12"/>
                <w:szCs w:val="12"/>
                <w:lang w:val="es-CO" w:eastAsia="es-CO"/>
              </w:rPr>
              <w:t xml:space="preserve"> Contable Debe</w:t>
            </w:r>
          </w:p>
        </w:tc>
        <w:tc>
          <w:tcPr>
            <w:tcW w:w="708" w:type="dxa"/>
            <w:tcBorders>
              <w:top w:val="single" w:sz="4" w:space="0" w:color="000000"/>
              <w:left w:val="nil"/>
              <w:bottom w:val="single" w:sz="4" w:space="0" w:color="000000"/>
              <w:right w:val="single" w:sz="4" w:space="0" w:color="000000"/>
            </w:tcBorders>
            <w:shd w:val="clear" w:color="000000" w:fill="2F5395"/>
            <w:vAlign w:val="center"/>
            <w:hideMark/>
          </w:tcPr>
          <w:p w14:paraId="4E2595C2" w14:textId="77777777" w:rsidR="00FA7D6F" w:rsidRPr="00875602" w:rsidRDefault="00D9511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FA7D6F" w:rsidRPr="00875602">
              <w:rPr>
                <w:rFonts w:ascii="Calibri" w:hAnsi="Calibri"/>
                <w:b/>
                <w:bCs/>
                <w:color w:val="FFFFFF"/>
                <w:sz w:val="12"/>
                <w:szCs w:val="12"/>
                <w:lang w:val="es-CO" w:eastAsia="es-CO"/>
              </w:rPr>
              <w:t xml:space="preserve"> Contable Haber</w:t>
            </w:r>
          </w:p>
        </w:tc>
        <w:tc>
          <w:tcPr>
            <w:tcW w:w="851" w:type="dxa"/>
            <w:tcBorders>
              <w:top w:val="single" w:sz="4" w:space="0" w:color="000000"/>
              <w:left w:val="nil"/>
              <w:bottom w:val="single" w:sz="4" w:space="0" w:color="000000"/>
              <w:right w:val="single" w:sz="4" w:space="0" w:color="000000"/>
            </w:tcBorders>
            <w:shd w:val="clear" w:color="000000" w:fill="2F5395"/>
            <w:vAlign w:val="center"/>
            <w:hideMark/>
          </w:tcPr>
          <w:p w14:paraId="12EF1483" w14:textId="77777777" w:rsidR="00FA7D6F" w:rsidRPr="00875602" w:rsidRDefault="005B0A5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FA7D6F"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FA7D6F" w:rsidRPr="00875602">
              <w:rPr>
                <w:rFonts w:ascii="Calibri" w:hAnsi="Calibri"/>
                <w:b/>
                <w:bCs/>
                <w:color w:val="FFFFFF"/>
                <w:sz w:val="12"/>
                <w:szCs w:val="12"/>
                <w:lang w:val="es-CO" w:eastAsia="es-CO"/>
              </w:rPr>
              <w:t xml:space="preserve"> Contable Haber</w:t>
            </w:r>
          </w:p>
        </w:tc>
        <w:tc>
          <w:tcPr>
            <w:tcW w:w="567" w:type="dxa"/>
            <w:tcBorders>
              <w:top w:val="single" w:sz="4" w:space="0" w:color="000000"/>
              <w:left w:val="nil"/>
              <w:bottom w:val="single" w:sz="4" w:space="0" w:color="000000"/>
              <w:right w:val="single" w:sz="4" w:space="0" w:color="000000"/>
            </w:tcBorders>
            <w:shd w:val="clear" w:color="000000" w:fill="2F5395"/>
            <w:vAlign w:val="center"/>
            <w:hideMark/>
          </w:tcPr>
          <w:p w14:paraId="78F2A1AE" w14:textId="77777777" w:rsidR="00FA7D6F" w:rsidRPr="00875602" w:rsidRDefault="00FA7D6F"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Vigente</w:t>
            </w:r>
          </w:p>
        </w:tc>
        <w:tc>
          <w:tcPr>
            <w:tcW w:w="567" w:type="dxa"/>
            <w:tcBorders>
              <w:top w:val="single" w:sz="4" w:space="0" w:color="000000"/>
              <w:left w:val="nil"/>
              <w:bottom w:val="single" w:sz="4" w:space="0" w:color="000000"/>
              <w:right w:val="single" w:sz="4" w:space="0" w:color="000000"/>
            </w:tcBorders>
            <w:shd w:val="clear" w:color="000000" w:fill="2F5395"/>
            <w:vAlign w:val="center"/>
            <w:hideMark/>
          </w:tcPr>
          <w:p w14:paraId="0F3183FA" w14:textId="77777777" w:rsidR="00FA7D6F" w:rsidRPr="00875602" w:rsidRDefault="005B0A55" w:rsidP="00FA7D6F">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Ámbito</w:t>
            </w:r>
          </w:p>
        </w:tc>
      </w:tr>
      <w:tr w:rsidR="005B0A55" w:rsidRPr="00875602" w14:paraId="3C355308"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ACD681F"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252045E7"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6226842F"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6-0-0-0-67-10</w:t>
            </w:r>
          </w:p>
        </w:tc>
        <w:tc>
          <w:tcPr>
            <w:tcW w:w="993" w:type="dxa"/>
            <w:tcBorders>
              <w:top w:val="nil"/>
              <w:left w:val="nil"/>
              <w:bottom w:val="single" w:sz="4" w:space="0" w:color="000000"/>
              <w:right w:val="single" w:sz="4" w:space="0" w:color="000000"/>
            </w:tcBorders>
            <w:shd w:val="clear" w:color="auto" w:fill="auto"/>
            <w:vAlign w:val="center"/>
            <w:hideMark/>
          </w:tcPr>
          <w:p w14:paraId="7AA9F409"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Impuesto de remate ley 1743</w:t>
            </w:r>
          </w:p>
        </w:tc>
        <w:tc>
          <w:tcPr>
            <w:tcW w:w="425" w:type="dxa"/>
            <w:tcBorders>
              <w:top w:val="nil"/>
              <w:left w:val="nil"/>
              <w:bottom w:val="single" w:sz="4" w:space="0" w:color="000000"/>
              <w:right w:val="single" w:sz="4" w:space="0" w:color="000000"/>
            </w:tcBorders>
            <w:shd w:val="clear" w:color="auto" w:fill="auto"/>
            <w:vAlign w:val="center"/>
            <w:hideMark/>
          </w:tcPr>
          <w:p w14:paraId="6503EBDD"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627C5B05"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57BCB192"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419543001</w:t>
            </w:r>
          </w:p>
        </w:tc>
        <w:tc>
          <w:tcPr>
            <w:tcW w:w="993" w:type="dxa"/>
            <w:tcBorders>
              <w:top w:val="nil"/>
              <w:left w:val="nil"/>
              <w:bottom w:val="single" w:sz="4" w:space="0" w:color="000000"/>
              <w:right w:val="single" w:sz="4" w:space="0" w:color="000000"/>
            </w:tcBorders>
            <w:shd w:val="clear" w:color="auto" w:fill="auto"/>
            <w:vAlign w:val="center"/>
            <w:hideMark/>
          </w:tcPr>
          <w:p w14:paraId="7CF5174F"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Impuestos sobre los remates</w:t>
            </w:r>
          </w:p>
        </w:tc>
        <w:tc>
          <w:tcPr>
            <w:tcW w:w="708" w:type="dxa"/>
            <w:tcBorders>
              <w:top w:val="nil"/>
              <w:left w:val="nil"/>
              <w:bottom w:val="single" w:sz="4" w:space="0" w:color="000000"/>
              <w:right w:val="single" w:sz="4" w:space="0" w:color="000000"/>
            </w:tcBorders>
            <w:shd w:val="clear" w:color="auto" w:fill="auto"/>
            <w:vAlign w:val="center"/>
            <w:hideMark/>
          </w:tcPr>
          <w:p w14:paraId="618C39C4"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249039001</w:t>
            </w:r>
          </w:p>
        </w:tc>
        <w:tc>
          <w:tcPr>
            <w:tcW w:w="851" w:type="dxa"/>
            <w:tcBorders>
              <w:top w:val="nil"/>
              <w:left w:val="nil"/>
              <w:bottom w:val="single" w:sz="4" w:space="0" w:color="000000"/>
              <w:right w:val="single" w:sz="4" w:space="0" w:color="000000"/>
            </w:tcBorders>
            <w:shd w:val="clear" w:color="auto" w:fill="auto"/>
            <w:vAlign w:val="center"/>
            <w:hideMark/>
          </w:tcPr>
          <w:p w14:paraId="5B910F02"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contribuyentes</w:t>
            </w:r>
          </w:p>
        </w:tc>
        <w:tc>
          <w:tcPr>
            <w:tcW w:w="567" w:type="dxa"/>
            <w:tcBorders>
              <w:top w:val="nil"/>
              <w:left w:val="nil"/>
              <w:bottom w:val="single" w:sz="4" w:space="0" w:color="000000"/>
              <w:right w:val="single" w:sz="4" w:space="0" w:color="000000"/>
            </w:tcBorders>
            <w:shd w:val="clear" w:color="auto" w:fill="auto"/>
            <w:vAlign w:val="center"/>
            <w:hideMark/>
          </w:tcPr>
          <w:p w14:paraId="66F9B4C3"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14989268"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0C870920"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4BF3D09"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17956806"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59C47B48"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1-1-1-0-1-3</w:t>
            </w:r>
          </w:p>
        </w:tc>
        <w:tc>
          <w:tcPr>
            <w:tcW w:w="993" w:type="dxa"/>
            <w:tcBorders>
              <w:top w:val="nil"/>
              <w:left w:val="nil"/>
              <w:bottom w:val="single" w:sz="4" w:space="0" w:color="000000"/>
              <w:right w:val="single" w:sz="4" w:space="0" w:color="000000"/>
            </w:tcBorders>
            <w:shd w:val="clear" w:color="auto" w:fill="auto"/>
            <w:vAlign w:val="center"/>
            <w:hideMark/>
          </w:tcPr>
          <w:p w14:paraId="61BA4F79"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Anticipo impuesto de renta y complementarios</w:t>
            </w:r>
          </w:p>
        </w:tc>
        <w:tc>
          <w:tcPr>
            <w:tcW w:w="425" w:type="dxa"/>
            <w:tcBorders>
              <w:top w:val="nil"/>
              <w:left w:val="nil"/>
              <w:bottom w:val="single" w:sz="4" w:space="0" w:color="000000"/>
              <w:right w:val="single" w:sz="4" w:space="0" w:color="000000"/>
            </w:tcBorders>
            <w:shd w:val="clear" w:color="auto" w:fill="auto"/>
            <w:vAlign w:val="center"/>
            <w:hideMark/>
          </w:tcPr>
          <w:p w14:paraId="4387B863"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48B9893A"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10D2590E"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291701001</w:t>
            </w:r>
          </w:p>
        </w:tc>
        <w:tc>
          <w:tcPr>
            <w:tcW w:w="993" w:type="dxa"/>
            <w:tcBorders>
              <w:top w:val="nil"/>
              <w:left w:val="nil"/>
              <w:bottom w:val="single" w:sz="4" w:space="0" w:color="000000"/>
              <w:right w:val="single" w:sz="4" w:space="0" w:color="000000"/>
            </w:tcBorders>
            <w:shd w:val="clear" w:color="auto" w:fill="auto"/>
            <w:vAlign w:val="center"/>
            <w:hideMark/>
          </w:tcPr>
          <w:p w14:paraId="70AF1F89"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Anticipo impuesto de renta y complementarios</w:t>
            </w:r>
          </w:p>
        </w:tc>
        <w:tc>
          <w:tcPr>
            <w:tcW w:w="708" w:type="dxa"/>
            <w:tcBorders>
              <w:top w:val="nil"/>
              <w:left w:val="nil"/>
              <w:bottom w:val="single" w:sz="4" w:space="0" w:color="000000"/>
              <w:right w:val="single" w:sz="4" w:space="0" w:color="000000"/>
            </w:tcBorders>
            <w:shd w:val="clear" w:color="auto" w:fill="auto"/>
            <w:vAlign w:val="center"/>
            <w:hideMark/>
          </w:tcPr>
          <w:p w14:paraId="0959C67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249039001</w:t>
            </w:r>
          </w:p>
        </w:tc>
        <w:tc>
          <w:tcPr>
            <w:tcW w:w="851" w:type="dxa"/>
            <w:tcBorders>
              <w:top w:val="nil"/>
              <w:left w:val="nil"/>
              <w:bottom w:val="single" w:sz="4" w:space="0" w:color="000000"/>
              <w:right w:val="single" w:sz="4" w:space="0" w:color="000000"/>
            </w:tcBorders>
            <w:shd w:val="clear" w:color="auto" w:fill="auto"/>
            <w:vAlign w:val="center"/>
            <w:hideMark/>
          </w:tcPr>
          <w:p w14:paraId="54200BF6"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contribuyentes</w:t>
            </w:r>
          </w:p>
        </w:tc>
        <w:tc>
          <w:tcPr>
            <w:tcW w:w="567" w:type="dxa"/>
            <w:tcBorders>
              <w:top w:val="nil"/>
              <w:left w:val="nil"/>
              <w:bottom w:val="single" w:sz="4" w:space="0" w:color="000000"/>
              <w:right w:val="single" w:sz="4" w:space="0" w:color="000000"/>
            </w:tcBorders>
            <w:shd w:val="clear" w:color="auto" w:fill="auto"/>
            <w:vAlign w:val="center"/>
            <w:hideMark/>
          </w:tcPr>
          <w:p w14:paraId="6C77CDCE"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4B1F5830"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137CEAAF"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375C261"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47AECE17"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182533CE"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3-1-2-8-2-9</w:t>
            </w:r>
          </w:p>
        </w:tc>
        <w:tc>
          <w:tcPr>
            <w:tcW w:w="993" w:type="dxa"/>
            <w:tcBorders>
              <w:top w:val="nil"/>
              <w:left w:val="nil"/>
              <w:bottom w:val="single" w:sz="4" w:space="0" w:color="000000"/>
              <w:right w:val="single" w:sz="4" w:space="0" w:color="000000"/>
            </w:tcBorders>
            <w:shd w:val="clear" w:color="auto" w:fill="auto"/>
            <w:vAlign w:val="center"/>
            <w:hideMark/>
          </w:tcPr>
          <w:p w14:paraId="66412B71"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Pruebas de paternidad</w:t>
            </w:r>
          </w:p>
        </w:tc>
        <w:tc>
          <w:tcPr>
            <w:tcW w:w="425" w:type="dxa"/>
            <w:tcBorders>
              <w:top w:val="nil"/>
              <w:left w:val="nil"/>
              <w:bottom w:val="single" w:sz="4" w:space="0" w:color="000000"/>
              <w:right w:val="single" w:sz="4" w:space="0" w:color="000000"/>
            </w:tcBorders>
            <w:shd w:val="clear" w:color="auto" w:fill="auto"/>
            <w:vAlign w:val="center"/>
            <w:hideMark/>
          </w:tcPr>
          <w:p w14:paraId="6D2C846F"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5FE1963A"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6C4D0B4E"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480843001</w:t>
            </w:r>
          </w:p>
        </w:tc>
        <w:tc>
          <w:tcPr>
            <w:tcW w:w="993" w:type="dxa"/>
            <w:tcBorders>
              <w:top w:val="nil"/>
              <w:left w:val="nil"/>
              <w:bottom w:val="single" w:sz="4" w:space="0" w:color="000000"/>
              <w:right w:val="single" w:sz="4" w:space="0" w:color="000000"/>
            </w:tcBorders>
            <w:shd w:val="clear" w:color="auto" w:fill="auto"/>
            <w:vAlign w:val="center"/>
            <w:hideMark/>
          </w:tcPr>
          <w:p w14:paraId="62B7A02D"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Prueba de paternidad</w:t>
            </w:r>
          </w:p>
        </w:tc>
        <w:tc>
          <w:tcPr>
            <w:tcW w:w="708" w:type="dxa"/>
            <w:tcBorders>
              <w:top w:val="nil"/>
              <w:left w:val="nil"/>
              <w:bottom w:val="single" w:sz="4" w:space="0" w:color="000000"/>
              <w:right w:val="single" w:sz="4" w:space="0" w:color="000000"/>
            </w:tcBorders>
            <w:shd w:val="clear" w:color="auto" w:fill="auto"/>
            <w:vAlign w:val="center"/>
            <w:hideMark/>
          </w:tcPr>
          <w:p w14:paraId="3988CD78"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503F3661"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24161383"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7DF74E1F"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16B59297"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A43F2F2"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5BCC10A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3EA85965"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3-1-2-3-2-9</w:t>
            </w:r>
          </w:p>
        </w:tc>
        <w:tc>
          <w:tcPr>
            <w:tcW w:w="993" w:type="dxa"/>
            <w:tcBorders>
              <w:top w:val="nil"/>
              <w:left w:val="nil"/>
              <w:bottom w:val="single" w:sz="4" w:space="0" w:color="000000"/>
              <w:right w:val="single" w:sz="4" w:space="0" w:color="000000"/>
            </w:tcBorders>
            <w:shd w:val="clear" w:color="auto" w:fill="auto"/>
            <w:vAlign w:val="center"/>
            <w:hideMark/>
          </w:tcPr>
          <w:p w14:paraId="5B7A5966" w14:textId="77777777" w:rsidR="00FA7D6F" w:rsidRPr="00875602" w:rsidRDefault="005B0A55"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Organización</w:t>
            </w:r>
            <w:r w:rsidR="00E978B1" w:rsidRPr="00875602">
              <w:rPr>
                <w:rFonts w:ascii="Calibri" w:hAnsi="Calibri"/>
                <w:color w:val="000000"/>
                <w:sz w:val="12"/>
                <w:szCs w:val="12"/>
                <w:lang w:val="es-CO" w:eastAsia="es-CO"/>
              </w:rPr>
              <w:t xml:space="preserve"> de eventos</w:t>
            </w:r>
          </w:p>
        </w:tc>
        <w:tc>
          <w:tcPr>
            <w:tcW w:w="425" w:type="dxa"/>
            <w:tcBorders>
              <w:top w:val="nil"/>
              <w:left w:val="nil"/>
              <w:bottom w:val="single" w:sz="4" w:space="0" w:color="000000"/>
              <w:right w:val="single" w:sz="4" w:space="0" w:color="000000"/>
            </w:tcBorders>
            <w:shd w:val="clear" w:color="auto" w:fill="auto"/>
            <w:vAlign w:val="center"/>
            <w:hideMark/>
          </w:tcPr>
          <w:p w14:paraId="7FC4727F"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2E69672D"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1CA7F8B3"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439590010</w:t>
            </w:r>
          </w:p>
        </w:tc>
        <w:tc>
          <w:tcPr>
            <w:tcW w:w="993" w:type="dxa"/>
            <w:tcBorders>
              <w:top w:val="nil"/>
              <w:left w:val="nil"/>
              <w:bottom w:val="single" w:sz="4" w:space="0" w:color="000000"/>
              <w:right w:val="single" w:sz="4" w:space="0" w:color="000000"/>
            </w:tcBorders>
            <w:shd w:val="clear" w:color="auto" w:fill="auto"/>
            <w:vAlign w:val="center"/>
            <w:hideMark/>
          </w:tcPr>
          <w:p w14:paraId="72FCAC36"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Organización de eventos</w:t>
            </w:r>
          </w:p>
        </w:tc>
        <w:tc>
          <w:tcPr>
            <w:tcW w:w="708" w:type="dxa"/>
            <w:tcBorders>
              <w:top w:val="nil"/>
              <w:left w:val="nil"/>
              <w:bottom w:val="single" w:sz="4" w:space="0" w:color="000000"/>
              <w:right w:val="single" w:sz="4" w:space="0" w:color="000000"/>
            </w:tcBorders>
            <w:shd w:val="clear" w:color="auto" w:fill="auto"/>
            <w:vAlign w:val="center"/>
            <w:hideMark/>
          </w:tcPr>
          <w:p w14:paraId="626794DE"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3AC6EF3A"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7CD45118"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7837FB6E"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3E3B25AE"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EC5666C"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05F72696"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75900ACD"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3-1-2-9-5-2-8</w:t>
            </w:r>
          </w:p>
        </w:tc>
        <w:tc>
          <w:tcPr>
            <w:tcW w:w="993" w:type="dxa"/>
            <w:tcBorders>
              <w:top w:val="nil"/>
              <w:left w:val="nil"/>
              <w:bottom w:val="single" w:sz="4" w:space="0" w:color="000000"/>
              <w:right w:val="single" w:sz="4" w:space="0" w:color="000000"/>
            </w:tcBorders>
            <w:shd w:val="clear" w:color="auto" w:fill="auto"/>
            <w:vAlign w:val="center"/>
            <w:hideMark/>
          </w:tcPr>
          <w:p w14:paraId="31FB5129"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 xml:space="preserve">Servicio de </w:t>
            </w:r>
            <w:r w:rsidR="005B0A55" w:rsidRPr="00875602">
              <w:rPr>
                <w:rFonts w:ascii="Calibri" w:hAnsi="Calibri"/>
                <w:color w:val="000000"/>
                <w:sz w:val="12"/>
                <w:szCs w:val="12"/>
                <w:lang w:val="es-CO" w:eastAsia="es-CO"/>
              </w:rPr>
              <w:t>lavandería</w:t>
            </w:r>
          </w:p>
        </w:tc>
        <w:tc>
          <w:tcPr>
            <w:tcW w:w="425" w:type="dxa"/>
            <w:tcBorders>
              <w:top w:val="nil"/>
              <w:left w:val="nil"/>
              <w:bottom w:val="single" w:sz="4" w:space="0" w:color="000000"/>
              <w:right w:val="single" w:sz="4" w:space="0" w:color="000000"/>
            </w:tcBorders>
            <w:shd w:val="clear" w:color="auto" w:fill="auto"/>
            <w:vAlign w:val="center"/>
            <w:hideMark/>
          </w:tcPr>
          <w:p w14:paraId="116560F2"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7944EF97"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64A85F3A"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439590011</w:t>
            </w:r>
          </w:p>
        </w:tc>
        <w:tc>
          <w:tcPr>
            <w:tcW w:w="993" w:type="dxa"/>
            <w:tcBorders>
              <w:top w:val="nil"/>
              <w:left w:val="nil"/>
              <w:bottom w:val="single" w:sz="4" w:space="0" w:color="000000"/>
              <w:right w:val="single" w:sz="4" w:space="0" w:color="000000"/>
            </w:tcBorders>
            <w:shd w:val="clear" w:color="auto" w:fill="auto"/>
            <w:vAlign w:val="center"/>
            <w:hideMark/>
          </w:tcPr>
          <w:p w14:paraId="2A5A1926"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Servicios de lavandería</w:t>
            </w:r>
          </w:p>
        </w:tc>
        <w:tc>
          <w:tcPr>
            <w:tcW w:w="708" w:type="dxa"/>
            <w:tcBorders>
              <w:top w:val="nil"/>
              <w:left w:val="nil"/>
              <w:bottom w:val="single" w:sz="4" w:space="0" w:color="000000"/>
              <w:right w:val="single" w:sz="4" w:space="0" w:color="000000"/>
            </w:tcBorders>
            <w:shd w:val="clear" w:color="auto" w:fill="auto"/>
            <w:vAlign w:val="center"/>
            <w:hideMark/>
          </w:tcPr>
          <w:p w14:paraId="5D83A1EA"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1DE7896B"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568F8791"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5B509A45"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2BD0E3A4"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E214B2A"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5E4D8AFC"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5FD9C1C8"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6-0-0-0-14-28</w:t>
            </w:r>
          </w:p>
        </w:tc>
        <w:tc>
          <w:tcPr>
            <w:tcW w:w="993" w:type="dxa"/>
            <w:tcBorders>
              <w:top w:val="nil"/>
              <w:left w:val="nil"/>
              <w:bottom w:val="single" w:sz="4" w:space="0" w:color="000000"/>
              <w:right w:val="single" w:sz="4" w:space="0" w:color="000000"/>
            </w:tcBorders>
            <w:shd w:val="clear" w:color="auto" w:fill="auto"/>
            <w:vAlign w:val="center"/>
            <w:hideMark/>
          </w:tcPr>
          <w:p w14:paraId="3FEC0680"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Convenios internacionales</w:t>
            </w:r>
          </w:p>
        </w:tc>
        <w:tc>
          <w:tcPr>
            <w:tcW w:w="425" w:type="dxa"/>
            <w:tcBorders>
              <w:top w:val="nil"/>
              <w:left w:val="nil"/>
              <w:bottom w:val="single" w:sz="4" w:space="0" w:color="000000"/>
              <w:right w:val="single" w:sz="4" w:space="0" w:color="000000"/>
            </w:tcBorders>
            <w:shd w:val="clear" w:color="auto" w:fill="auto"/>
            <w:vAlign w:val="center"/>
            <w:hideMark/>
          </w:tcPr>
          <w:p w14:paraId="5CC2251B"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1F165706"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37154F55"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439590012</w:t>
            </w:r>
          </w:p>
        </w:tc>
        <w:tc>
          <w:tcPr>
            <w:tcW w:w="993" w:type="dxa"/>
            <w:tcBorders>
              <w:top w:val="nil"/>
              <w:left w:val="nil"/>
              <w:bottom w:val="single" w:sz="4" w:space="0" w:color="000000"/>
              <w:right w:val="single" w:sz="4" w:space="0" w:color="000000"/>
            </w:tcBorders>
            <w:shd w:val="clear" w:color="auto" w:fill="auto"/>
            <w:vAlign w:val="center"/>
            <w:hideMark/>
          </w:tcPr>
          <w:p w14:paraId="479134AA"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Servicios de seguridad y escolta</w:t>
            </w:r>
          </w:p>
        </w:tc>
        <w:tc>
          <w:tcPr>
            <w:tcW w:w="708" w:type="dxa"/>
            <w:tcBorders>
              <w:top w:val="nil"/>
              <w:left w:val="nil"/>
              <w:bottom w:val="single" w:sz="4" w:space="0" w:color="000000"/>
              <w:right w:val="single" w:sz="4" w:space="0" w:color="000000"/>
            </w:tcBorders>
            <w:shd w:val="clear" w:color="auto" w:fill="auto"/>
            <w:vAlign w:val="center"/>
            <w:hideMark/>
          </w:tcPr>
          <w:p w14:paraId="289E2DDC"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57520B11"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017F6338"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567" w:type="dxa"/>
            <w:tcBorders>
              <w:top w:val="nil"/>
              <w:left w:val="nil"/>
              <w:bottom w:val="single" w:sz="4" w:space="0" w:color="000000"/>
              <w:right w:val="single" w:sz="4" w:space="0" w:color="000000"/>
            </w:tcBorders>
            <w:shd w:val="clear" w:color="auto" w:fill="auto"/>
            <w:vAlign w:val="center"/>
            <w:hideMark/>
          </w:tcPr>
          <w:p w14:paraId="0F0E1F3B"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4014A2A3"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7B9DB51"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001F6E43"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50D5A22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6-0-0-0-14-47</w:t>
            </w:r>
          </w:p>
        </w:tc>
        <w:tc>
          <w:tcPr>
            <w:tcW w:w="993" w:type="dxa"/>
            <w:tcBorders>
              <w:top w:val="nil"/>
              <w:left w:val="nil"/>
              <w:bottom w:val="single" w:sz="4" w:space="0" w:color="000000"/>
              <w:right w:val="single" w:sz="4" w:space="0" w:color="000000"/>
            </w:tcBorders>
            <w:shd w:val="clear" w:color="auto" w:fill="auto"/>
            <w:vAlign w:val="center"/>
            <w:hideMark/>
          </w:tcPr>
          <w:p w14:paraId="2EBB390F"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Convenios institucionales</w:t>
            </w:r>
          </w:p>
        </w:tc>
        <w:tc>
          <w:tcPr>
            <w:tcW w:w="425" w:type="dxa"/>
            <w:tcBorders>
              <w:top w:val="nil"/>
              <w:left w:val="nil"/>
              <w:bottom w:val="single" w:sz="4" w:space="0" w:color="000000"/>
              <w:right w:val="single" w:sz="4" w:space="0" w:color="000000"/>
            </w:tcBorders>
            <w:shd w:val="clear" w:color="auto" w:fill="auto"/>
            <w:vAlign w:val="center"/>
            <w:hideMark/>
          </w:tcPr>
          <w:p w14:paraId="5F88AE11"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198AB62B"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797B49FD"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439590012</w:t>
            </w:r>
          </w:p>
        </w:tc>
        <w:tc>
          <w:tcPr>
            <w:tcW w:w="993" w:type="dxa"/>
            <w:tcBorders>
              <w:top w:val="nil"/>
              <w:left w:val="nil"/>
              <w:bottom w:val="single" w:sz="4" w:space="0" w:color="000000"/>
              <w:right w:val="single" w:sz="4" w:space="0" w:color="000000"/>
            </w:tcBorders>
            <w:shd w:val="clear" w:color="auto" w:fill="auto"/>
            <w:vAlign w:val="center"/>
            <w:hideMark/>
          </w:tcPr>
          <w:p w14:paraId="09D25BDC"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Servicios de seguridad y escolta</w:t>
            </w:r>
          </w:p>
        </w:tc>
        <w:tc>
          <w:tcPr>
            <w:tcW w:w="708" w:type="dxa"/>
            <w:tcBorders>
              <w:top w:val="nil"/>
              <w:left w:val="nil"/>
              <w:bottom w:val="single" w:sz="4" w:space="0" w:color="000000"/>
              <w:right w:val="single" w:sz="4" w:space="0" w:color="000000"/>
            </w:tcBorders>
            <w:shd w:val="clear" w:color="auto" w:fill="auto"/>
            <w:vAlign w:val="center"/>
            <w:hideMark/>
          </w:tcPr>
          <w:p w14:paraId="661ABE97"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2B0EA57C"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6BEF5ED6"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567" w:type="dxa"/>
            <w:tcBorders>
              <w:top w:val="nil"/>
              <w:left w:val="nil"/>
              <w:bottom w:val="single" w:sz="4" w:space="0" w:color="000000"/>
              <w:right w:val="single" w:sz="4" w:space="0" w:color="000000"/>
            </w:tcBorders>
            <w:shd w:val="clear" w:color="auto" w:fill="auto"/>
            <w:vAlign w:val="center"/>
            <w:hideMark/>
          </w:tcPr>
          <w:p w14:paraId="59161AF2"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2E62F3F5"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2B01031"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676A24D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50" w:type="dxa"/>
            <w:tcBorders>
              <w:top w:val="nil"/>
              <w:left w:val="nil"/>
              <w:bottom w:val="single" w:sz="4" w:space="0" w:color="000000"/>
              <w:right w:val="single" w:sz="4" w:space="0" w:color="000000"/>
            </w:tcBorders>
            <w:shd w:val="clear" w:color="auto" w:fill="auto"/>
            <w:vAlign w:val="center"/>
            <w:hideMark/>
          </w:tcPr>
          <w:p w14:paraId="6E14C58A"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3-1-2-1-2-8-11</w:t>
            </w:r>
          </w:p>
        </w:tc>
        <w:tc>
          <w:tcPr>
            <w:tcW w:w="993" w:type="dxa"/>
            <w:tcBorders>
              <w:top w:val="nil"/>
              <w:left w:val="nil"/>
              <w:bottom w:val="single" w:sz="4" w:space="0" w:color="000000"/>
              <w:right w:val="single" w:sz="4" w:space="0" w:color="000000"/>
            </w:tcBorders>
            <w:shd w:val="clear" w:color="auto" w:fill="auto"/>
            <w:vAlign w:val="center"/>
            <w:hideMark/>
          </w:tcPr>
          <w:p w14:paraId="2DEB3320"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Servicios de seguridad y escolta</w:t>
            </w:r>
          </w:p>
        </w:tc>
        <w:tc>
          <w:tcPr>
            <w:tcW w:w="425" w:type="dxa"/>
            <w:tcBorders>
              <w:top w:val="nil"/>
              <w:left w:val="nil"/>
              <w:bottom w:val="single" w:sz="4" w:space="0" w:color="000000"/>
              <w:right w:val="single" w:sz="4" w:space="0" w:color="000000"/>
            </w:tcBorders>
            <w:shd w:val="clear" w:color="auto" w:fill="auto"/>
            <w:vAlign w:val="center"/>
            <w:hideMark/>
          </w:tcPr>
          <w:p w14:paraId="33150CFF"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49A05938"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278B973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439590012</w:t>
            </w:r>
          </w:p>
        </w:tc>
        <w:tc>
          <w:tcPr>
            <w:tcW w:w="993" w:type="dxa"/>
            <w:tcBorders>
              <w:top w:val="nil"/>
              <w:left w:val="nil"/>
              <w:bottom w:val="single" w:sz="4" w:space="0" w:color="000000"/>
              <w:right w:val="single" w:sz="4" w:space="0" w:color="000000"/>
            </w:tcBorders>
            <w:shd w:val="clear" w:color="auto" w:fill="auto"/>
            <w:vAlign w:val="center"/>
            <w:hideMark/>
          </w:tcPr>
          <w:p w14:paraId="31357CC4"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Servicios de seguridad y escolta</w:t>
            </w:r>
          </w:p>
        </w:tc>
        <w:tc>
          <w:tcPr>
            <w:tcW w:w="708" w:type="dxa"/>
            <w:tcBorders>
              <w:top w:val="nil"/>
              <w:left w:val="nil"/>
              <w:bottom w:val="single" w:sz="4" w:space="0" w:color="000000"/>
              <w:right w:val="single" w:sz="4" w:space="0" w:color="000000"/>
            </w:tcBorders>
            <w:shd w:val="clear" w:color="auto" w:fill="auto"/>
            <w:vAlign w:val="center"/>
            <w:hideMark/>
          </w:tcPr>
          <w:p w14:paraId="6C0025DF"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5CB9BE77"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5CCCCF25"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567" w:type="dxa"/>
            <w:tcBorders>
              <w:top w:val="nil"/>
              <w:left w:val="nil"/>
              <w:bottom w:val="single" w:sz="4" w:space="0" w:color="000000"/>
              <w:right w:val="single" w:sz="4" w:space="0" w:color="000000"/>
            </w:tcBorders>
            <w:shd w:val="clear" w:color="auto" w:fill="auto"/>
            <w:vAlign w:val="center"/>
            <w:hideMark/>
          </w:tcPr>
          <w:p w14:paraId="38339835"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5B0A55" w:rsidRPr="00875602" w14:paraId="3B242EAB" w14:textId="77777777" w:rsidTr="00342D83">
        <w:trPr>
          <w:trHeight w:val="11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535DB84"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709" w:type="dxa"/>
            <w:tcBorders>
              <w:top w:val="nil"/>
              <w:left w:val="nil"/>
              <w:bottom w:val="single" w:sz="4" w:space="0" w:color="000000"/>
              <w:right w:val="single" w:sz="4" w:space="0" w:color="000000"/>
            </w:tcBorders>
            <w:shd w:val="clear" w:color="auto" w:fill="auto"/>
            <w:vAlign w:val="center"/>
            <w:hideMark/>
          </w:tcPr>
          <w:p w14:paraId="1E3324CE"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Anterior</w:t>
            </w:r>
          </w:p>
        </w:tc>
        <w:tc>
          <w:tcPr>
            <w:tcW w:w="850" w:type="dxa"/>
            <w:tcBorders>
              <w:top w:val="nil"/>
              <w:left w:val="nil"/>
              <w:bottom w:val="single" w:sz="4" w:space="0" w:color="000000"/>
              <w:right w:val="single" w:sz="4" w:space="0" w:color="000000"/>
            </w:tcBorders>
            <w:shd w:val="clear" w:color="auto" w:fill="auto"/>
            <w:vAlign w:val="center"/>
            <w:hideMark/>
          </w:tcPr>
          <w:p w14:paraId="2B17C21D"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3-2-6-0-2</w:t>
            </w:r>
          </w:p>
        </w:tc>
        <w:tc>
          <w:tcPr>
            <w:tcW w:w="993" w:type="dxa"/>
            <w:tcBorders>
              <w:top w:val="nil"/>
              <w:left w:val="nil"/>
              <w:bottom w:val="single" w:sz="4" w:space="0" w:color="000000"/>
              <w:right w:val="single" w:sz="4" w:space="0" w:color="000000"/>
            </w:tcBorders>
            <w:shd w:val="clear" w:color="auto" w:fill="auto"/>
            <w:vAlign w:val="center"/>
            <w:hideMark/>
          </w:tcPr>
          <w:p w14:paraId="497E8CC1" w14:textId="77777777" w:rsidR="00FA7D6F" w:rsidRPr="00875602" w:rsidRDefault="00E978B1"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Donaciones externas</w:t>
            </w:r>
          </w:p>
        </w:tc>
        <w:tc>
          <w:tcPr>
            <w:tcW w:w="425" w:type="dxa"/>
            <w:tcBorders>
              <w:top w:val="nil"/>
              <w:left w:val="nil"/>
              <w:bottom w:val="single" w:sz="4" w:space="0" w:color="000000"/>
              <w:right w:val="single" w:sz="4" w:space="0" w:color="000000"/>
            </w:tcBorders>
            <w:shd w:val="clear" w:color="auto" w:fill="auto"/>
            <w:vAlign w:val="center"/>
            <w:hideMark/>
          </w:tcPr>
          <w:p w14:paraId="16EAA720"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9" w:type="dxa"/>
            <w:tcBorders>
              <w:top w:val="nil"/>
              <w:left w:val="nil"/>
              <w:bottom w:val="single" w:sz="4" w:space="0" w:color="000000"/>
              <w:right w:val="single" w:sz="4" w:space="0" w:color="000000"/>
            </w:tcBorders>
            <w:shd w:val="clear" w:color="auto" w:fill="auto"/>
            <w:vAlign w:val="center"/>
            <w:hideMark/>
          </w:tcPr>
          <w:p w14:paraId="431A3664"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708" w:type="dxa"/>
            <w:tcBorders>
              <w:top w:val="nil"/>
              <w:left w:val="nil"/>
              <w:bottom w:val="single" w:sz="4" w:space="0" w:color="000000"/>
              <w:right w:val="single" w:sz="4" w:space="0" w:color="000000"/>
            </w:tcBorders>
            <w:shd w:val="clear" w:color="auto" w:fill="auto"/>
            <w:vAlign w:val="center"/>
            <w:hideMark/>
          </w:tcPr>
          <w:p w14:paraId="5FA563E8"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299002001</w:t>
            </w:r>
          </w:p>
        </w:tc>
        <w:tc>
          <w:tcPr>
            <w:tcW w:w="993" w:type="dxa"/>
            <w:tcBorders>
              <w:top w:val="nil"/>
              <w:left w:val="nil"/>
              <w:bottom w:val="single" w:sz="4" w:space="0" w:color="000000"/>
              <w:right w:val="single" w:sz="4" w:space="0" w:color="000000"/>
            </w:tcBorders>
            <w:shd w:val="clear" w:color="auto" w:fill="auto"/>
            <w:vAlign w:val="center"/>
            <w:hideMark/>
          </w:tcPr>
          <w:p w14:paraId="66F6A35B"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Ingreso diferido por transferencias condicionadas</w:t>
            </w:r>
          </w:p>
        </w:tc>
        <w:tc>
          <w:tcPr>
            <w:tcW w:w="708" w:type="dxa"/>
            <w:tcBorders>
              <w:top w:val="nil"/>
              <w:left w:val="nil"/>
              <w:bottom w:val="single" w:sz="4" w:space="0" w:color="000000"/>
              <w:right w:val="single" w:sz="4" w:space="0" w:color="000000"/>
            </w:tcBorders>
            <w:shd w:val="clear" w:color="auto" w:fill="auto"/>
            <w:vAlign w:val="center"/>
            <w:hideMark/>
          </w:tcPr>
          <w:p w14:paraId="1EE5BF5D" w14:textId="77777777" w:rsidR="00FA7D6F" w:rsidRPr="00875602" w:rsidRDefault="00FA7D6F" w:rsidP="00FA7D6F">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851" w:type="dxa"/>
            <w:tcBorders>
              <w:top w:val="nil"/>
              <w:left w:val="nil"/>
              <w:bottom w:val="single" w:sz="4" w:space="0" w:color="000000"/>
              <w:right w:val="single" w:sz="4" w:space="0" w:color="000000"/>
            </w:tcBorders>
            <w:shd w:val="clear" w:color="auto" w:fill="auto"/>
            <w:vAlign w:val="center"/>
            <w:hideMark/>
          </w:tcPr>
          <w:p w14:paraId="6EEB1C70" w14:textId="77777777" w:rsidR="00FA7D6F" w:rsidRPr="00875602" w:rsidRDefault="00FA7D6F" w:rsidP="00FA7D6F">
            <w:pPr>
              <w:rPr>
                <w:rFonts w:ascii="Calibri" w:hAnsi="Calibri"/>
                <w:color w:val="000000"/>
                <w:sz w:val="11"/>
                <w:szCs w:val="11"/>
                <w:lang w:val="es-CO" w:eastAsia="es-CO"/>
              </w:rPr>
            </w:pPr>
            <w:r w:rsidRPr="00875602">
              <w:rPr>
                <w:rFonts w:ascii="Calibri" w:hAnsi="Calibri"/>
                <w:color w:val="000000"/>
                <w:sz w:val="11"/>
                <w:szCs w:val="11"/>
                <w:lang w:val="es-CO" w:eastAsia="es-CO"/>
              </w:rPr>
              <w:t>Saldos a favor de beneficiarios</w:t>
            </w:r>
          </w:p>
        </w:tc>
        <w:tc>
          <w:tcPr>
            <w:tcW w:w="567" w:type="dxa"/>
            <w:tcBorders>
              <w:top w:val="nil"/>
              <w:left w:val="nil"/>
              <w:bottom w:val="single" w:sz="4" w:space="0" w:color="000000"/>
              <w:right w:val="single" w:sz="4" w:space="0" w:color="000000"/>
            </w:tcBorders>
            <w:shd w:val="clear" w:color="auto" w:fill="auto"/>
            <w:vAlign w:val="center"/>
            <w:hideMark/>
          </w:tcPr>
          <w:p w14:paraId="4CAEE3BB" w14:textId="77777777" w:rsidR="00FA7D6F" w:rsidRPr="00875602" w:rsidRDefault="00FA7D6F" w:rsidP="00FA7D6F">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6C635E43" w14:textId="77777777" w:rsidR="00FA7D6F" w:rsidRPr="00875602" w:rsidRDefault="00FA7D6F" w:rsidP="00FA7D6F">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923272432</w:t>
            </w:r>
          </w:p>
        </w:tc>
      </w:tr>
    </w:tbl>
    <w:p w14:paraId="761F398C" w14:textId="77777777" w:rsidR="00EA42B9" w:rsidRPr="00EA42B9" w:rsidRDefault="00EA42B9" w:rsidP="00265D33">
      <w:pPr>
        <w:pStyle w:val="unico"/>
        <w:spacing w:before="0" w:beforeAutospacing="0" w:after="0" w:afterAutospacing="0" w:line="312" w:lineRule="auto"/>
        <w:jc w:val="both"/>
        <w:rPr>
          <w:rFonts w:ascii="Arial" w:hAnsi="Arial" w:cs="Arial"/>
          <w:color w:val="000000"/>
          <w:sz w:val="22"/>
          <w:szCs w:val="22"/>
        </w:rPr>
      </w:pPr>
    </w:p>
    <w:p w14:paraId="26EFB17D" w14:textId="77777777" w:rsidR="00EA42B9" w:rsidRPr="001D2485" w:rsidRDefault="00EA42B9" w:rsidP="00EF3D59">
      <w:pPr>
        <w:spacing w:line="288" w:lineRule="auto"/>
        <w:rPr>
          <w:rFonts w:ascii="Arial" w:hAnsi="Arial" w:cs="Arial"/>
          <w:b/>
          <w:color w:val="000000"/>
          <w:sz w:val="22"/>
          <w:szCs w:val="22"/>
        </w:rPr>
      </w:pPr>
      <w:r w:rsidRPr="001D2485">
        <w:rPr>
          <w:rFonts w:ascii="Arial" w:hAnsi="Arial" w:cs="Arial"/>
          <w:b/>
          <w:color w:val="000000"/>
          <w:sz w:val="22"/>
          <w:szCs w:val="22"/>
        </w:rPr>
        <w:t>Causación a partir de un recaudo anticipado</w:t>
      </w:r>
    </w:p>
    <w:p w14:paraId="5478C52D" w14:textId="77777777" w:rsidR="005B0A55" w:rsidRPr="005B0A55" w:rsidRDefault="005B0A55" w:rsidP="00EF3D59">
      <w:pPr>
        <w:spacing w:line="288" w:lineRule="auto"/>
      </w:pPr>
    </w:p>
    <w:p w14:paraId="3831351A"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Esta transacción permite registrar la </w:t>
      </w:r>
      <w:proofErr w:type="spellStart"/>
      <w:r w:rsidRPr="00EA42B9">
        <w:rPr>
          <w:rFonts w:ascii="Arial" w:hAnsi="Arial" w:cs="Arial"/>
          <w:color w:val="000000"/>
          <w:sz w:val="22"/>
          <w:szCs w:val="22"/>
        </w:rPr>
        <w:t>causación</w:t>
      </w:r>
      <w:proofErr w:type="spellEnd"/>
      <w:r w:rsidRPr="00EA42B9">
        <w:rPr>
          <w:rFonts w:ascii="Arial" w:hAnsi="Arial" w:cs="Arial"/>
          <w:color w:val="000000"/>
          <w:sz w:val="22"/>
          <w:szCs w:val="22"/>
        </w:rPr>
        <w:t xml:space="preserve"> del ingreso en los periodos en los que se efectúa la contraprestación de los bienes o servicios, de los recaudos que se recibieron de manera anticipada, con el tipo de registro </w:t>
      </w:r>
      <w:r w:rsidRPr="004D36C1">
        <w:rPr>
          <w:rFonts w:ascii="Arial" w:hAnsi="Arial" w:cs="Arial"/>
          <w:i/>
          <w:iCs/>
          <w:color w:val="000000"/>
          <w:sz w:val="22"/>
          <w:szCs w:val="22"/>
        </w:rPr>
        <w:t>“recaudo anticipado”</w:t>
      </w:r>
      <w:r w:rsidRPr="00EA42B9">
        <w:rPr>
          <w:rFonts w:ascii="Arial" w:hAnsi="Arial" w:cs="Arial"/>
          <w:color w:val="000000"/>
          <w:sz w:val="22"/>
          <w:szCs w:val="22"/>
        </w:rPr>
        <w:t xml:space="preserve"> de la tabla TCON011.</w:t>
      </w:r>
    </w:p>
    <w:p w14:paraId="52CEF38C" w14:textId="77777777" w:rsidR="00265D33" w:rsidRPr="00EA42B9" w:rsidRDefault="00265D33" w:rsidP="00EF3D59">
      <w:pPr>
        <w:pStyle w:val="unico"/>
        <w:spacing w:before="0" w:beforeAutospacing="0" w:after="0" w:afterAutospacing="0" w:line="288" w:lineRule="auto"/>
        <w:jc w:val="both"/>
        <w:rPr>
          <w:rFonts w:ascii="Arial" w:hAnsi="Arial" w:cs="Arial"/>
          <w:color w:val="000000"/>
          <w:sz w:val="22"/>
          <w:szCs w:val="22"/>
        </w:rPr>
      </w:pPr>
    </w:p>
    <w:p w14:paraId="6862182D"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Tiene como prerrequisito un </w:t>
      </w:r>
      <w:r w:rsidRPr="004D36C1">
        <w:rPr>
          <w:rFonts w:ascii="Arial" w:hAnsi="Arial" w:cs="Arial"/>
          <w:i/>
          <w:iCs/>
          <w:color w:val="000000"/>
          <w:sz w:val="22"/>
          <w:szCs w:val="22"/>
        </w:rPr>
        <w:t>“documento de recaudo por clasificar”</w:t>
      </w:r>
      <w:r w:rsidRPr="00EA42B9">
        <w:rPr>
          <w:rFonts w:ascii="Arial" w:hAnsi="Arial" w:cs="Arial"/>
          <w:color w:val="000000"/>
          <w:sz w:val="22"/>
          <w:szCs w:val="22"/>
        </w:rPr>
        <w:t xml:space="preserve"> de ingresos presupuestales, con el tipo de registro </w:t>
      </w:r>
      <w:r w:rsidRPr="004D36C1">
        <w:rPr>
          <w:rFonts w:ascii="Arial" w:hAnsi="Arial" w:cs="Arial"/>
          <w:i/>
          <w:iCs/>
          <w:color w:val="000000"/>
          <w:sz w:val="22"/>
          <w:szCs w:val="22"/>
        </w:rPr>
        <w:t>“recaudo anticipado”</w:t>
      </w:r>
      <w:r w:rsidRPr="00EA42B9">
        <w:rPr>
          <w:rFonts w:ascii="Arial" w:hAnsi="Arial" w:cs="Arial"/>
          <w:color w:val="000000"/>
          <w:sz w:val="22"/>
          <w:szCs w:val="22"/>
        </w:rPr>
        <w:t xml:space="preserve">; entre los datos que se registran, se encuentra el valor a amortizar base para la </w:t>
      </w:r>
      <w:proofErr w:type="spellStart"/>
      <w:r w:rsidRPr="00EA42B9">
        <w:rPr>
          <w:rFonts w:ascii="Arial" w:hAnsi="Arial" w:cs="Arial"/>
          <w:color w:val="000000"/>
          <w:sz w:val="22"/>
          <w:szCs w:val="22"/>
        </w:rPr>
        <w:t>causación</w:t>
      </w:r>
      <w:proofErr w:type="spellEnd"/>
      <w:r w:rsidRPr="00EA42B9">
        <w:rPr>
          <w:rFonts w:ascii="Arial" w:hAnsi="Arial" w:cs="Arial"/>
          <w:color w:val="000000"/>
          <w:sz w:val="22"/>
          <w:szCs w:val="22"/>
        </w:rPr>
        <w:t xml:space="preserve"> del ingreso, los rubros de ingresos, la vigencia fiscal y el valor.</w:t>
      </w:r>
    </w:p>
    <w:p w14:paraId="164659C8" w14:textId="77777777" w:rsidR="00265D33" w:rsidRPr="00EA42B9" w:rsidRDefault="00265D33" w:rsidP="00EF3D59">
      <w:pPr>
        <w:pStyle w:val="unico"/>
        <w:spacing w:before="0" w:beforeAutospacing="0" w:after="0" w:afterAutospacing="0" w:line="288" w:lineRule="auto"/>
        <w:jc w:val="both"/>
        <w:rPr>
          <w:rFonts w:ascii="Arial" w:hAnsi="Arial" w:cs="Arial"/>
          <w:color w:val="000000"/>
          <w:sz w:val="22"/>
          <w:szCs w:val="22"/>
        </w:rPr>
      </w:pPr>
    </w:p>
    <w:p w14:paraId="23EF028F"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lastRenderedPageBreak/>
        <w:t>El efecto contable está registrado en la tabla de eventos TCON10, y afecta el pasivo correspondiente al ingreso recibido por anticipado y la subcuenta de ingreso que identifique el concepto del bien o servicio prestado.</w:t>
      </w:r>
    </w:p>
    <w:p w14:paraId="2341E491" w14:textId="77777777" w:rsidR="00EA42B9" w:rsidRDefault="00EA42B9" w:rsidP="00265D33">
      <w:pPr>
        <w:pStyle w:val="unico"/>
        <w:spacing w:before="0" w:beforeAutospacing="0" w:after="0" w:afterAutospacing="0" w:line="312" w:lineRule="auto"/>
        <w:jc w:val="both"/>
        <w:rPr>
          <w:rFonts w:ascii="Arial" w:hAnsi="Arial" w:cs="Arial"/>
          <w:color w:val="000000"/>
          <w:sz w:val="22"/>
          <w:szCs w:val="22"/>
        </w:rPr>
      </w:pPr>
    </w:p>
    <w:tbl>
      <w:tblPr>
        <w:tblW w:w="0" w:type="auto"/>
        <w:tblInd w:w="75" w:type="dxa"/>
        <w:tblLayout w:type="fixed"/>
        <w:tblCellMar>
          <w:left w:w="70" w:type="dxa"/>
          <w:right w:w="70" w:type="dxa"/>
        </w:tblCellMar>
        <w:tblLook w:val="04A0" w:firstRow="1" w:lastRow="0" w:firstColumn="1" w:lastColumn="0" w:noHBand="0" w:noVBand="1"/>
      </w:tblPr>
      <w:tblGrid>
        <w:gridCol w:w="960"/>
        <w:gridCol w:w="562"/>
        <w:gridCol w:w="883"/>
        <w:gridCol w:w="749"/>
        <w:gridCol w:w="694"/>
        <w:gridCol w:w="651"/>
        <w:gridCol w:w="688"/>
        <w:gridCol w:w="997"/>
        <w:gridCol w:w="688"/>
        <w:gridCol w:w="997"/>
        <w:gridCol w:w="525"/>
        <w:gridCol w:w="511"/>
      </w:tblGrid>
      <w:tr w:rsidR="00342D83" w:rsidRPr="00875602" w14:paraId="3F5ECB52" w14:textId="77777777" w:rsidTr="00F01CE1">
        <w:trPr>
          <w:trHeight w:val="113"/>
          <w:tblHeader/>
        </w:trPr>
        <w:tc>
          <w:tcPr>
            <w:tcW w:w="960" w:type="dxa"/>
            <w:tcBorders>
              <w:top w:val="single" w:sz="4" w:space="0" w:color="000000"/>
              <w:left w:val="single" w:sz="4" w:space="0" w:color="000000"/>
              <w:bottom w:val="single" w:sz="4" w:space="0" w:color="000000"/>
              <w:right w:val="single" w:sz="4" w:space="0" w:color="000000"/>
            </w:tcBorders>
            <w:shd w:val="clear" w:color="000000" w:fill="2F5395"/>
            <w:vAlign w:val="center"/>
            <w:hideMark/>
          </w:tcPr>
          <w:p w14:paraId="31EA667E" w14:textId="77777777" w:rsidR="00342D83" w:rsidRPr="00875602" w:rsidRDefault="00342D83"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Tipo de Registro</w:t>
            </w:r>
          </w:p>
        </w:tc>
        <w:tc>
          <w:tcPr>
            <w:tcW w:w="562" w:type="dxa"/>
            <w:tcBorders>
              <w:top w:val="single" w:sz="4" w:space="0" w:color="000000"/>
              <w:left w:val="nil"/>
              <w:bottom w:val="single" w:sz="4" w:space="0" w:color="000000"/>
              <w:right w:val="single" w:sz="4" w:space="0" w:color="000000"/>
            </w:tcBorders>
            <w:shd w:val="clear" w:color="000000" w:fill="2F5395"/>
            <w:vAlign w:val="center"/>
            <w:hideMark/>
          </w:tcPr>
          <w:p w14:paraId="086AC51F" w14:textId="77777777" w:rsidR="00342D83" w:rsidRPr="00875602" w:rsidRDefault="00342D83"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Vigencia</w:t>
            </w:r>
          </w:p>
        </w:tc>
        <w:tc>
          <w:tcPr>
            <w:tcW w:w="883" w:type="dxa"/>
            <w:tcBorders>
              <w:top w:val="single" w:sz="4" w:space="0" w:color="000000"/>
              <w:left w:val="nil"/>
              <w:bottom w:val="single" w:sz="4" w:space="0" w:color="000000"/>
              <w:right w:val="single" w:sz="4" w:space="0" w:color="000000"/>
            </w:tcBorders>
            <w:shd w:val="clear" w:color="000000" w:fill="2F5395"/>
            <w:vAlign w:val="center"/>
            <w:hideMark/>
          </w:tcPr>
          <w:p w14:paraId="0318E578"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342D83" w:rsidRPr="00875602">
              <w:rPr>
                <w:rFonts w:ascii="Calibri" w:hAnsi="Calibri"/>
                <w:b/>
                <w:bCs/>
                <w:color w:val="FFFFFF"/>
                <w:sz w:val="12"/>
                <w:szCs w:val="12"/>
                <w:lang w:val="es-CO" w:eastAsia="es-CO"/>
              </w:rPr>
              <w:t xml:space="preserve"> Rubro de Ingreso</w:t>
            </w:r>
          </w:p>
        </w:tc>
        <w:tc>
          <w:tcPr>
            <w:tcW w:w="749" w:type="dxa"/>
            <w:tcBorders>
              <w:top w:val="single" w:sz="4" w:space="0" w:color="000000"/>
              <w:left w:val="nil"/>
              <w:bottom w:val="single" w:sz="4" w:space="0" w:color="000000"/>
              <w:right w:val="single" w:sz="4" w:space="0" w:color="000000"/>
            </w:tcBorders>
            <w:shd w:val="clear" w:color="000000" w:fill="2F5395"/>
            <w:vAlign w:val="center"/>
            <w:hideMark/>
          </w:tcPr>
          <w:p w14:paraId="6D27F0B3"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342D83" w:rsidRPr="00875602">
              <w:rPr>
                <w:rFonts w:ascii="Calibri" w:hAnsi="Calibri"/>
                <w:b/>
                <w:bCs/>
                <w:color w:val="FFFFFF"/>
                <w:sz w:val="12"/>
                <w:szCs w:val="12"/>
                <w:lang w:val="es-CO" w:eastAsia="es-CO"/>
              </w:rPr>
              <w:t xml:space="preserve"> Rubro de Ingreso</w:t>
            </w:r>
          </w:p>
        </w:tc>
        <w:tc>
          <w:tcPr>
            <w:tcW w:w="694" w:type="dxa"/>
            <w:tcBorders>
              <w:top w:val="single" w:sz="4" w:space="0" w:color="000000"/>
              <w:left w:val="nil"/>
              <w:bottom w:val="single" w:sz="4" w:space="0" w:color="000000"/>
              <w:right w:val="single" w:sz="4" w:space="0" w:color="000000"/>
            </w:tcBorders>
            <w:shd w:val="clear" w:color="000000" w:fill="2F5395"/>
            <w:vAlign w:val="center"/>
            <w:hideMark/>
          </w:tcPr>
          <w:p w14:paraId="304A0781" w14:textId="77777777" w:rsidR="00342D83" w:rsidRPr="00875602" w:rsidRDefault="00342D83"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No Contabiliza</w:t>
            </w:r>
          </w:p>
        </w:tc>
        <w:tc>
          <w:tcPr>
            <w:tcW w:w="651" w:type="dxa"/>
            <w:tcBorders>
              <w:top w:val="single" w:sz="4" w:space="0" w:color="000000"/>
              <w:left w:val="nil"/>
              <w:bottom w:val="single" w:sz="4" w:space="0" w:color="000000"/>
              <w:right w:val="single" w:sz="4" w:space="0" w:color="000000"/>
            </w:tcBorders>
            <w:shd w:val="clear" w:color="000000" w:fill="2F5395"/>
            <w:vAlign w:val="center"/>
            <w:hideMark/>
          </w:tcPr>
          <w:p w14:paraId="230EAFD0" w14:textId="77777777" w:rsidR="00342D83" w:rsidRPr="00875602" w:rsidRDefault="00342D83" w:rsidP="00342D83">
            <w:pPr>
              <w:jc w:val="center"/>
              <w:rPr>
                <w:rFonts w:ascii="Calibri" w:hAnsi="Calibri"/>
                <w:b/>
                <w:bCs/>
                <w:color w:val="FFFFFF"/>
                <w:sz w:val="12"/>
                <w:szCs w:val="12"/>
                <w:lang w:val="es-CO" w:eastAsia="es-CO"/>
              </w:rPr>
            </w:pPr>
            <w:proofErr w:type="spellStart"/>
            <w:r w:rsidRPr="00875602">
              <w:rPr>
                <w:rFonts w:ascii="Calibri" w:hAnsi="Calibri"/>
                <w:b/>
                <w:bCs/>
                <w:color w:val="FFFFFF"/>
                <w:sz w:val="12"/>
                <w:szCs w:val="12"/>
                <w:lang w:val="es-CO" w:eastAsia="es-CO"/>
              </w:rPr>
              <w:t>Dif</w:t>
            </w:r>
            <w:proofErr w:type="spellEnd"/>
            <w:r w:rsidRPr="00875602">
              <w:rPr>
                <w:rFonts w:ascii="Calibri" w:hAnsi="Calibri"/>
                <w:b/>
                <w:bCs/>
                <w:color w:val="FFFFFF"/>
                <w:sz w:val="12"/>
                <w:szCs w:val="12"/>
                <w:lang w:val="es-CO" w:eastAsia="es-CO"/>
              </w:rPr>
              <w:t xml:space="preserve"> Cambiario</w:t>
            </w:r>
          </w:p>
        </w:tc>
        <w:tc>
          <w:tcPr>
            <w:tcW w:w="688" w:type="dxa"/>
            <w:tcBorders>
              <w:top w:val="single" w:sz="4" w:space="0" w:color="000000"/>
              <w:left w:val="nil"/>
              <w:bottom w:val="single" w:sz="4" w:space="0" w:color="000000"/>
              <w:right w:val="single" w:sz="4" w:space="0" w:color="000000"/>
            </w:tcBorders>
            <w:shd w:val="clear" w:color="000000" w:fill="2F5395"/>
            <w:vAlign w:val="center"/>
            <w:hideMark/>
          </w:tcPr>
          <w:p w14:paraId="057B9123"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342D83" w:rsidRPr="00875602">
              <w:rPr>
                <w:rFonts w:ascii="Calibri" w:hAnsi="Calibri"/>
                <w:b/>
                <w:bCs/>
                <w:color w:val="FFFFFF"/>
                <w:sz w:val="12"/>
                <w:szCs w:val="12"/>
                <w:lang w:val="es-CO" w:eastAsia="es-CO"/>
              </w:rPr>
              <w:t xml:space="preserve"> Contable Debe</w:t>
            </w:r>
          </w:p>
        </w:tc>
        <w:tc>
          <w:tcPr>
            <w:tcW w:w="997" w:type="dxa"/>
            <w:tcBorders>
              <w:top w:val="single" w:sz="4" w:space="0" w:color="000000"/>
              <w:left w:val="nil"/>
              <w:bottom w:val="single" w:sz="4" w:space="0" w:color="000000"/>
              <w:right w:val="single" w:sz="4" w:space="0" w:color="000000"/>
            </w:tcBorders>
            <w:shd w:val="clear" w:color="000000" w:fill="2F5395"/>
            <w:vAlign w:val="center"/>
            <w:hideMark/>
          </w:tcPr>
          <w:p w14:paraId="707BA5A2" w14:textId="77777777" w:rsidR="00342D83" w:rsidRPr="00875602" w:rsidRDefault="00D95115" w:rsidP="00D95115">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w:t>
            </w:r>
            <w:r>
              <w:rPr>
                <w:rFonts w:ascii="Calibri" w:hAnsi="Calibri"/>
                <w:b/>
                <w:bCs/>
                <w:color w:val="FFFFFF"/>
                <w:sz w:val="12"/>
                <w:szCs w:val="12"/>
                <w:lang w:val="es-CO" w:eastAsia="es-CO"/>
              </w:rPr>
              <w:t>es</w:t>
            </w:r>
            <w:r w:rsidRPr="00875602">
              <w:rPr>
                <w:rFonts w:ascii="Calibri" w:hAnsi="Calibri"/>
                <w:b/>
                <w:bCs/>
                <w:color w:val="FFFFFF"/>
                <w:sz w:val="12"/>
                <w:szCs w:val="12"/>
                <w:lang w:val="es-CO" w:eastAsia="es-CO"/>
              </w:rPr>
              <w:t>cripción</w:t>
            </w:r>
            <w:r w:rsidR="00342D83"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342D83" w:rsidRPr="00875602">
              <w:rPr>
                <w:rFonts w:ascii="Calibri" w:hAnsi="Calibri"/>
                <w:b/>
                <w:bCs/>
                <w:color w:val="FFFFFF"/>
                <w:sz w:val="12"/>
                <w:szCs w:val="12"/>
                <w:lang w:val="es-CO" w:eastAsia="es-CO"/>
              </w:rPr>
              <w:t xml:space="preserve"> Contable Debe</w:t>
            </w:r>
          </w:p>
        </w:tc>
        <w:tc>
          <w:tcPr>
            <w:tcW w:w="688" w:type="dxa"/>
            <w:tcBorders>
              <w:top w:val="single" w:sz="4" w:space="0" w:color="000000"/>
              <w:left w:val="nil"/>
              <w:bottom w:val="single" w:sz="4" w:space="0" w:color="000000"/>
              <w:right w:val="single" w:sz="4" w:space="0" w:color="000000"/>
            </w:tcBorders>
            <w:shd w:val="clear" w:color="000000" w:fill="2F5395"/>
            <w:vAlign w:val="center"/>
            <w:hideMark/>
          </w:tcPr>
          <w:p w14:paraId="528E215A"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342D83" w:rsidRPr="00875602">
              <w:rPr>
                <w:rFonts w:ascii="Calibri" w:hAnsi="Calibri"/>
                <w:b/>
                <w:bCs/>
                <w:color w:val="FFFFFF"/>
                <w:sz w:val="12"/>
                <w:szCs w:val="12"/>
                <w:lang w:val="es-CO" w:eastAsia="es-CO"/>
              </w:rPr>
              <w:t xml:space="preserve"> Contable Haber</w:t>
            </w:r>
          </w:p>
        </w:tc>
        <w:tc>
          <w:tcPr>
            <w:tcW w:w="997" w:type="dxa"/>
            <w:tcBorders>
              <w:top w:val="single" w:sz="4" w:space="0" w:color="000000"/>
              <w:left w:val="nil"/>
              <w:bottom w:val="single" w:sz="4" w:space="0" w:color="000000"/>
              <w:right w:val="single" w:sz="4" w:space="0" w:color="000000"/>
            </w:tcBorders>
            <w:shd w:val="clear" w:color="000000" w:fill="2F5395"/>
            <w:vAlign w:val="center"/>
            <w:hideMark/>
          </w:tcPr>
          <w:p w14:paraId="31A249F2"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342D83"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342D83" w:rsidRPr="00875602">
              <w:rPr>
                <w:rFonts w:ascii="Calibri" w:hAnsi="Calibri"/>
                <w:b/>
                <w:bCs/>
                <w:color w:val="FFFFFF"/>
                <w:sz w:val="12"/>
                <w:szCs w:val="12"/>
                <w:lang w:val="es-CO" w:eastAsia="es-CO"/>
              </w:rPr>
              <w:t xml:space="preserve"> Contable Haber</w:t>
            </w:r>
          </w:p>
        </w:tc>
        <w:tc>
          <w:tcPr>
            <w:tcW w:w="525" w:type="dxa"/>
            <w:tcBorders>
              <w:top w:val="single" w:sz="4" w:space="0" w:color="000000"/>
              <w:left w:val="nil"/>
              <w:bottom w:val="single" w:sz="4" w:space="0" w:color="000000"/>
              <w:right w:val="single" w:sz="4" w:space="0" w:color="000000"/>
            </w:tcBorders>
            <w:shd w:val="clear" w:color="000000" w:fill="2F5395"/>
            <w:vAlign w:val="center"/>
            <w:hideMark/>
          </w:tcPr>
          <w:p w14:paraId="39FB90FF" w14:textId="77777777" w:rsidR="00342D83" w:rsidRPr="00875602" w:rsidRDefault="00342D83"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Vigente</w:t>
            </w:r>
          </w:p>
        </w:tc>
        <w:tc>
          <w:tcPr>
            <w:tcW w:w="511" w:type="dxa"/>
            <w:tcBorders>
              <w:top w:val="single" w:sz="4" w:space="0" w:color="000000"/>
              <w:left w:val="nil"/>
              <w:bottom w:val="single" w:sz="4" w:space="0" w:color="000000"/>
              <w:right w:val="single" w:sz="4" w:space="0" w:color="000000"/>
            </w:tcBorders>
            <w:shd w:val="clear" w:color="000000" w:fill="2F5395"/>
            <w:vAlign w:val="center"/>
            <w:hideMark/>
          </w:tcPr>
          <w:p w14:paraId="02F65670" w14:textId="77777777" w:rsidR="00342D83" w:rsidRPr="00875602" w:rsidRDefault="00D95115" w:rsidP="00342D83">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Ámbito</w:t>
            </w:r>
          </w:p>
        </w:tc>
      </w:tr>
      <w:tr w:rsidR="00342D83" w:rsidRPr="00875602" w14:paraId="57B7D60E"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2AAF151"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62F889D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73CBE52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1-1-1-0-1-3</w:t>
            </w:r>
          </w:p>
        </w:tc>
        <w:tc>
          <w:tcPr>
            <w:tcW w:w="749" w:type="dxa"/>
            <w:tcBorders>
              <w:top w:val="nil"/>
              <w:left w:val="nil"/>
              <w:bottom w:val="single" w:sz="4" w:space="0" w:color="000000"/>
              <w:right w:val="single" w:sz="4" w:space="0" w:color="000000"/>
            </w:tcBorders>
            <w:shd w:val="clear" w:color="auto" w:fill="auto"/>
            <w:vAlign w:val="center"/>
            <w:hideMark/>
          </w:tcPr>
          <w:p w14:paraId="7022D4EB"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Anticipo impuesto de renta y complementarios</w:t>
            </w:r>
          </w:p>
        </w:tc>
        <w:tc>
          <w:tcPr>
            <w:tcW w:w="694" w:type="dxa"/>
            <w:tcBorders>
              <w:top w:val="nil"/>
              <w:left w:val="nil"/>
              <w:bottom w:val="single" w:sz="4" w:space="0" w:color="000000"/>
              <w:right w:val="single" w:sz="4" w:space="0" w:color="000000"/>
            </w:tcBorders>
            <w:shd w:val="clear" w:color="auto" w:fill="auto"/>
            <w:vAlign w:val="center"/>
            <w:hideMark/>
          </w:tcPr>
          <w:p w14:paraId="034F2DCA"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0F9C5FF3"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D199E4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291701001</w:t>
            </w:r>
          </w:p>
        </w:tc>
        <w:tc>
          <w:tcPr>
            <w:tcW w:w="997" w:type="dxa"/>
            <w:tcBorders>
              <w:top w:val="nil"/>
              <w:left w:val="nil"/>
              <w:bottom w:val="single" w:sz="4" w:space="0" w:color="000000"/>
              <w:right w:val="single" w:sz="4" w:space="0" w:color="000000"/>
            </w:tcBorders>
            <w:shd w:val="clear" w:color="auto" w:fill="auto"/>
            <w:vAlign w:val="center"/>
            <w:hideMark/>
          </w:tcPr>
          <w:p w14:paraId="5ADA190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Anticipo impuesto de renta y complementarios</w:t>
            </w:r>
          </w:p>
        </w:tc>
        <w:tc>
          <w:tcPr>
            <w:tcW w:w="688" w:type="dxa"/>
            <w:tcBorders>
              <w:top w:val="nil"/>
              <w:left w:val="nil"/>
              <w:bottom w:val="single" w:sz="4" w:space="0" w:color="000000"/>
              <w:right w:val="single" w:sz="4" w:space="0" w:color="000000"/>
            </w:tcBorders>
            <w:shd w:val="clear" w:color="auto" w:fill="auto"/>
            <w:vAlign w:val="center"/>
            <w:hideMark/>
          </w:tcPr>
          <w:p w14:paraId="7C00135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410501001</w:t>
            </w:r>
          </w:p>
        </w:tc>
        <w:tc>
          <w:tcPr>
            <w:tcW w:w="997" w:type="dxa"/>
            <w:tcBorders>
              <w:top w:val="nil"/>
              <w:left w:val="nil"/>
              <w:bottom w:val="single" w:sz="4" w:space="0" w:color="000000"/>
              <w:right w:val="single" w:sz="4" w:space="0" w:color="000000"/>
            </w:tcBorders>
            <w:shd w:val="clear" w:color="auto" w:fill="auto"/>
            <w:vAlign w:val="center"/>
            <w:hideMark/>
          </w:tcPr>
          <w:p w14:paraId="29F1CD1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Cuota del impuesto sobre la renta y complementarios</w:t>
            </w:r>
          </w:p>
        </w:tc>
        <w:tc>
          <w:tcPr>
            <w:tcW w:w="525" w:type="dxa"/>
            <w:tcBorders>
              <w:top w:val="nil"/>
              <w:left w:val="nil"/>
              <w:bottom w:val="single" w:sz="4" w:space="0" w:color="000000"/>
              <w:right w:val="single" w:sz="4" w:space="0" w:color="000000"/>
            </w:tcBorders>
            <w:shd w:val="clear" w:color="auto" w:fill="auto"/>
            <w:vAlign w:val="center"/>
            <w:hideMark/>
          </w:tcPr>
          <w:p w14:paraId="3C569E7D"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620AE9CA"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51C8673B"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29BB199"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69F9249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15FE28F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1-2-1-0-2-1-11</w:t>
            </w:r>
          </w:p>
        </w:tc>
        <w:tc>
          <w:tcPr>
            <w:tcW w:w="749" w:type="dxa"/>
            <w:tcBorders>
              <w:top w:val="nil"/>
              <w:left w:val="nil"/>
              <w:bottom w:val="single" w:sz="4" w:space="0" w:color="000000"/>
              <w:right w:val="single" w:sz="4" w:space="0" w:color="000000"/>
            </w:tcBorders>
            <w:shd w:val="clear" w:color="auto" w:fill="auto"/>
            <w:vAlign w:val="center"/>
            <w:hideMark/>
          </w:tcPr>
          <w:p w14:paraId="5276AA0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Uso vías fluviales</w:t>
            </w:r>
          </w:p>
        </w:tc>
        <w:tc>
          <w:tcPr>
            <w:tcW w:w="694" w:type="dxa"/>
            <w:tcBorders>
              <w:top w:val="nil"/>
              <w:left w:val="nil"/>
              <w:bottom w:val="single" w:sz="4" w:space="0" w:color="000000"/>
              <w:right w:val="single" w:sz="4" w:space="0" w:color="000000"/>
            </w:tcBorders>
            <w:shd w:val="clear" w:color="auto" w:fill="auto"/>
            <w:vAlign w:val="center"/>
            <w:hideMark/>
          </w:tcPr>
          <w:p w14:paraId="2D66AD82"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571B2692"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47A3A0C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291007001</w:t>
            </w:r>
          </w:p>
        </w:tc>
        <w:tc>
          <w:tcPr>
            <w:tcW w:w="997" w:type="dxa"/>
            <w:tcBorders>
              <w:top w:val="nil"/>
              <w:left w:val="nil"/>
              <w:bottom w:val="single" w:sz="4" w:space="0" w:color="000000"/>
              <w:right w:val="single" w:sz="4" w:space="0" w:color="000000"/>
            </w:tcBorders>
            <w:shd w:val="clear" w:color="auto" w:fill="auto"/>
            <w:vAlign w:val="center"/>
            <w:hideMark/>
          </w:tcPr>
          <w:p w14:paraId="6B5BE82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bienes</w:t>
            </w:r>
          </w:p>
        </w:tc>
        <w:tc>
          <w:tcPr>
            <w:tcW w:w="688" w:type="dxa"/>
            <w:tcBorders>
              <w:top w:val="nil"/>
              <w:left w:val="nil"/>
              <w:bottom w:val="single" w:sz="4" w:space="0" w:color="000000"/>
              <w:right w:val="single" w:sz="4" w:space="0" w:color="000000"/>
            </w:tcBorders>
            <w:shd w:val="clear" w:color="auto" w:fill="auto"/>
            <w:vAlign w:val="center"/>
            <w:hideMark/>
          </w:tcPr>
          <w:p w14:paraId="3FE615A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411001001</w:t>
            </w:r>
          </w:p>
        </w:tc>
        <w:tc>
          <w:tcPr>
            <w:tcW w:w="997" w:type="dxa"/>
            <w:tcBorders>
              <w:top w:val="nil"/>
              <w:left w:val="nil"/>
              <w:bottom w:val="single" w:sz="4" w:space="0" w:color="000000"/>
              <w:right w:val="single" w:sz="4" w:space="0" w:color="000000"/>
            </w:tcBorders>
            <w:shd w:val="clear" w:color="auto" w:fill="auto"/>
            <w:vAlign w:val="center"/>
            <w:hideMark/>
          </w:tcPr>
          <w:p w14:paraId="78D9A0A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Tasas</w:t>
            </w:r>
          </w:p>
        </w:tc>
        <w:tc>
          <w:tcPr>
            <w:tcW w:w="525" w:type="dxa"/>
            <w:tcBorders>
              <w:top w:val="nil"/>
              <w:left w:val="nil"/>
              <w:bottom w:val="single" w:sz="4" w:space="0" w:color="000000"/>
              <w:right w:val="single" w:sz="4" w:space="0" w:color="000000"/>
            </w:tcBorders>
            <w:shd w:val="clear" w:color="auto" w:fill="auto"/>
            <w:vAlign w:val="center"/>
            <w:hideMark/>
          </w:tcPr>
          <w:p w14:paraId="4FF5F419"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29A2489D"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727191A6"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02D251E"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2EF5ABD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21CE3CE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1-2-1-0-2-2-3</w:t>
            </w:r>
          </w:p>
        </w:tc>
        <w:tc>
          <w:tcPr>
            <w:tcW w:w="749" w:type="dxa"/>
            <w:tcBorders>
              <w:top w:val="nil"/>
              <w:left w:val="nil"/>
              <w:bottom w:val="single" w:sz="4" w:space="0" w:color="000000"/>
              <w:right w:val="single" w:sz="4" w:space="0" w:color="000000"/>
            </w:tcBorders>
            <w:shd w:val="clear" w:color="auto" w:fill="auto"/>
            <w:vAlign w:val="center"/>
            <w:hideMark/>
          </w:tcPr>
          <w:p w14:paraId="000470E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Multas superintendencias</w:t>
            </w:r>
          </w:p>
        </w:tc>
        <w:tc>
          <w:tcPr>
            <w:tcW w:w="694" w:type="dxa"/>
            <w:tcBorders>
              <w:top w:val="nil"/>
              <w:left w:val="nil"/>
              <w:bottom w:val="single" w:sz="4" w:space="0" w:color="000000"/>
              <w:right w:val="single" w:sz="4" w:space="0" w:color="000000"/>
            </w:tcBorders>
            <w:shd w:val="clear" w:color="auto" w:fill="auto"/>
            <w:vAlign w:val="center"/>
            <w:hideMark/>
          </w:tcPr>
          <w:p w14:paraId="456BD363"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549960C5"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1B224B2C"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291090001</w:t>
            </w:r>
          </w:p>
        </w:tc>
        <w:tc>
          <w:tcPr>
            <w:tcW w:w="997" w:type="dxa"/>
            <w:tcBorders>
              <w:top w:val="nil"/>
              <w:left w:val="nil"/>
              <w:bottom w:val="single" w:sz="4" w:space="0" w:color="000000"/>
              <w:right w:val="single" w:sz="4" w:space="0" w:color="000000"/>
            </w:tcBorders>
            <w:shd w:val="clear" w:color="auto" w:fill="auto"/>
            <w:vAlign w:val="center"/>
            <w:hideMark/>
          </w:tcPr>
          <w:p w14:paraId="0DAA962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Otros ingresos recibidos por anticipado</w:t>
            </w:r>
          </w:p>
        </w:tc>
        <w:tc>
          <w:tcPr>
            <w:tcW w:w="688" w:type="dxa"/>
            <w:tcBorders>
              <w:top w:val="nil"/>
              <w:left w:val="nil"/>
              <w:bottom w:val="single" w:sz="4" w:space="0" w:color="000000"/>
              <w:right w:val="single" w:sz="4" w:space="0" w:color="000000"/>
            </w:tcBorders>
            <w:shd w:val="clear" w:color="auto" w:fill="auto"/>
            <w:vAlign w:val="center"/>
            <w:hideMark/>
          </w:tcPr>
          <w:p w14:paraId="644F0E5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411002001</w:t>
            </w:r>
          </w:p>
        </w:tc>
        <w:tc>
          <w:tcPr>
            <w:tcW w:w="997" w:type="dxa"/>
            <w:tcBorders>
              <w:top w:val="nil"/>
              <w:left w:val="nil"/>
              <w:bottom w:val="single" w:sz="4" w:space="0" w:color="000000"/>
              <w:right w:val="single" w:sz="4" w:space="0" w:color="000000"/>
            </w:tcBorders>
            <w:shd w:val="clear" w:color="auto" w:fill="auto"/>
            <w:vAlign w:val="center"/>
            <w:hideMark/>
          </w:tcPr>
          <w:p w14:paraId="47E6E87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Multas</w:t>
            </w:r>
          </w:p>
        </w:tc>
        <w:tc>
          <w:tcPr>
            <w:tcW w:w="525" w:type="dxa"/>
            <w:tcBorders>
              <w:top w:val="nil"/>
              <w:left w:val="nil"/>
              <w:bottom w:val="single" w:sz="4" w:space="0" w:color="000000"/>
              <w:right w:val="single" w:sz="4" w:space="0" w:color="000000"/>
            </w:tcBorders>
            <w:shd w:val="clear" w:color="auto" w:fill="auto"/>
            <w:vAlign w:val="center"/>
            <w:hideMark/>
          </w:tcPr>
          <w:p w14:paraId="0070FF8A"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0A08109A"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61D4028B"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9ED915F"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79EE8F59"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4FFE3F1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3-1-2-9-6-2</w:t>
            </w:r>
          </w:p>
        </w:tc>
        <w:tc>
          <w:tcPr>
            <w:tcW w:w="749" w:type="dxa"/>
            <w:tcBorders>
              <w:top w:val="nil"/>
              <w:left w:val="nil"/>
              <w:bottom w:val="single" w:sz="4" w:space="0" w:color="000000"/>
              <w:right w:val="single" w:sz="4" w:space="0" w:color="000000"/>
            </w:tcBorders>
            <w:shd w:val="clear" w:color="auto" w:fill="auto"/>
            <w:vAlign w:val="center"/>
            <w:hideMark/>
          </w:tcPr>
          <w:p w14:paraId="67C8506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Intereses corrientes</w:t>
            </w:r>
          </w:p>
        </w:tc>
        <w:tc>
          <w:tcPr>
            <w:tcW w:w="694" w:type="dxa"/>
            <w:tcBorders>
              <w:top w:val="nil"/>
              <w:left w:val="nil"/>
              <w:bottom w:val="single" w:sz="4" w:space="0" w:color="000000"/>
              <w:right w:val="single" w:sz="4" w:space="0" w:color="000000"/>
            </w:tcBorders>
            <w:shd w:val="clear" w:color="auto" w:fill="auto"/>
            <w:vAlign w:val="center"/>
            <w:hideMark/>
          </w:tcPr>
          <w:p w14:paraId="0AC1EFA4"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4D132717"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2CF8641"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291001001</w:t>
            </w:r>
          </w:p>
        </w:tc>
        <w:tc>
          <w:tcPr>
            <w:tcW w:w="997" w:type="dxa"/>
            <w:tcBorders>
              <w:top w:val="nil"/>
              <w:left w:val="nil"/>
              <w:bottom w:val="single" w:sz="4" w:space="0" w:color="000000"/>
              <w:right w:val="single" w:sz="4" w:space="0" w:color="000000"/>
            </w:tcBorders>
            <w:shd w:val="clear" w:color="auto" w:fill="auto"/>
            <w:vAlign w:val="center"/>
            <w:hideMark/>
          </w:tcPr>
          <w:p w14:paraId="1E5E50D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Intereses</w:t>
            </w:r>
          </w:p>
        </w:tc>
        <w:tc>
          <w:tcPr>
            <w:tcW w:w="688" w:type="dxa"/>
            <w:tcBorders>
              <w:top w:val="nil"/>
              <w:left w:val="nil"/>
              <w:bottom w:val="single" w:sz="4" w:space="0" w:color="000000"/>
              <w:right w:val="single" w:sz="4" w:space="0" w:color="000000"/>
            </w:tcBorders>
            <w:shd w:val="clear" w:color="auto" w:fill="auto"/>
            <w:vAlign w:val="center"/>
            <w:hideMark/>
          </w:tcPr>
          <w:p w14:paraId="2350313B"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411003001</w:t>
            </w:r>
          </w:p>
        </w:tc>
        <w:tc>
          <w:tcPr>
            <w:tcW w:w="997" w:type="dxa"/>
            <w:tcBorders>
              <w:top w:val="nil"/>
              <w:left w:val="nil"/>
              <w:bottom w:val="single" w:sz="4" w:space="0" w:color="000000"/>
              <w:right w:val="single" w:sz="4" w:space="0" w:color="000000"/>
            </w:tcBorders>
            <w:shd w:val="clear" w:color="auto" w:fill="auto"/>
            <w:vAlign w:val="center"/>
            <w:hideMark/>
          </w:tcPr>
          <w:p w14:paraId="567D7834"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Intereses</w:t>
            </w:r>
          </w:p>
        </w:tc>
        <w:tc>
          <w:tcPr>
            <w:tcW w:w="525" w:type="dxa"/>
            <w:tcBorders>
              <w:top w:val="nil"/>
              <w:left w:val="nil"/>
              <w:bottom w:val="single" w:sz="4" w:space="0" w:color="000000"/>
              <w:right w:val="single" w:sz="4" w:space="0" w:color="000000"/>
            </w:tcBorders>
            <w:shd w:val="clear" w:color="auto" w:fill="auto"/>
            <w:vAlign w:val="center"/>
            <w:hideMark/>
          </w:tcPr>
          <w:p w14:paraId="26793F94"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1488DEB2"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096E7FF1"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D726AF6"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497E1863"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057A7093"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3-1-2-7-1-1</w:t>
            </w:r>
          </w:p>
        </w:tc>
        <w:tc>
          <w:tcPr>
            <w:tcW w:w="749" w:type="dxa"/>
            <w:tcBorders>
              <w:top w:val="nil"/>
              <w:left w:val="nil"/>
              <w:bottom w:val="single" w:sz="4" w:space="0" w:color="000000"/>
              <w:right w:val="single" w:sz="4" w:space="0" w:color="000000"/>
            </w:tcBorders>
            <w:shd w:val="clear" w:color="auto" w:fill="auto"/>
            <w:vAlign w:val="center"/>
            <w:hideMark/>
          </w:tcPr>
          <w:p w14:paraId="453D6C6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Inscripciones</w:t>
            </w:r>
          </w:p>
        </w:tc>
        <w:tc>
          <w:tcPr>
            <w:tcW w:w="694" w:type="dxa"/>
            <w:tcBorders>
              <w:top w:val="nil"/>
              <w:left w:val="nil"/>
              <w:bottom w:val="single" w:sz="4" w:space="0" w:color="000000"/>
              <w:right w:val="single" w:sz="4" w:space="0" w:color="000000"/>
            </w:tcBorders>
            <w:shd w:val="clear" w:color="auto" w:fill="auto"/>
            <w:vAlign w:val="center"/>
            <w:hideMark/>
          </w:tcPr>
          <w:p w14:paraId="607388D2"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4B54DA59"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11495E0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291090001</w:t>
            </w:r>
          </w:p>
        </w:tc>
        <w:tc>
          <w:tcPr>
            <w:tcW w:w="997" w:type="dxa"/>
            <w:tcBorders>
              <w:top w:val="nil"/>
              <w:left w:val="nil"/>
              <w:bottom w:val="single" w:sz="4" w:space="0" w:color="000000"/>
              <w:right w:val="single" w:sz="4" w:space="0" w:color="000000"/>
            </w:tcBorders>
            <w:shd w:val="clear" w:color="auto" w:fill="auto"/>
            <w:vAlign w:val="center"/>
            <w:hideMark/>
          </w:tcPr>
          <w:p w14:paraId="46A9EAC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Otros ingresos recibidos por anticipado</w:t>
            </w:r>
          </w:p>
        </w:tc>
        <w:tc>
          <w:tcPr>
            <w:tcW w:w="688" w:type="dxa"/>
            <w:tcBorders>
              <w:top w:val="nil"/>
              <w:left w:val="nil"/>
              <w:bottom w:val="single" w:sz="4" w:space="0" w:color="000000"/>
              <w:right w:val="single" w:sz="4" w:space="0" w:color="000000"/>
            </w:tcBorders>
            <w:shd w:val="clear" w:color="auto" w:fill="auto"/>
            <w:vAlign w:val="center"/>
            <w:hideMark/>
          </w:tcPr>
          <w:p w14:paraId="7FA05D6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411015001</w:t>
            </w:r>
          </w:p>
        </w:tc>
        <w:tc>
          <w:tcPr>
            <w:tcW w:w="997" w:type="dxa"/>
            <w:tcBorders>
              <w:top w:val="nil"/>
              <w:left w:val="nil"/>
              <w:bottom w:val="single" w:sz="4" w:space="0" w:color="000000"/>
              <w:right w:val="single" w:sz="4" w:space="0" w:color="000000"/>
            </w:tcBorders>
            <w:shd w:val="clear" w:color="auto" w:fill="auto"/>
            <w:vAlign w:val="center"/>
            <w:hideMark/>
          </w:tcPr>
          <w:p w14:paraId="462D4B4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Inscripciones</w:t>
            </w:r>
          </w:p>
        </w:tc>
        <w:tc>
          <w:tcPr>
            <w:tcW w:w="525" w:type="dxa"/>
            <w:tcBorders>
              <w:top w:val="nil"/>
              <w:left w:val="nil"/>
              <w:bottom w:val="single" w:sz="4" w:space="0" w:color="000000"/>
              <w:right w:val="single" w:sz="4" w:space="0" w:color="000000"/>
            </w:tcBorders>
            <w:shd w:val="clear" w:color="auto" w:fill="auto"/>
            <w:vAlign w:val="center"/>
            <w:hideMark/>
          </w:tcPr>
          <w:p w14:paraId="52AEE366"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1A56A7C2"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09BB5EA1"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F2EF872"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77FE1A9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6A4EB8F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3-1-2-7-1-5</w:t>
            </w:r>
          </w:p>
        </w:tc>
        <w:tc>
          <w:tcPr>
            <w:tcW w:w="749" w:type="dxa"/>
            <w:tcBorders>
              <w:top w:val="nil"/>
              <w:left w:val="nil"/>
              <w:bottom w:val="single" w:sz="4" w:space="0" w:color="000000"/>
              <w:right w:val="single" w:sz="4" w:space="0" w:color="000000"/>
            </w:tcBorders>
            <w:shd w:val="clear" w:color="auto" w:fill="auto"/>
            <w:vAlign w:val="center"/>
            <w:hideMark/>
          </w:tcPr>
          <w:p w14:paraId="691BD3A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Licencias</w:t>
            </w:r>
          </w:p>
        </w:tc>
        <w:tc>
          <w:tcPr>
            <w:tcW w:w="694" w:type="dxa"/>
            <w:tcBorders>
              <w:top w:val="nil"/>
              <w:left w:val="nil"/>
              <w:bottom w:val="single" w:sz="4" w:space="0" w:color="000000"/>
              <w:right w:val="single" w:sz="4" w:space="0" w:color="000000"/>
            </w:tcBorders>
            <w:shd w:val="clear" w:color="auto" w:fill="auto"/>
            <w:vAlign w:val="center"/>
            <w:hideMark/>
          </w:tcPr>
          <w:p w14:paraId="6B9345F1"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0BEF2910"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106FDB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291007001</w:t>
            </w:r>
          </w:p>
        </w:tc>
        <w:tc>
          <w:tcPr>
            <w:tcW w:w="997" w:type="dxa"/>
            <w:tcBorders>
              <w:top w:val="nil"/>
              <w:left w:val="nil"/>
              <w:bottom w:val="single" w:sz="4" w:space="0" w:color="000000"/>
              <w:right w:val="single" w:sz="4" w:space="0" w:color="000000"/>
            </w:tcBorders>
            <w:shd w:val="clear" w:color="auto" w:fill="auto"/>
            <w:vAlign w:val="center"/>
            <w:hideMark/>
          </w:tcPr>
          <w:p w14:paraId="343F2F9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bienes</w:t>
            </w:r>
          </w:p>
        </w:tc>
        <w:tc>
          <w:tcPr>
            <w:tcW w:w="688" w:type="dxa"/>
            <w:tcBorders>
              <w:top w:val="nil"/>
              <w:left w:val="nil"/>
              <w:bottom w:val="single" w:sz="4" w:space="0" w:color="000000"/>
              <w:right w:val="single" w:sz="4" w:space="0" w:color="000000"/>
            </w:tcBorders>
            <w:shd w:val="clear" w:color="auto" w:fill="auto"/>
            <w:vAlign w:val="center"/>
            <w:hideMark/>
          </w:tcPr>
          <w:p w14:paraId="771187F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411046001</w:t>
            </w:r>
          </w:p>
        </w:tc>
        <w:tc>
          <w:tcPr>
            <w:tcW w:w="997" w:type="dxa"/>
            <w:tcBorders>
              <w:top w:val="nil"/>
              <w:left w:val="nil"/>
              <w:bottom w:val="single" w:sz="4" w:space="0" w:color="000000"/>
              <w:right w:val="single" w:sz="4" w:space="0" w:color="000000"/>
            </w:tcBorders>
            <w:shd w:val="clear" w:color="auto" w:fill="auto"/>
            <w:vAlign w:val="center"/>
            <w:hideMark/>
          </w:tcPr>
          <w:p w14:paraId="769B4129"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Licencias</w:t>
            </w:r>
          </w:p>
        </w:tc>
        <w:tc>
          <w:tcPr>
            <w:tcW w:w="525" w:type="dxa"/>
            <w:tcBorders>
              <w:top w:val="nil"/>
              <w:left w:val="nil"/>
              <w:bottom w:val="single" w:sz="4" w:space="0" w:color="000000"/>
              <w:right w:val="single" w:sz="4" w:space="0" w:color="000000"/>
            </w:tcBorders>
            <w:shd w:val="clear" w:color="auto" w:fill="auto"/>
            <w:vAlign w:val="center"/>
            <w:hideMark/>
          </w:tcPr>
          <w:p w14:paraId="3D1FC817"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074C007D"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33613F67"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42A0833"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0B8971D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32E0C209"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6-0-0-0-14-15</w:t>
            </w:r>
          </w:p>
        </w:tc>
        <w:tc>
          <w:tcPr>
            <w:tcW w:w="749" w:type="dxa"/>
            <w:tcBorders>
              <w:top w:val="nil"/>
              <w:left w:val="nil"/>
              <w:bottom w:val="single" w:sz="4" w:space="0" w:color="000000"/>
              <w:right w:val="single" w:sz="4" w:space="0" w:color="000000"/>
            </w:tcBorders>
            <w:shd w:val="clear" w:color="auto" w:fill="auto"/>
            <w:vAlign w:val="center"/>
            <w:hideMark/>
          </w:tcPr>
          <w:p w14:paraId="73809BF2"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Registros y salvoconducto</w:t>
            </w:r>
          </w:p>
        </w:tc>
        <w:tc>
          <w:tcPr>
            <w:tcW w:w="694" w:type="dxa"/>
            <w:tcBorders>
              <w:top w:val="nil"/>
              <w:left w:val="nil"/>
              <w:bottom w:val="single" w:sz="4" w:space="0" w:color="000000"/>
              <w:right w:val="single" w:sz="4" w:space="0" w:color="000000"/>
            </w:tcBorders>
            <w:shd w:val="clear" w:color="auto" w:fill="auto"/>
            <w:vAlign w:val="center"/>
            <w:hideMark/>
          </w:tcPr>
          <w:p w14:paraId="27EB9A76"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14916AF9"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29C19E9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291007002</w:t>
            </w:r>
          </w:p>
        </w:tc>
        <w:tc>
          <w:tcPr>
            <w:tcW w:w="997" w:type="dxa"/>
            <w:tcBorders>
              <w:top w:val="nil"/>
              <w:left w:val="nil"/>
              <w:bottom w:val="single" w:sz="4" w:space="0" w:color="000000"/>
              <w:right w:val="single" w:sz="4" w:space="0" w:color="000000"/>
            </w:tcBorders>
            <w:shd w:val="clear" w:color="auto" w:fill="auto"/>
            <w:vAlign w:val="center"/>
            <w:hideMark/>
          </w:tcPr>
          <w:p w14:paraId="03EDA8F4"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servicios</w:t>
            </w:r>
          </w:p>
        </w:tc>
        <w:tc>
          <w:tcPr>
            <w:tcW w:w="688" w:type="dxa"/>
            <w:tcBorders>
              <w:top w:val="nil"/>
              <w:left w:val="nil"/>
              <w:bottom w:val="single" w:sz="4" w:space="0" w:color="000000"/>
              <w:right w:val="single" w:sz="4" w:space="0" w:color="000000"/>
            </w:tcBorders>
            <w:shd w:val="clear" w:color="auto" w:fill="auto"/>
            <w:vAlign w:val="center"/>
            <w:hideMark/>
          </w:tcPr>
          <w:p w14:paraId="4F773E8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411048001</w:t>
            </w:r>
          </w:p>
        </w:tc>
        <w:tc>
          <w:tcPr>
            <w:tcW w:w="997" w:type="dxa"/>
            <w:tcBorders>
              <w:top w:val="nil"/>
              <w:left w:val="nil"/>
              <w:bottom w:val="single" w:sz="4" w:space="0" w:color="000000"/>
              <w:right w:val="single" w:sz="4" w:space="0" w:color="000000"/>
            </w:tcBorders>
            <w:shd w:val="clear" w:color="auto" w:fill="auto"/>
            <w:vAlign w:val="center"/>
            <w:hideMark/>
          </w:tcPr>
          <w:p w14:paraId="2CA7A3FB"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Registro y salvoconducto</w:t>
            </w:r>
          </w:p>
        </w:tc>
        <w:tc>
          <w:tcPr>
            <w:tcW w:w="525" w:type="dxa"/>
            <w:tcBorders>
              <w:top w:val="nil"/>
              <w:left w:val="nil"/>
              <w:bottom w:val="single" w:sz="4" w:space="0" w:color="000000"/>
              <w:right w:val="single" w:sz="4" w:space="0" w:color="000000"/>
            </w:tcBorders>
            <w:shd w:val="clear" w:color="auto" w:fill="auto"/>
            <w:vAlign w:val="center"/>
            <w:hideMark/>
          </w:tcPr>
          <w:p w14:paraId="364A9838"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66BE737C"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39997754"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4CA26B7"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4A3BFB3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7A216AC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3-1-2-7-1-6</w:t>
            </w:r>
          </w:p>
        </w:tc>
        <w:tc>
          <w:tcPr>
            <w:tcW w:w="749" w:type="dxa"/>
            <w:tcBorders>
              <w:top w:val="nil"/>
              <w:left w:val="nil"/>
              <w:bottom w:val="single" w:sz="4" w:space="0" w:color="000000"/>
              <w:right w:val="single" w:sz="4" w:space="0" w:color="000000"/>
            </w:tcBorders>
            <w:shd w:val="clear" w:color="auto" w:fill="auto"/>
            <w:vAlign w:val="center"/>
            <w:hideMark/>
          </w:tcPr>
          <w:p w14:paraId="6F0A79E2"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Registro salvoconducto</w:t>
            </w:r>
          </w:p>
        </w:tc>
        <w:tc>
          <w:tcPr>
            <w:tcW w:w="694" w:type="dxa"/>
            <w:tcBorders>
              <w:top w:val="nil"/>
              <w:left w:val="nil"/>
              <w:bottom w:val="single" w:sz="4" w:space="0" w:color="000000"/>
              <w:right w:val="single" w:sz="4" w:space="0" w:color="000000"/>
            </w:tcBorders>
            <w:shd w:val="clear" w:color="auto" w:fill="auto"/>
            <w:vAlign w:val="center"/>
            <w:hideMark/>
          </w:tcPr>
          <w:p w14:paraId="7FF2BD6C"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1E59CED9"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766122FC"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291007001</w:t>
            </w:r>
          </w:p>
        </w:tc>
        <w:tc>
          <w:tcPr>
            <w:tcW w:w="997" w:type="dxa"/>
            <w:tcBorders>
              <w:top w:val="nil"/>
              <w:left w:val="nil"/>
              <w:bottom w:val="single" w:sz="4" w:space="0" w:color="000000"/>
              <w:right w:val="single" w:sz="4" w:space="0" w:color="000000"/>
            </w:tcBorders>
            <w:shd w:val="clear" w:color="auto" w:fill="auto"/>
            <w:vAlign w:val="center"/>
            <w:hideMark/>
          </w:tcPr>
          <w:p w14:paraId="07881AA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bienes</w:t>
            </w:r>
          </w:p>
        </w:tc>
        <w:tc>
          <w:tcPr>
            <w:tcW w:w="688" w:type="dxa"/>
            <w:tcBorders>
              <w:top w:val="nil"/>
              <w:left w:val="nil"/>
              <w:bottom w:val="single" w:sz="4" w:space="0" w:color="000000"/>
              <w:right w:val="single" w:sz="4" w:space="0" w:color="000000"/>
            </w:tcBorders>
            <w:shd w:val="clear" w:color="auto" w:fill="auto"/>
            <w:vAlign w:val="center"/>
            <w:hideMark/>
          </w:tcPr>
          <w:p w14:paraId="0B7445E1"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411048001</w:t>
            </w:r>
          </w:p>
        </w:tc>
        <w:tc>
          <w:tcPr>
            <w:tcW w:w="997" w:type="dxa"/>
            <w:tcBorders>
              <w:top w:val="nil"/>
              <w:left w:val="nil"/>
              <w:bottom w:val="single" w:sz="4" w:space="0" w:color="000000"/>
              <w:right w:val="single" w:sz="4" w:space="0" w:color="000000"/>
            </w:tcBorders>
            <w:shd w:val="clear" w:color="auto" w:fill="auto"/>
            <w:vAlign w:val="center"/>
            <w:hideMark/>
          </w:tcPr>
          <w:p w14:paraId="06A972D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Registro y salvoconducto</w:t>
            </w:r>
          </w:p>
        </w:tc>
        <w:tc>
          <w:tcPr>
            <w:tcW w:w="525" w:type="dxa"/>
            <w:tcBorders>
              <w:top w:val="nil"/>
              <w:left w:val="nil"/>
              <w:bottom w:val="single" w:sz="4" w:space="0" w:color="000000"/>
              <w:right w:val="single" w:sz="4" w:space="0" w:color="000000"/>
            </w:tcBorders>
            <w:shd w:val="clear" w:color="auto" w:fill="auto"/>
            <w:vAlign w:val="center"/>
            <w:hideMark/>
          </w:tcPr>
          <w:p w14:paraId="2DA7CBD2"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1942FABA"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463620F4"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F83AF7A"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09EFAC9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4ABE064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3-1-2-7-1-8</w:t>
            </w:r>
          </w:p>
        </w:tc>
        <w:tc>
          <w:tcPr>
            <w:tcW w:w="749" w:type="dxa"/>
            <w:tcBorders>
              <w:top w:val="nil"/>
              <w:left w:val="nil"/>
              <w:bottom w:val="single" w:sz="4" w:space="0" w:color="000000"/>
              <w:right w:val="single" w:sz="4" w:space="0" w:color="000000"/>
            </w:tcBorders>
            <w:shd w:val="clear" w:color="auto" w:fill="auto"/>
            <w:vAlign w:val="center"/>
            <w:hideMark/>
          </w:tcPr>
          <w:p w14:paraId="7704E78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Contraprestaciones</w:t>
            </w:r>
          </w:p>
        </w:tc>
        <w:tc>
          <w:tcPr>
            <w:tcW w:w="694" w:type="dxa"/>
            <w:tcBorders>
              <w:top w:val="nil"/>
              <w:left w:val="nil"/>
              <w:bottom w:val="single" w:sz="4" w:space="0" w:color="000000"/>
              <w:right w:val="single" w:sz="4" w:space="0" w:color="000000"/>
            </w:tcBorders>
            <w:shd w:val="clear" w:color="auto" w:fill="auto"/>
            <w:vAlign w:val="center"/>
            <w:hideMark/>
          </w:tcPr>
          <w:p w14:paraId="1233164A"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4CEACC41"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6AABC5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291090001</w:t>
            </w:r>
          </w:p>
        </w:tc>
        <w:tc>
          <w:tcPr>
            <w:tcW w:w="997" w:type="dxa"/>
            <w:tcBorders>
              <w:top w:val="nil"/>
              <w:left w:val="nil"/>
              <w:bottom w:val="single" w:sz="4" w:space="0" w:color="000000"/>
              <w:right w:val="single" w:sz="4" w:space="0" w:color="000000"/>
            </w:tcBorders>
            <w:shd w:val="clear" w:color="auto" w:fill="auto"/>
            <w:vAlign w:val="center"/>
            <w:hideMark/>
          </w:tcPr>
          <w:p w14:paraId="3F094B6C"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Otros ingresos recibidos por anticipado</w:t>
            </w:r>
          </w:p>
        </w:tc>
        <w:tc>
          <w:tcPr>
            <w:tcW w:w="688" w:type="dxa"/>
            <w:tcBorders>
              <w:top w:val="nil"/>
              <w:left w:val="nil"/>
              <w:bottom w:val="single" w:sz="4" w:space="0" w:color="000000"/>
              <w:right w:val="single" w:sz="4" w:space="0" w:color="000000"/>
            </w:tcBorders>
            <w:shd w:val="clear" w:color="auto" w:fill="auto"/>
            <w:vAlign w:val="center"/>
            <w:hideMark/>
          </w:tcPr>
          <w:p w14:paraId="629F4FF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411051001</w:t>
            </w:r>
          </w:p>
        </w:tc>
        <w:tc>
          <w:tcPr>
            <w:tcW w:w="997" w:type="dxa"/>
            <w:tcBorders>
              <w:top w:val="nil"/>
              <w:left w:val="nil"/>
              <w:bottom w:val="single" w:sz="4" w:space="0" w:color="000000"/>
              <w:right w:val="single" w:sz="4" w:space="0" w:color="000000"/>
            </w:tcBorders>
            <w:shd w:val="clear" w:color="auto" w:fill="auto"/>
            <w:vAlign w:val="center"/>
            <w:hideMark/>
          </w:tcPr>
          <w:p w14:paraId="14CAA4F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Ingresos por concesiones a favor del concedente</w:t>
            </w:r>
          </w:p>
        </w:tc>
        <w:tc>
          <w:tcPr>
            <w:tcW w:w="525" w:type="dxa"/>
            <w:tcBorders>
              <w:top w:val="nil"/>
              <w:left w:val="nil"/>
              <w:bottom w:val="single" w:sz="4" w:space="0" w:color="000000"/>
              <w:right w:val="single" w:sz="4" w:space="0" w:color="000000"/>
            </w:tcBorders>
            <w:shd w:val="clear" w:color="auto" w:fill="auto"/>
            <w:vAlign w:val="center"/>
            <w:hideMark/>
          </w:tcPr>
          <w:p w14:paraId="3D289950"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511" w:type="dxa"/>
            <w:tcBorders>
              <w:top w:val="nil"/>
              <w:left w:val="nil"/>
              <w:bottom w:val="single" w:sz="4" w:space="0" w:color="000000"/>
              <w:right w:val="single" w:sz="4" w:space="0" w:color="000000"/>
            </w:tcBorders>
            <w:shd w:val="clear" w:color="auto" w:fill="auto"/>
            <w:vAlign w:val="center"/>
            <w:hideMark/>
          </w:tcPr>
          <w:p w14:paraId="598E6143"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5FAF3D0B"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59B13C6"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49525252"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Anterior</w:t>
            </w:r>
          </w:p>
        </w:tc>
        <w:tc>
          <w:tcPr>
            <w:tcW w:w="883" w:type="dxa"/>
            <w:tcBorders>
              <w:top w:val="nil"/>
              <w:left w:val="nil"/>
              <w:bottom w:val="single" w:sz="4" w:space="0" w:color="000000"/>
              <w:right w:val="single" w:sz="4" w:space="0" w:color="000000"/>
            </w:tcBorders>
            <w:shd w:val="clear" w:color="auto" w:fill="auto"/>
            <w:vAlign w:val="center"/>
            <w:hideMark/>
          </w:tcPr>
          <w:p w14:paraId="762CE0E3"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3-1-2-7-1-18</w:t>
            </w:r>
          </w:p>
        </w:tc>
        <w:tc>
          <w:tcPr>
            <w:tcW w:w="749" w:type="dxa"/>
            <w:tcBorders>
              <w:top w:val="nil"/>
              <w:left w:val="nil"/>
              <w:bottom w:val="single" w:sz="4" w:space="0" w:color="000000"/>
              <w:right w:val="single" w:sz="4" w:space="0" w:color="000000"/>
            </w:tcBorders>
            <w:shd w:val="clear" w:color="auto" w:fill="auto"/>
            <w:vAlign w:val="center"/>
            <w:hideMark/>
          </w:tcPr>
          <w:p w14:paraId="32BC612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Derechos económicos</w:t>
            </w:r>
          </w:p>
        </w:tc>
        <w:tc>
          <w:tcPr>
            <w:tcW w:w="694" w:type="dxa"/>
            <w:tcBorders>
              <w:top w:val="nil"/>
              <w:left w:val="nil"/>
              <w:bottom w:val="single" w:sz="4" w:space="0" w:color="000000"/>
              <w:right w:val="single" w:sz="4" w:space="0" w:color="000000"/>
            </w:tcBorders>
            <w:shd w:val="clear" w:color="auto" w:fill="auto"/>
            <w:vAlign w:val="center"/>
            <w:hideMark/>
          </w:tcPr>
          <w:p w14:paraId="7FE7ABDE"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75B96545"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46F118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291090001</w:t>
            </w:r>
          </w:p>
        </w:tc>
        <w:tc>
          <w:tcPr>
            <w:tcW w:w="997" w:type="dxa"/>
            <w:tcBorders>
              <w:top w:val="nil"/>
              <w:left w:val="nil"/>
              <w:bottom w:val="single" w:sz="4" w:space="0" w:color="000000"/>
              <w:right w:val="single" w:sz="4" w:space="0" w:color="000000"/>
            </w:tcBorders>
            <w:shd w:val="clear" w:color="auto" w:fill="auto"/>
            <w:vAlign w:val="center"/>
            <w:hideMark/>
          </w:tcPr>
          <w:p w14:paraId="140180C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Otros ingresos recibidos por anticipado</w:t>
            </w:r>
          </w:p>
        </w:tc>
        <w:tc>
          <w:tcPr>
            <w:tcW w:w="688" w:type="dxa"/>
            <w:tcBorders>
              <w:top w:val="nil"/>
              <w:left w:val="nil"/>
              <w:bottom w:val="single" w:sz="4" w:space="0" w:color="000000"/>
              <w:right w:val="single" w:sz="4" w:space="0" w:color="000000"/>
            </w:tcBorders>
            <w:shd w:val="clear" w:color="auto" w:fill="auto"/>
            <w:vAlign w:val="center"/>
            <w:hideMark/>
          </w:tcPr>
          <w:p w14:paraId="18B6265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411059001</w:t>
            </w:r>
          </w:p>
        </w:tc>
        <w:tc>
          <w:tcPr>
            <w:tcW w:w="997" w:type="dxa"/>
            <w:tcBorders>
              <w:top w:val="nil"/>
              <w:left w:val="nil"/>
              <w:bottom w:val="single" w:sz="4" w:space="0" w:color="000000"/>
              <w:right w:val="single" w:sz="4" w:space="0" w:color="000000"/>
            </w:tcBorders>
            <w:shd w:val="clear" w:color="auto" w:fill="auto"/>
            <w:vAlign w:val="center"/>
            <w:hideMark/>
          </w:tcPr>
          <w:p w14:paraId="1EEA8FFC"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Derechos de explotación</w:t>
            </w:r>
          </w:p>
        </w:tc>
        <w:tc>
          <w:tcPr>
            <w:tcW w:w="525" w:type="dxa"/>
            <w:tcBorders>
              <w:top w:val="nil"/>
              <w:left w:val="nil"/>
              <w:bottom w:val="single" w:sz="4" w:space="0" w:color="000000"/>
              <w:right w:val="single" w:sz="4" w:space="0" w:color="000000"/>
            </w:tcBorders>
            <w:shd w:val="clear" w:color="auto" w:fill="auto"/>
            <w:vAlign w:val="center"/>
            <w:hideMark/>
          </w:tcPr>
          <w:p w14:paraId="27A273FD"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511" w:type="dxa"/>
            <w:tcBorders>
              <w:top w:val="nil"/>
              <w:left w:val="nil"/>
              <w:bottom w:val="single" w:sz="4" w:space="0" w:color="000000"/>
              <w:right w:val="single" w:sz="4" w:space="0" w:color="000000"/>
            </w:tcBorders>
            <w:shd w:val="clear" w:color="auto" w:fill="auto"/>
            <w:vAlign w:val="center"/>
            <w:hideMark/>
          </w:tcPr>
          <w:p w14:paraId="1E4888A7"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57508E6E"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0C5A8AF"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19E52BA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07C9471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3-1-2-7-4-2</w:t>
            </w:r>
          </w:p>
        </w:tc>
        <w:tc>
          <w:tcPr>
            <w:tcW w:w="749" w:type="dxa"/>
            <w:tcBorders>
              <w:top w:val="nil"/>
              <w:left w:val="nil"/>
              <w:bottom w:val="single" w:sz="4" w:space="0" w:color="000000"/>
              <w:right w:val="single" w:sz="4" w:space="0" w:color="000000"/>
            </w:tcBorders>
            <w:shd w:val="clear" w:color="auto" w:fill="auto"/>
            <w:vAlign w:val="center"/>
            <w:hideMark/>
          </w:tcPr>
          <w:p w14:paraId="4FBA1760"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Arancel judicial</w:t>
            </w:r>
          </w:p>
        </w:tc>
        <w:tc>
          <w:tcPr>
            <w:tcW w:w="694" w:type="dxa"/>
            <w:tcBorders>
              <w:top w:val="nil"/>
              <w:left w:val="nil"/>
              <w:bottom w:val="single" w:sz="4" w:space="0" w:color="000000"/>
              <w:right w:val="single" w:sz="4" w:space="0" w:color="000000"/>
            </w:tcBorders>
            <w:shd w:val="clear" w:color="auto" w:fill="auto"/>
            <w:vAlign w:val="center"/>
            <w:hideMark/>
          </w:tcPr>
          <w:p w14:paraId="311F90AC"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22FDE550"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0152E4D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291013001</w:t>
            </w:r>
          </w:p>
        </w:tc>
        <w:tc>
          <w:tcPr>
            <w:tcW w:w="997" w:type="dxa"/>
            <w:tcBorders>
              <w:top w:val="nil"/>
              <w:left w:val="nil"/>
              <w:bottom w:val="single" w:sz="4" w:space="0" w:color="000000"/>
              <w:right w:val="single" w:sz="4" w:space="0" w:color="000000"/>
            </w:tcBorders>
            <w:shd w:val="clear" w:color="auto" w:fill="auto"/>
            <w:vAlign w:val="center"/>
            <w:hideMark/>
          </w:tcPr>
          <w:p w14:paraId="6421B71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Contribuciones</w:t>
            </w:r>
          </w:p>
        </w:tc>
        <w:tc>
          <w:tcPr>
            <w:tcW w:w="688" w:type="dxa"/>
            <w:tcBorders>
              <w:top w:val="nil"/>
              <w:left w:val="nil"/>
              <w:bottom w:val="single" w:sz="4" w:space="0" w:color="000000"/>
              <w:right w:val="single" w:sz="4" w:space="0" w:color="000000"/>
            </w:tcBorders>
            <w:shd w:val="clear" w:color="auto" w:fill="auto"/>
            <w:vAlign w:val="center"/>
            <w:hideMark/>
          </w:tcPr>
          <w:p w14:paraId="7C7AB76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411061001</w:t>
            </w:r>
          </w:p>
        </w:tc>
        <w:tc>
          <w:tcPr>
            <w:tcW w:w="997" w:type="dxa"/>
            <w:tcBorders>
              <w:top w:val="nil"/>
              <w:left w:val="nil"/>
              <w:bottom w:val="single" w:sz="4" w:space="0" w:color="000000"/>
              <w:right w:val="single" w:sz="4" w:space="0" w:color="000000"/>
            </w:tcBorders>
            <w:shd w:val="clear" w:color="auto" w:fill="auto"/>
            <w:vAlign w:val="center"/>
            <w:hideMark/>
          </w:tcPr>
          <w:p w14:paraId="0ADB47A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Contribuciones</w:t>
            </w:r>
          </w:p>
        </w:tc>
        <w:tc>
          <w:tcPr>
            <w:tcW w:w="525" w:type="dxa"/>
            <w:tcBorders>
              <w:top w:val="nil"/>
              <w:left w:val="nil"/>
              <w:bottom w:val="single" w:sz="4" w:space="0" w:color="000000"/>
              <w:right w:val="single" w:sz="4" w:space="0" w:color="000000"/>
            </w:tcBorders>
            <w:shd w:val="clear" w:color="auto" w:fill="auto"/>
            <w:vAlign w:val="center"/>
            <w:hideMark/>
          </w:tcPr>
          <w:p w14:paraId="1959C6E3"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242FC2CA"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23176CAB"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8750400"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4C275F5F"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1D82A484"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3-1-2-3-1-1</w:t>
            </w:r>
          </w:p>
        </w:tc>
        <w:tc>
          <w:tcPr>
            <w:tcW w:w="749" w:type="dxa"/>
            <w:tcBorders>
              <w:top w:val="nil"/>
              <w:left w:val="nil"/>
              <w:bottom w:val="single" w:sz="4" w:space="0" w:color="000000"/>
              <w:right w:val="single" w:sz="4" w:space="0" w:color="000000"/>
            </w:tcBorders>
            <w:shd w:val="clear" w:color="auto" w:fill="auto"/>
            <w:vAlign w:val="center"/>
            <w:hideMark/>
          </w:tcPr>
          <w:p w14:paraId="37EE3019"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Impresos y publicaciones</w:t>
            </w:r>
          </w:p>
        </w:tc>
        <w:tc>
          <w:tcPr>
            <w:tcW w:w="694" w:type="dxa"/>
            <w:tcBorders>
              <w:top w:val="nil"/>
              <w:left w:val="nil"/>
              <w:bottom w:val="single" w:sz="4" w:space="0" w:color="000000"/>
              <w:right w:val="single" w:sz="4" w:space="0" w:color="000000"/>
            </w:tcBorders>
            <w:shd w:val="clear" w:color="auto" w:fill="auto"/>
            <w:vAlign w:val="center"/>
            <w:hideMark/>
          </w:tcPr>
          <w:p w14:paraId="47B8083F"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7A213891"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67841127"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291007001</w:t>
            </w:r>
          </w:p>
        </w:tc>
        <w:tc>
          <w:tcPr>
            <w:tcW w:w="997" w:type="dxa"/>
            <w:tcBorders>
              <w:top w:val="nil"/>
              <w:left w:val="nil"/>
              <w:bottom w:val="single" w:sz="4" w:space="0" w:color="000000"/>
              <w:right w:val="single" w:sz="4" w:space="0" w:color="000000"/>
            </w:tcBorders>
            <w:shd w:val="clear" w:color="auto" w:fill="auto"/>
            <w:vAlign w:val="center"/>
            <w:hideMark/>
          </w:tcPr>
          <w:p w14:paraId="5092F662"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bienes</w:t>
            </w:r>
          </w:p>
        </w:tc>
        <w:tc>
          <w:tcPr>
            <w:tcW w:w="688" w:type="dxa"/>
            <w:tcBorders>
              <w:top w:val="nil"/>
              <w:left w:val="nil"/>
              <w:bottom w:val="single" w:sz="4" w:space="0" w:color="000000"/>
              <w:right w:val="single" w:sz="4" w:space="0" w:color="000000"/>
            </w:tcBorders>
            <w:shd w:val="clear" w:color="auto" w:fill="auto"/>
            <w:vAlign w:val="center"/>
            <w:hideMark/>
          </w:tcPr>
          <w:p w14:paraId="3102F90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421004001</w:t>
            </w:r>
          </w:p>
        </w:tc>
        <w:tc>
          <w:tcPr>
            <w:tcW w:w="997" w:type="dxa"/>
            <w:tcBorders>
              <w:top w:val="nil"/>
              <w:left w:val="nil"/>
              <w:bottom w:val="single" w:sz="4" w:space="0" w:color="000000"/>
              <w:right w:val="single" w:sz="4" w:space="0" w:color="000000"/>
            </w:tcBorders>
            <w:shd w:val="clear" w:color="auto" w:fill="auto"/>
            <w:vAlign w:val="center"/>
            <w:hideMark/>
          </w:tcPr>
          <w:p w14:paraId="5A192D54"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Impresos y publicaciones</w:t>
            </w:r>
          </w:p>
        </w:tc>
        <w:tc>
          <w:tcPr>
            <w:tcW w:w="525" w:type="dxa"/>
            <w:tcBorders>
              <w:top w:val="nil"/>
              <w:left w:val="nil"/>
              <w:bottom w:val="single" w:sz="4" w:space="0" w:color="000000"/>
              <w:right w:val="single" w:sz="4" w:space="0" w:color="000000"/>
            </w:tcBorders>
            <w:shd w:val="clear" w:color="auto" w:fill="auto"/>
            <w:vAlign w:val="center"/>
            <w:hideMark/>
          </w:tcPr>
          <w:p w14:paraId="12ECE5E8"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253CA876"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0C4DC452"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4B09FA1" w14:textId="77777777" w:rsidR="00342D83" w:rsidRPr="00875602" w:rsidRDefault="00342D83" w:rsidP="00342D83">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CausRecAntcpdo</w:t>
            </w:r>
            <w:proofErr w:type="spellEnd"/>
          </w:p>
        </w:tc>
        <w:tc>
          <w:tcPr>
            <w:tcW w:w="562" w:type="dxa"/>
            <w:tcBorders>
              <w:top w:val="nil"/>
              <w:left w:val="nil"/>
              <w:bottom w:val="single" w:sz="4" w:space="0" w:color="000000"/>
              <w:right w:val="single" w:sz="4" w:space="0" w:color="000000"/>
            </w:tcBorders>
            <w:shd w:val="clear" w:color="auto" w:fill="auto"/>
            <w:vAlign w:val="center"/>
            <w:hideMark/>
          </w:tcPr>
          <w:p w14:paraId="16E8D69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Actual</w:t>
            </w:r>
          </w:p>
        </w:tc>
        <w:tc>
          <w:tcPr>
            <w:tcW w:w="883" w:type="dxa"/>
            <w:tcBorders>
              <w:top w:val="nil"/>
              <w:left w:val="nil"/>
              <w:bottom w:val="single" w:sz="4" w:space="0" w:color="000000"/>
              <w:right w:val="single" w:sz="4" w:space="0" w:color="000000"/>
            </w:tcBorders>
            <w:shd w:val="clear" w:color="auto" w:fill="auto"/>
            <w:vAlign w:val="center"/>
            <w:hideMark/>
          </w:tcPr>
          <w:p w14:paraId="7D7CC59A"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3-1-2-3-1-2</w:t>
            </w:r>
          </w:p>
        </w:tc>
        <w:tc>
          <w:tcPr>
            <w:tcW w:w="749" w:type="dxa"/>
            <w:tcBorders>
              <w:top w:val="nil"/>
              <w:left w:val="nil"/>
              <w:bottom w:val="single" w:sz="4" w:space="0" w:color="000000"/>
              <w:right w:val="single" w:sz="4" w:space="0" w:color="000000"/>
            </w:tcBorders>
            <w:shd w:val="clear" w:color="auto" w:fill="auto"/>
            <w:vAlign w:val="center"/>
            <w:hideMark/>
          </w:tcPr>
          <w:p w14:paraId="36B59CFB"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Especies valoradas</w:t>
            </w:r>
          </w:p>
        </w:tc>
        <w:tc>
          <w:tcPr>
            <w:tcW w:w="694" w:type="dxa"/>
            <w:tcBorders>
              <w:top w:val="nil"/>
              <w:left w:val="nil"/>
              <w:bottom w:val="single" w:sz="4" w:space="0" w:color="000000"/>
              <w:right w:val="single" w:sz="4" w:space="0" w:color="000000"/>
            </w:tcBorders>
            <w:shd w:val="clear" w:color="auto" w:fill="auto"/>
            <w:vAlign w:val="center"/>
            <w:hideMark/>
          </w:tcPr>
          <w:p w14:paraId="705422B8"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66C4EF5E"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2C1FD32C"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291007001</w:t>
            </w:r>
          </w:p>
        </w:tc>
        <w:tc>
          <w:tcPr>
            <w:tcW w:w="997" w:type="dxa"/>
            <w:tcBorders>
              <w:top w:val="nil"/>
              <w:left w:val="nil"/>
              <w:bottom w:val="single" w:sz="4" w:space="0" w:color="000000"/>
              <w:right w:val="single" w:sz="4" w:space="0" w:color="000000"/>
            </w:tcBorders>
            <w:shd w:val="clear" w:color="auto" w:fill="auto"/>
            <w:vAlign w:val="center"/>
            <w:hideMark/>
          </w:tcPr>
          <w:p w14:paraId="5BF519A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Ventas de bienes</w:t>
            </w:r>
          </w:p>
        </w:tc>
        <w:tc>
          <w:tcPr>
            <w:tcW w:w="688" w:type="dxa"/>
            <w:tcBorders>
              <w:top w:val="nil"/>
              <w:left w:val="nil"/>
              <w:bottom w:val="single" w:sz="4" w:space="0" w:color="000000"/>
              <w:right w:val="single" w:sz="4" w:space="0" w:color="000000"/>
            </w:tcBorders>
            <w:shd w:val="clear" w:color="auto" w:fill="auto"/>
            <w:vAlign w:val="center"/>
            <w:hideMark/>
          </w:tcPr>
          <w:p w14:paraId="64E5C6E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421005001</w:t>
            </w:r>
          </w:p>
        </w:tc>
        <w:tc>
          <w:tcPr>
            <w:tcW w:w="997" w:type="dxa"/>
            <w:tcBorders>
              <w:top w:val="nil"/>
              <w:left w:val="nil"/>
              <w:bottom w:val="single" w:sz="4" w:space="0" w:color="000000"/>
              <w:right w:val="single" w:sz="4" w:space="0" w:color="000000"/>
            </w:tcBorders>
            <w:shd w:val="clear" w:color="auto" w:fill="auto"/>
            <w:vAlign w:val="center"/>
            <w:hideMark/>
          </w:tcPr>
          <w:p w14:paraId="5E0C5E5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Especies valoradas</w:t>
            </w:r>
          </w:p>
        </w:tc>
        <w:tc>
          <w:tcPr>
            <w:tcW w:w="525" w:type="dxa"/>
            <w:tcBorders>
              <w:top w:val="nil"/>
              <w:left w:val="nil"/>
              <w:bottom w:val="single" w:sz="4" w:space="0" w:color="000000"/>
              <w:right w:val="single" w:sz="4" w:space="0" w:color="000000"/>
            </w:tcBorders>
            <w:shd w:val="clear" w:color="auto" w:fill="auto"/>
            <w:vAlign w:val="center"/>
            <w:hideMark/>
          </w:tcPr>
          <w:p w14:paraId="1B8C01F4"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6533B904"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342D83" w:rsidRPr="00875602" w14:paraId="4B753D83" w14:textId="77777777" w:rsidTr="00342D83">
        <w:trPr>
          <w:trHeight w:val="113"/>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E71268D"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Acreedor</w:t>
            </w:r>
          </w:p>
        </w:tc>
        <w:tc>
          <w:tcPr>
            <w:tcW w:w="562" w:type="dxa"/>
            <w:tcBorders>
              <w:top w:val="nil"/>
              <w:left w:val="nil"/>
              <w:bottom w:val="single" w:sz="4" w:space="0" w:color="000000"/>
              <w:right w:val="single" w:sz="4" w:space="0" w:color="000000"/>
            </w:tcBorders>
            <w:shd w:val="clear" w:color="auto" w:fill="auto"/>
            <w:vAlign w:val="center"/>
            <w:hideMark/>
          </w:tcPr>
          <w:p w14:paraId="75E0C1D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Anterior</w:t>
            </w:r>
          </w:p>
        </w:tc>
        <w:tc>
          <w:tcPr>
            <w:tcW w:w="883" w:type="dxa"/>
            <w:tcBorders>
              <w:top w:val="nil"/>
              <w:left w:val="nil"/>
              <w:bottom w:val="single" w:sz="4" w:space="0" w:color="000000"/>
              <w:right w:val="single" w:sz="4" w:space="0" w:color="000000"/>
            </w:tcBorders>
            <w:shd w:val="clear" w:color="auto" w:fill="auto"/>
            <w:vAlign w:val="center"/>
            <w:hideMark/>
          </w:tcPr>
          <w:p w14:paraId="4A7A48E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2-7-0-0-2-1</w:t>
            </w:r>
          </w:p>
        </w:tc>
        <w:tc>
          <w:tcPr>
            <w:tcW w:w="749" w:type="dxa"/>
            <w:tcBorders>
              <w:top w:val="nil"/>
              <w:left w:val="nil"/>
              <w:bottom w:val="single" w:sz="4" w:space="0" w:color="000000"/>
              <w:right w:val="single" w:sz="4" w:space="0" w:color="000000"/>
            </w:tcBorders>
            <w:shd w:val="clear" w:color="auto" w:fill="auto"/>
            <w:vAlign w:val="center"/>
            <w:hideMark/>
          </w:tcPr>
          <w:p w14:paraId="504B8515"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Donaciones externas</w:t>
            </w:r>
          </w:p>
        </w:tc>
        <w:tc>
          <w:tcPr>
            <w:tcW w:w="694" w:type="dxa"/>
            <w:tcBorders>
              <w:top w:val="nil"/>
              <w:left w:val="nil"/>
              <w:bottom w:val="single" w:sz="4" w:space="0" w:color="000000"/>
              <w:right w:val="single" w:sz="4" w:space="0" w:color="000000"/>
            </w:tcBorders>
            <w:shd w:val="clear" w:color="auto" w:fill="auto"/>
            <w:vAlign w:val="center"/>
            <w:hideMark/>
          </w:tcPr>
          <w:p w14:paraId="7C3D552F"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51" w:type="dxa"/>
            <w:tcBorders>
              <w:top w:val="nil"/>
              <w:left w:val="nil"/>
              <w:bottom w:val="single" w:sz="4" w:space="0" w:color="000000"/>
              <w:right w:val="single" w:sz="4" w:space="0" w:color="000000"/>
            </w:tcBorders>
            <w:shd w:val="clear" w:color="auto" w:fill="auto"/>
            <w:vAlign w:val="center"/>
            <w:hideMark/>
          </w:tcPr>
          <w:p w14:paraId="57F9F51E"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688" w:type="dxa"/>
            <w:tcBorders>
              <w:top w:val="nil"/>
              <w:left w:val="nil"/>
              <w:bottom w:val="single" w:sz="4" w:space="0" w:color="000000"/>
              <w:right w:val="single" w:sz="4" w:space="0" w:color="000000"/>
            </w:tcBorders>
            <w:shd w:val="clear" w:color="auto" w:fill="auto"/>
            <w:vAlign w:val="center"/>
            <w:hideMark/>
          </w:tcPr>
          <w:p w14:paraId="2B3D6248"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299002001</w:t>
            </w:r>
          </w:p>
        </w:tc>
        <w:tc>
          <w:tcPr>
            <w:tcW w:w="997" w:type="dxa"/>
            <w:tcBorders>
              <w:top w:val="nil"/>
              <w:left w:val="nil"/>
              <w:bottom w:val="single" w:sz="4" w:space="0" w:color="000000"/>
              <w:right w:val="single" w:sz="4" w:space="0" w:color="000000"/>
            </w:tcBorders>
            <w:shd w:val="clear" w:color="auto" w:fill="auto"/>
            <w:vAlign w:val="center"/>
            <w:hideMark/>
          </w:tcPr>
          <w:p w14:paraId="6CF02A96"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Ingreso diferido por transferencias condicionadas</w:t>
            </w:r>
          </w:p>
        </w:tc>
        <w:tc>
          <w:tcPr>
            <w:tcW w:w="688" w:type="dxa"/>
            <w:tcBorders>
              <w:top w:val="nil"/>
              <w:left w:val="nil"/>
              <w:bottom w:val="single" w:sz="4" w:space="0" w:color="000000"/>
              <w:right w:val="single" w:sz="4" w:space="0" w:color="000000"/>
            </w:tcBorders>
            <w:shd w:val="clear" w:color="auto" w:fill="auto"/>
            <w:vAlign w:val="center"/>
            <w:hideMark/>
          </w:tcPr>
          <w:p w14:paraId="549EB2CE"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249040001</w:t>
            </w:r>
          </w:p>
        </w:tc>
        <w:tc>
          <w:tcPr>
            <w:tcW w:w="997" w:type="dxa"/>
            <w:tcBorders>
              <w:top w:val="nil"/>
              <w:left w:val="nil"/>
              <w:bottom w:val="single" w:sz="4" w:space="0" w:color="000000"/>
              <w:right w:val="single" w:sz="4" w:space="0" w:color="000000"/>
            </w:tcBorders>
            <w:shd w:val="clear" w:color="auto" w:fill="auto"/>
            <w:vAlign w:val="center"/>
            <w:hideMark/>
          </w:tcPr>
          <w:p w14:paraId="673E5B7B" w14:textId="77777777" w:rsidR="00342D83" w:rsidRPr="00875602" w:rsidRDefault="00342D83" w:rsidP="00342D83">
            <w:pPr>
              <w:rPr>
                <w:rFonts w:ascii="Calibri" w:hAnsi="Calibri"/>
                <w:color w:val="000000"/>
                <w:sz w:val="12"/>
                <w:szCs w:val="12"/>
                <w:lang w:val="es-CO" w:eastAsia="es-CO"/>
              </w:rPr>
            </w:pPr>
            <w:r w:rsidRPr="00875602">
              <w:rPr>
                <w:rFonts w:ascii="Calibri" w:hAnsi="Calibri"/>
                <w:color w:val="000000"/>
                <w:sz w:val="12"/>
                <w:szCs w:val="12"/>
                <w:lang w:val="es-CO" w:eastAsia="es-CO"/>
              </w:rPr>
              <w:t>Saldos a favor de beneficiarios</w:t>
            </w:r>
          </w:p>
        </w:tc>
        <w:tc>
          <w:tcPr>
            <w:tcW w:w="525" w:type="dxa"/>
            <w:tcBorders>
              <w:top w:val="nil"/>
              <w:left w:val="nil"/>
              <w:bottom w:val="single" w:sz="4" w:space="0" w:color="000000"/>
              <w:right w:val="single" w:sz="4" w:space="0" w:color="000000"/>
            </w:tcBorders>
            <w:shd w:val="clear" w:color="auto" w:fill="auto"/>
            <w:vAlign w:val="center"/>
            <w:hideMark/>
          </w:tcPr>
          <w:p w14:paraId="5E4864EF" w14:textId="77777777" w:rsidR="00342D83" w:rsidRPr="00875602" w:rsidRDefault="00342D83" w:rsidP="00342D83">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SI</w:t>
            </w:r>
          </w:p>
        </w:tc>
        <w:tc>
          <w:tcPr>
            <w:tcW w:w="511" w:type="dxa"/>
            <w:tcBorders>
              <w:top w:val="nil"/>
              <w:left w:val="nil"/>
              <w:bottom w:val="single" w:sz="4" w:space="0" w:color="000000"/>
              <w:right w:val="single" w:sz="4" w:space="0" w:color="000000"/>
            </w:tcBorders>
            <w:shd w:val="clear" w:color="auto" w:fill="auto"/>
            <w:vAlign w:val="center"/>
            <w:hideMark/>
          </w:tcPr>
          <w:p w14:paraId="1A550A34" w14:textId="77777777" w:rsidR="00342D83" w:rsidRPr="00875602" w:rsidRDefault="00342D83" w:rsidP="00342D83">
            <w:pPr>
              <w:jc w:val="right"/>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bl>
    <w:p w14:paraId="6BC5B583" w14:textId="77777777" w:rsidR="00342D83" w:rsidRPr="00EA42B9" w:rsidRDefault="00342D83" w:rsidP="00852A89">
      <w:pPr>
        <w:pStyle w:val="unico"/>
        <w:spacing w:before="0" w:beforeAutospacing="0" w:after="0" w:afterAutospacing="0" w:line="288" w:lineRule="auto"/>
        <w:jc w:val="both"/>
        <w:rPr>
          <w:rFonts w:ascii="Arial" w:hAnsi="Arial" w:cs="Arial"/>
          <w:color w:val="000000"/>
          <w:sz w:val="22"/>
          <w:szCs w:val="22"/>
        </w:rPr>
      </w:pPr>
    </w:p>
    <w:p w14:paraId="1AD14426" w14:textId="77777777" w:rsidR="00F90285" w:rsidRPr="00852A89" w:rsidRDefault="00EA42B9" w:rsidP="00343ECE">
      <w:pPr>
        <w:pStyle w:val="Ttulo3"/>
        <w:numPr>
          <w:ilvl w:val="2"/>
          <w:numId w:val="15"/>
        </w:numPr>
        <w:spacing w:line="288" w:lineRule="auto"/>
        <w:rPr>
          <w:rFonts w:ascii="Arial" w:hAnsi="Arial" w:cs="Arial"/>
          <w:b/>
          <w:color w:val="000000"/>
          <w:sz w:val="22"/>
          <w:szCs w:val="22"/>
        </w:rPr>
      </w:pPr>
      <w:bookmarkStart w:id="153" w:name="_Toc59377838"/>
      <w:r w:rsidRPr="00852A89">
        <w:rPr>
          <w:rFonts w:ascii="Arial" w:hAnsi="Arial" w:cs="Arial"/>
          <w:b/>
          <w:color w:val="000000"/>
          <w:sz w:val="22"/>
          <w:szCs w:val="22"/>
        </w:rPr>
        <w:t>Operaciones automáticas generadas en el recaudo</w:t>
      </w:r>
      <w:bookmarkEnd w:id="153"/>
    </w:p>
    <w:p w14:paraId="69302C76" w14:textId="77777777" w:rsidR="00852A89" w:rsidRPr="00852A89" w:rsidRDefault="00852A89" w:rsidP="00EF3D59">
      <w:pPr>
        <w:spacing w:line="288" w:lineRule="auto"/>
      </w:pPr>
    </w:p>
    <w:p w14:paraId="78268FB8"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Las operaciones de recaudo en el sistema corresponden a los </w:t>
      </w:r>
      <w:r w:rsidRPr="004D36C1">
        <w:rPr>
          <w:rFonts w:ascii="Arial" w:hAnsi="Arial" w:cs="Arial"/>
          <w:i/>
          <w:iCs/>
          <w:color w:val="000000"/>
          <w:sz w:val="22"/>
          <w:szCs w:val="22"/>
        </w:rPr>
        <w:t>“tipos de registro”</w:t>
      </w:r>
      <w:r w:rsidRPr="00EA42B9">
        <w:rPr>
          <w:rFonts w:ascii="Arial" w:hAnsi="Arial" w:cs="Arial"/>
          <w:color w:val="000000"/>
          <w:sz w:val="22"/>
          <w:szCs w:val="22"/>
        </w:rPr>
        <w:t xml:space="preserve"> recaudos por clasificar en bancos, en títulos, por compensación de deducciones y externa. Este tipo de registro se complementa con el recaudo básico por los mismos conceptos.</w:t>
      </w:r>
    </w:p>
    <w:p w14:paraId="7A647269" w14:textId="77777777" w:rsidR="00F90285" w:rsidRDefault="00F90285" w:rsidP="00EF3D59">
      <w:pPr>
        <w:pStyle w:val="Ttulo2"/>
        <w:spacing w:line="288" w:lineRule="auto"/>
        <w:rPr>
          <w:rFonts w:ascii="Arial" w:hAnsi="Arial" w:cs="Arial"/>
          <w:color w:val="000000"/>
          <w:sz w:val="22"/>
          <w:szCs w:val="22"/>
        </w:rPr>
      </w:pPr>
    </w:p>
    <w:p w14:paraId="7A862DFC" w14:textId="77777777" w:rsidR="00EA42B9" w:rsidRPr="001D2485" w:rsidRDefault="00EA42B9" w:rsidP="00EF3D59">
      <w:pPr>
        <w:spacing w:line="288" w:lineRule="auto"/>
        <w:rPr>
          <w:rFonts w:ascii="Arial" w:hAnsi="Arial" w:cs="Arial"/>
          <w:b/>
          <w:color w:val="000000"/>
          <w:sz w:val="22"/>
          <w:szCs w:val="22"/>
        </w:rPr>
      </w:pPr>
      <w:r w:rsidRPr="001D2485">
        <w:rPr>
          <w:rFonts w:ascii="Arial" w:hAnsi="Arial" w:cs="Arial"/>
          <w:b/>
          <w:color w:val="000000"/>
          <w:sz w:val="22"/>
          <w:szCs w:val="22"/>
        </w:rPr>
        <w:t>Recaudo por clasificar en bancos</w:t>
      </w:r>
    </w:p>
    <w:p w14:paraId="089F28E4"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5CF06E8B"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El recaudo en las cuentas bancarias, de la </w:t>
      </w:r>
      <w:r w:rsidR="00C528FA">
        <w:rPr>
          <w:rFonts w:ascii="Arial" w:hAnsi="Arial" w:cs="Arial"/>
          <w:color w:val="000000"/>
          <w:sz w:val="22"/>
          <w:szCs w:val="22"/>
        </w:rPr>
        <w:t>D</w:t>
      </w:r>
      <w:r w:rsidRPr="00EA42B9">
        <w:rPr>
          <w:rFonts w:ascii="Arial" w:hAnsi="Arial" w:cs="Arial"/>
          <w:color w:val="000000"/>
          <w:sz w:val="22"/>
          <w:szCs w:val="22"/>
        </w:rPr>
        <w:t xml:space="preserve">irección del </w:t>
      </w:r>
      <w:r w:rsidR="00C528FA">
        <w:rPr>
          <w:rFonts w:ascii="Arial" w:hAnsi="Arial" w:cs="Arial"/>
          <w:color w:val="000000"/>
          <w:sz w:val="22"/>
          <w:szCs w:val="22"/>
        </w:rPr>
        <w:t>Tesoro N</w:t>
      </w:r>
      <w:r w:rsidRPr="00EA42B9">
        <w:rPr>
          <w:rFonts w:ascii="Arial" w:hAnsi="Arial" w:cs="Arial"/>
          <w:color w:val="000000"/>
          <w:sz w:val="22"/>
          <w:szCs w:val="22"/>
        </w:rPr>
        <w:t xml:space="preserve">acional o de la entidad, genera un </w:t>
      </w:r>
      <w:r w:rsidRPr="004D36C1">
        <w:rPr>
          <w:rFonts w:ascii="Arial" w:hAnsi="Arial" w:cs="Arial"/>
          <w:i/>
          <w:iCs/>
          <w:color w:val="000000"/>
          <w:sz w:val="22"/>
          <w:szCs w:val="22"/>
        </w:rPr>
        <w:t>“documento de recaudo por clasificar”</w:t>
      </w:r>
      <w:r w:rsidRPr="00EA42B9">
        <w:rPr>
          <w:rFonts w:ascii="Arial" w:hAnsi="Arial" w:cs="Arial"/>
          <w:color w:val="000000"/>
          <w:sz w:val="22"/>
          <w:szCs w:val="22"/>
        </w:rPr>
        <w:t xml:space="preserve"> a partir de </w:t>
      </w:r>
      <w:r w:rsidR="00DB6400">
        <w:rPr>
          <w:rFonts w:ascii="Arial" w:hAnsi="Arial" w:cs="Arial"/>
          <w:color w:val="000000"/>
          <w:sz w:val="22"/>
          <w:szCs w:val="22"/>
        </w:rPr>
        <w:t xml:space="preserve">la carga del extracto bancario. </w:t>
      </w:r>
      <w:r w:rsidRPr="00EA42B9">
        <w:rPr>
          <w:rFonts w:ascii="Arial" w:hAnsi="Arial" w:cs="Arial"/>
          <w:color w:val="000000"/>
          <w:sz w:val="22"/>
          <w:szCs w:val="22"/>
        </w:rPr>
        <w:t>En consecuencia, la ECP debe haber definido los siguientes pasos:</w:t>
      </w:r>
    </w:p>
    <w:p w14:paraId="0ECDC1C9" w14:textId="77777777" w:rsidR="00F90285" w:rsidRPr="00EA42B9" w:rsidRDefault="00F90285" w:rsidP="00EF3D59">
      <w:pPr>
        <w:pStyle w:val="unico"/>
        <w:spacing w:before="0" w:beforeAutospacing="0" w:after="0" w:afterAutospacing="0" w:line="288" w:lineRule="auto"/>
        <w:jc w:val="both"/>
        <w:rPr>
          <w:rFonts w:ascii="Arial" w:hAnsi="Arial" w:cs="Arial"/>
          <w:color w:val="000000"/>
          <w:sz w:val="22"/>
          <w:szCs w:val="22"/>
        </w:rPr>
      </w:pPr>
    </w:p>
    <w:p w14:paraId="068FF618" w14:textId="77777777" w:rsidR="00DB6400" w:rsidRDefault="00EA42B9" w:rsidP="00343ECE">
      <w:pPr>
        <w:pStyle w:val="unico"/>
        <w:numPr>
          <w:ilvl w:val="0"/>
          <w:numId w:val="19"/>
        </w:numPr>
        <w:spacing w:before="0" w:beforeAutospacing="0" w:after="0" w:afterAutospacing="0" w:line="288" w:lineRule="auto"/>
        <w:ind w:left="142" w:hanging="142"/>
        <w:jc w:val="both"/>
        <w:rPr>
          <w:rFonts w:ascii="Arial" w:hAnsi="Arial" w:cs="Arial"/>
          <w:color w:val="000000"/>
          <w:sz w:val="22"/>
          <w:szCs w:val="22"/>
        </w:rPr>
      </w:pPr>
      <w:r w:rsidRPr="00EA42B9">
        <w:rPr>
          <w:rFonts w:ascii="Arial" w:hAnsi="Arial" w:cs="Arial"/>
          <w:color w:val="000000"/>
          <w:sz w:val="22"/>
          <w:szCs w:val="22"/>
        </w:rPr>
        <w:t>Identificar, en la creación de la cuenta bancaria, los códigos contables débito y crédito que permiten registrar los movimientos bancarios del recaudo y giro</w:t>
      </w:r>
      <w:r w:rsidR="00DB6400">
        <w:rPr>
          <w:rFonts w:ascii="Arial" w:hAnsi="Arial" w:cs="Arial"/>
          <w:color w:val="000000"/>
          <w:sz w:val="22"/>
          <w:szCs w:val="22"/>
        </w:rPr>
        <w:t>.</w:t>
      </w:r>
    </w:p>
    <w:p w14:paraId="5BE0A16D" w14:textId="77777777" w:rsidR="00DB6400" w:rsidRDefault="00DB6400" w:rsidP="00EF3D59">
      <w:pPr>
        <w:pStyle w:val="unico"/>
        <w:spacing w:before="0" w:beforeAutospacing="0" w:after="0" w:afterAutospacing="0" w:line="288" w:lineRule="auto"/>
        <w:ind w:left="142" w:hanging="142"/>
        <w:jc w:val="both"/>
        <w:rPr>
          <w:rFonts w:ascii="Arial" w:hAnsi="Arial" w:cs="Arial"/>
          <w:color w:val="000000"/>
          <w:sz w:val="22"/>
          <w:szCs w:val="22"/>
        </w:rPr>
      </w:pPr>
    </w:p>
    <w:p w14:paraId="539DC0F7" w14:textId="77777777" w:rsidR="00EA42B9" w:rsidRPr="00DB6400" w:rsidRDefault="00EA42B9" w:rsidP="00343ECE">
      <w:pPr>
        <w:pStyle w:val="unico"/>
        <w:numPr>
          <w:ilvl w:val="0"/>
          <w:numId w:val="19"/>
        </w:numPr>
        <w:spacing w:before="0" w:beforeAutospacing="0" w:after="0" w:afterAutospacing="0" w:line="288" w:lineRule="auto"/>
        <w:ind w:left="142" w:hanging="142"/>
        <w:jc w:val="both"/>
        <w:rPr>
          <w:rFonts w:ascii="Arial" w:hAnsi="Arial" w:cs="Arial"/>
          <w:color w:val="000000"/>
          <w:sz w:val="22"/>
          <w:szCs w:val="22"/>
        </w:rPr>
      </w:pPr>
      <w:r w:rsidRPr="00DB6400">
        <w:rPr>
          <w:rFonts w:ascii="Arial" w:hAnsi="Arial" w:cs="Arial"/>
          <w:color w:val="000000"/>
          <w:sz w:val="22"/>
          <w:szCs w:val="22"/>
        </w:rPr>
        <w:t>Verificar que la cuenta bancaria de</w:t>
      </w:r>
      <w:r w:rsidR="00DB6400">
        <w:rPr>
          <w:rFonts w:ascii="Arial" w:hAnsi="Arial" w:cs="Arial"/>
          <w:color w:val="000000"/>
          <w:sz w:val="22"/>
          <w:szCs w:val="22"/>
        </w:rPr>
        <w:t xml:space="preserve"> la </w:t>
      </w:r>
      <w:r w:rsidR="00DB6400" w:rsidRPr="004D36C1">
        <w:rPr>
          <w:rFonts w:ascii="Arial" w:hAnsi="Arial" w:cs="Arial"/>
          <w:i/>
          <w:iCs/>
          <w:color w:val="000000"/>
          <w:sz w:val="22"/>
          <w:szCs w:val="22"/>
        </w:rPr>
        <w:t xml:space="preserve">“Tesorería” </w:t>
      </w:r>
      <w:r w:rsidR="00DB6400">
        <w:rPr>
          <w:rFonts w:ascii="Arial" w:hAnsi="Arial" w:cs="Arial"/>
          <w:color w:val="000000"/>
          <w:sz w:val="22"/>
          <w:szCs w:val="22"/>
        </w:rPr>
        <w:t xml:space="preserve">esté en estado </w:t>
      </w:r>
      <w:r w:rsidR="00DB6400" w:rsidRPr="004D36C1">
        <w:rPr>
          <w:rFonts w:ascii="Arial" w:hAnsi="Arial" w:cs="Arial"/>
          <w:i/>
          <w:iCs/>
          <w:color w:val="000000"/>
          <w:sz w:val="22"/>
          <w:szCs w:val="22"/>
        </w:rPr>
        <w:t>“A</w:t>
      </w:r>
      <w:r w:rsidRPr="004D36C1">
        <w:rPr>
          <w:rFonts w:ascii="Arial" w:hAnsi="Arial" w:cs="Arial"/>
          <w:i/>
          <w:iCs/>
          <w:color w:val="000000"/>
          <w:sz w:val="22"/>
          <w:szCs w:val="22"/>
        </w:rPr>
        <w:t>ctiva”</w:t>
      </w:r>
      <w:r w:rsidRPr="00DB6400">
        <w:rPr>
          <w:rFonts w:ascii="Arial" w:hAnsi="Arial" w:cs="Arial"/>
          <w:color w:val="000000"/>
          <w:sz w:val="22"/>
          <w:szCs w:val="22"/>
        </w:rPr>
        <w:t xml:space="preserve">, que los conceptos del banco estén homologados al </w:t>
      </w:r>
      <w:r w:rsidRPr="004D36C1">
        <w:rPr>
          <w:rFonts w:ascii="Arial" w:hAnsi="Arial" w:cs="Arial"/>
          <w:i/>
          <w:iCs/>
          <w:color w:val="000000"/>
          <w:sz w:val="22"/>
          <w:szCs w:val="22"/>
        </w:rPr>
        <w:t>“</w:t>
      </w:r>
      <w:r w:rsidR="00DB6400" w:rsidRPr="004D36C1">
        <w:rPr>
          <w:rFonts w:ascii="Arial" w:hAnsi="Arial" w:cs="Arial"/>
          <w:i/>
          <w:iCs/>
          <w:color w:val="000000"/>
          <w:sz w:val="22"/>
          <w:szCs w:val="22"/>
        </w:rPr>
        <w:t>C</w:t>
      </w:r>
      <w:r w:rsidRPr="004D36C1">
        <w:rPr>
          <w:rFonts w:ascii="Arial" w:hAnsi="Arial" w:cs="Arial"/>
          <w:i/>
          <w:iCs/>
          <w:color w:val="000000"/>
          <w:sz w:val="22"/>
          <w:szCs w:val="22"/>
        </w:rPr>
        <w:t>oncepto S</w:t>
      </w:r>
      <w:r w:rsidR="00DB6400" w:rsidRPr="004D36C1">
        <w:rPr>
          <w:rFonts w:ascii="Arial" w:hAnsi="Arial" w:cs="Arial"/>
          <w:i/>
          <w:iCs/>
          <w:color w:val="000000"/>
          <w:sz w:val="22"/>
          <w:szCs w:val="22"/>
        </w:rPr>
        <w:t>IIF”</w:t>
      </w:r>
      <w:r w:rsidR="00DB6400">
        <w:rPr>
          <w:rFonts w:ascii="Arial" w:hAnsi="Arial" w:cs="Arial"/>
          <w:color w:val="000000"/>
          <w:sz w:val="22"/>
          <w:szCs w:val="22"/>
        </w:rPr>
        <w:t xml:space="preserve"> y que contengan la marca </w:t>
      </w:r>
      <w:r w:rsidR="00DB6400" w:rsidRPr="004D36C1">
        <w:rPr>
          <w:rFonts w:ascii="Arial" w:hAnsi="Arial" w:cs="Arial"/>
          <w:i/>
          <w:iCs/>
          <w:color w:val="000000"/>
          <w:sz w:val="22"/>
          <w:szCs w:val="22"/>
        </w:rPr>
        <w:t>“Afecta I</w:t>
      </w:r>
      <w:r w:rsidRPr="004D36C1">
        <w:rPr>
          <w:rFonts w:ascii="Arial" w:hAnsi="Arial" w:cs="Arial"/>
          <w:i/>
          <w:iCs/>
          <w:color w:val="000000"/>
          <w:sz w:val="22"/>
          <w:szCs w:val="22"/>
        </w:rPr>
        <w:t xml:space="preserve">ngresos” </w:t>
      </w:r>
      <w:r w:rsidRPr="00DB6400">
        <w:rPr>
          <w:rFonts w:ascii="Arial" w:hAnsi="Arial" w:cs="Arial"/>
          <w:color w:val="000000"/>
          <w:sz w:val="22"/>
          <w:szCs w:val="22"/>
        </w:rPr>
        <w:t xml:space="preserve">para cada uno de los movimientos crédito de la cuenta bancaria. Lo anterior, incide en la creación de </w:t>
      </w:r>
      <w:r w:rsidRPr="004D36C1">
        <w:rPr>
          <w:rFonts w:ascii="Arial" w:hAnsi="Arial" w:cs="Arial"/>
          <w:i/>
          <w:iCs/>
          <w:color w:val="000000"/>
          <w:sz w:val="22"/>
          <w:szCs w:val="22"/>
        </w:rPr>
        <w:t>“documentos de recaudos por clasificar”</w:t>
      </w:r>
      <w:r w:rsidRPr="00DB6400">
        <w:rPr>
          <w:rFonts w:ascii="Arial" w:hAnsi="Arial" w:cs="Arial"/>
          <w:color w:val="000000"/>
          <w:sz w:val="22"/>
          <w:szCs w:val="22"/>
        </w:rPr>
        <w:t xml:space="preserve"> y, en consecuencia, afecta la contabilidad.</w:t>
      </w:r>
    </w:p>
    <w:p w14:paraId="6600B2EC" w14:textId="77777777" w:rsidR="00F90285" w:rsidRPr="00EA42B9" w:rsidRDefault="00F90285" w:rsidP="00EF3D59">
      <w:pPr>
        <w:pStyle w:val="unico"/>
        <w:spacing w:before="0" w:beforeAutospacing="0" w:after="0" w:afterAutospacing="0" w:line="288" w:lineRule="auto"/>
        <w:jc w:val="both"/>
        <w:rPr>
          <w:rFonts w:ascii="Arial" w:hAnsi="Arial" w:cs="Arial"/>
          <w:color w:val="000000"/>
          <w:sz w:val="22"/>
          <w:szCs w:val="22"/>
        </w:rPr>
      </w:pPr>
    </w:p>
    <w:p w14:paraId="43DCF6DA" w14:textId="77777777" w:rsidR="00EA42B9" w:rsidRDefault="00DB6400" w:rsidP="00EF3D59">
      <w:pPr>
        <w:pStyle w:val="unico"/>
        <w:spacing w:before="0" w:beforeAutospacing="0" w:after="0" w:afterAutospacing="0" w:line="288" w:lineRule="auto"/>
        <w:jc w:val="both"/>
        <w:rPr>
          <w:rFonts w:ascii="Arial" w:hAnsi="Arial" w:cs="Arial"/>
          <w:color w:val="000000"/>
          <w:sz w:val="22"/>
          <w:szCs w:val="22"/>
        </w:rPr>
      </w:pPr>
      <w:r>
        <w:rPr>
          <w:rFonts w:ascii="Arial" w:hAnsi="Arial" w:cs="Arial"/>
          <w:color w:val="000000"/>
          <w:sz w:val="22"/>
          <w:szCs w:val="22"/>
        </w:rPr>
        <w:t xml:space="preserve">Con los </w:t>
      </w:r>
      <w:r w:rsidRPr="004D36C1">
        <w:rPr>
          <w:rFonts w:ascii="Arial" w:hAnsi="Arial" w:cs="Arial"/>
          <w:i/>
          <w:iCs/>
          <w:color w:val="000000"/>
          <w:sz w:val="22"/>
          <w:szCs w:val="22"/>
        </w:rPr>
        <w:t>“Documentos de R</w:t>
      </w:r>
      <w:r w:rsidR="00EA42B9" w:rsidRPr="004D36C1">
        <w:rPr>
          <w:rFonts w:ascii="Arial" w:hAnsi="Arial" w:cs="Arial"/>
          <w:i/>
          <w:iCs/>
          <w:color w:val="000000"/>
          <w:sz w:val="22"/>
          <w:szCs w:val="22"/>
        </w:rPr>
        <w:t>ecaudo por clasificar”</w:t>
      </w:r>
      <w:r w:rsidR="00EA42B9" w:rsidRPr="00EA42B9">
        <w:rPr>
          <w:rFonts w:ascii="Arial" w:hAnsi="Arial" w:cs="Arial"/>
          <w:color w:val="000000"/>
          <w:sz w:val="22"/>
          <w:szCs w:val="22"/>
        </w:rPr>
        <w:t xml:space="preserve"> generados con la carga de extracto bancario, para la EPC a la cual corresponde la cuenta bancaria, con auxiliar PCI responsable de la imputación, el sistema generará automáticamente los siguientes registros:</w:t>
      </w:r>
    </w:p>
    <w:p w14:paraId="0EF6F159" w14:textId="77777777" w:rsidR="00F90285" w:rsidRPr="00EA42B9" w:rsidRDefault="00F90285" w:rsidP="00EF3D59">
      <w:pPr>
        <w:pStyle w:val="unico"/>
        <w:spacing w:before="0" w:beforeAutospacing="0" w:after="0" w:afterAutospacing="0" w:line="288" w:lineRule="auto"/>
        <w:jc w:val="both"/>
        <w:rPr>
          <w:rFonts w:ascii="Arial" w:hAnsi="Arial" w:cs="Arial"/>
          <w:color w:val="000000"/>
          <w:sz w:val="22"/>
          <w:szCs w:val="22"/>
        </w:rPr>
      </w:pPr>
    </w:p>
    <w:p w14:paraId="3295A93E" w14:textId="77777777" w:rsidR="00EA42B9" w:rsidRDefault="00EA42B9" w:rsidP="00343ECE">
      <w:pPr>
        <w:pStyle w:val="unico"/>
        <w:numPr>
          <w:ilvl w:val="0"/>
          <w:numId w:val="20"/>
        </w:numPr>
        <w:spacing w:before="0" w:beforeAutospacing="0" w:after="0" w:afterAutospacing="0" w:line="288" w:lineRule="auto"/>
        <w:ind w:left="142" w:hanging="142"/>
        <w:jc w:val="both"/>
        <w:rPr>
          <w:rFonts w:ascii="Arial" w:hAnsi="Arial" w:cs="Arial"/>
          <w:color w:val="000000"/>
          <w:sz w:val="22"/>
          <w:szCs w:val="22"/>
        </w:rPr>
      </w:pPr>
      <w:r w:rsidRPr="00EA42B9">
        <w:rPr>
          <w:rFonts w:ascii="Arial" w:hAnsi="Arial" w:cs="Arial"/>
          <w:color w:val="000000"/>
          <w:sz w:val="22"/>
          <w:szCs w:val="22"/>
        </w:rPr>
        <w:t xml:space="preserve">Para los recaudos que se reciben en los bancos de la </w:t>
      </w:r>
      <w:r w:rsidR="00A9076F">
        <w:rPr>
          <w:rFonts w:ascii="Arial" w:hAnsi="Arial" w:cs="Arial"/>
          <w:color w:val="000000"/>
          <w:sz w:val="22"/>
          <w:szCs w:val="22"/>
        </w:rPr>
        <w:t>D</w:t>
      </w:r>
      <w:r w:rsidRPr="00EA42B9">
        <w:rPr>
          <w:rFonts w:ascii="Arial" w:hAnsi="Arial" w:cs="Arial"/>
          <w:color w:val="000000"/>
          <w:sz w:val="22"/>
          <w:szCs w:val="22"/>
        </w:rPr>
        <w:t xml:space="preserve">irección del </w:t>
      </w:r>
      <w:r w:rsidR="00A9076F">
        <w:rPr>
          <w:rFonts w:ascii="Arial" w:hAnsi="Arial" w:cs="Arial"/>
          <w:color w:val="000000"/>
          <w:sz w:val="22"/>
          <w:szCs w:val="22"/>
        </w:rPr>
        <w:t>Tesoro N</w:t>
      </w:r>
      <w:r w:rsidRPr="00EA42B9">
        <w:rPr>
          <w:rFonts w:ascii="Arial" w:hAnsi="Arial" w:cs="Arial"/>
          <w:color w:val="000000"/>
          <w:sz w:val="22"/>
          <w:szCs w:val="22"/>
        </w:rPr>
        <w:t>acional, es decir con situación de fond</w:t>
      </w:r>
      <w:r w:rsidR="00A9076F">
        <w:rPr>
          <w:rFonts w:ascii="Arial" w:hAnsi="Arial" w:cs="Arial"/>
          <w:color w:val="000000"/>
          <w:sz w:val="22"/>
          <w:szCs w:val="22"/>
        </w:rPr>
        <w:t xml:space="preserve">os, el sistema lee los campos </w:t>
      </w:r>
      <w:r w:rsidR="00A9076F" w:rsidRPr="004D36C1">
        <w:rPr>
          <w:rFonts w:ascii="Arial" w:hAnsi="Arial" w:cs="Arial"/>
          <w:i/>
          <w:iCs/>
          <w:color w:val="000000"/>
          <w:sz w:val="22"/>
          <w:szCs w:val="22"/>
        </w:rPr>
        <w:t>“C</w:t>
      </w:r>
      <w:r w:rsidRPr="004D36C1">
        <w:rPr>
          <w:rFonts w:ascii="Arial" w:hAnsi="Arial" w:cs="Arial"/>
          <w:i/>
          <w:iCs/>
          <w:color w:val="000000"/>
          <w:sz w:val="22"/>
          <w:szCs w:val="22"/>
        </w:rPr>
        <w:t>uenta contable débito y crédito”</w:t>
      </w:r>
      <w:r w:rsidRPr="00EA42B9">
        <w:rPr>
          <w:rFonts w:ascii="Arial" w:hAnsi="Arial" w:cs="Arial"/>
          <w:color w:val="000000"/>
          <w:sz w:val="22"/>
          <w:szCs w:val="22"/>
        </w:rPr>
        <w:t xml:space="preserve"> de la cuenta bancaria registrados por la entidad. El efecto contable es un débito en la subcuenta 111005-cuenta corriente de la cuenta 1110-</w:t>
      </w:r>
      <w:r w:rsidR="00A9076F">
        <w:rPr>
          <w:rFonts w:ascii="Arial" w:hAnsi="Arial" w:cs="Arial"/>
          <w:color w:val="000000"/>
          <w:sz w:val="22"/>
          <w:szCs w:val="22"/>
        </w:rPr>
        <w:t>D</w:t>
      </w:r>
      <w:r w:rsidRPr="00EA42B9">
        <w:rPr>
          <w:rFonts w:ascii="Arial" w:hAnsi="Arial" w:cs="Arial"/>
          <w:color w:val="000000"/>
          <w:sz w:val="22"/>
          <w:szCs w:val="22"/>
        </w:rPr>
        <w:t>epósito en instituciones financieras, con un crédito en la subcuenta 472080-</w:t>
      </w:r>
      <w:r w:rsidR="00A9076F">
        <w:rPr>
          <w:rFonts w:ascii="Arial" w:hAnsi="Arial" w:cs="Arial"/>
          <w:color w:val="000000"/>
          <w:sz w:val="22"/>
          <w:szCs w:val="22"/>
        </w:rPr>
        <w:t>Recaudos de la cuenta 4720-O</w:t>
      </w:r>
      <w:r w:rsidRPr="00EA42B9">
        <w:rPr>
          <w:rFonts w:ascii="Arial" w:hAnsi="Arial" w:cs="Arial"/>
          <w:color w:val="000000"/>
          <w:sz w:val="22"/>
          <w:szCs w:val="22"/>
        </w:rPr>
        <w:t>peraciones de enlace.</w:t>
      </w:r>
    </w:p>
    <w:p w14:paraId="328A750F" w14:textId="77777777" w:rsidR="00F90285" w:rsidRPr="00EA42B9" w:rsidRDefault="00F90285" w:rsidP="00EF3D59">
      <w:pPr>
        <w:pStyle w:val="unico"/>
        <w:spacing w:before="0" w:beforeAutospacing="0" w:after="0" w:afterAutospacing="0" w:line="288" w:lineRule="auto"/>
        <w:ind w:left="142" w:hanging="142"/>
        <w:jc w:val="both"/>
        <w:rPr>
          <w:rFonts w:ascii="Arial" w:hAnsi="Arial" w:cs="Arial"/>
          <w:color w:val="000000"/>
          <w:sz w:val="22"/>
          <w:szCs w:val="22"/>
        </w:rPr>
      </w:pPr>
    </w:p>
    <w:p w14:paraId="04B98982" w14:textId="77777777" w:rsidR="00EA42B9" w:rsidRPr="00EA42B9" w:rsidRDefault="00EA42B9" w:rsidP="00343ECE">
      <w:pPr>
        <w:pStyle w:val="unico"/>
        <w:numPr>
          <w:ilvl w:val="0"/>
          <w:numId w:val="20"/>
        </w:numPr>
        <w:spacing w:before="0" w:beforeAutospacing="0" w:after="0" w:afterAutospacing="0" w:line="288" w:lineRule="auto"/>
        <w:ind w:left="142" w:hanging="142"/>
        <w:jc w:val="both"/>
        <w:rPr>
          <w:rFonts w:ascii="Arial" w:hAnsi="Arial" w:cs="Arial"/>
          <w:color w:val="000000"/>
          <w:sz w:val="22"/>
          <w:szCs w:val="22"/>
        </w:rPr>
      </w:pPr>
      <w:r w:rsidRPr="00EA42B9">
        <w:rPr>
          <w:rFonts w:ascii="Arial" w:hAnsi="Arial" w:cs="Arial"/>
          <w:color w:val="000000"/>
          <w:sz w:val="22"/>
          <w:szCs w:val="22"/>
        </w:rPr>
        <w:t>Para los recaudos que se reciben en los bancos de las tesorerías de la ECP, es decir sin situación de fondos o propios, el efecto contable se registra con un</w:t>
      </w:r>
      <w:r w:rsidR="00A9076F">
        <w:rPr>
          <w:rFonts w:ascii="Arial" w:hAnsi="Arial" w:cs="Arial"/>
          <w:color w:val="000000"/>
          <w:sz w:val="22"/>
          <w:szCs w:val="22"/>
        </w:rPr>
        <w:t xml:space="preserve"> débito en la subcuenta 111005-Cuenta corriente o 111006-A</w:t>
      </w:r>
      <w:r w:rsidRPr="00EA42B9">
        <w:rPr>
          <w:rFonts w:ascii="Arial" w:hAnsi="Arial" w:cs="Arial"/>
          <w:color w:val="000000"/>
          <w:sz w:val="22"/>
          <w:szCs w:val="22"/>
        </w:rPr>
        <w:t>horros, de la cuenta 1110</w:t>
      </w:r>
      <w:r w:rsidR="00A9076F">
        <w:rPr>
          <w:rFonts w:ascii="Arial" w:hAnsi="Arial" w:cs="Arial"/>
          <w:color w:val="000000"/>
          <w:sz w:val="22"/>
          <w:szCs w:val="22"/>
        </w:rPr>
        <w:t>-D</w:t>
      </w:r>
      <w:r w:rsidRPr="00EA42B9">
        <w:rPr>
          <w:rFonts w:ascii="Arial" w:hAnsi="Arial" w:cs="Arial"/>
          <w:color w:val="000000"/>
          <w:sz w:val="22"/>
          <w:szCs w:val="22"/>
        </w:rPr>
        <w:t xml:space="preserve">epósito en instituciones financieras, y con un crédito en la subcuenta </w:t>
      </w:r>
      <w:r w:rsidR="00A9076F">
        <w:rPr>
          <w:rFonts w:ascii="Arial" w:hAnsi="Arial" w:cs="Arial"/>
          <w:color w:val="000000"/>
          <w:sz w:val="22"/>
          <w:szCs w:val="22"/>
        </w:rPr>
        <w:t>240720</w:t>
      </w:r>
      <w:r w:rsidRPr="00EA42B9">
        <w:rPr>
          <w:rFonts w:ascii="Arial" w:hAnsi="Arial" w:cs="Arial"/>
          <w:color w:val="000000"/>
          <w:sz w:val="22"/>
          <w:szCs w:val="22"/>
        </w:rPr>
        <w:t>-</w:t>
      </w:r>
      <w:r w:rsidR="00A9076F">
        <w:rPr>
          <w:rFonts w:ascii="Arial" w:hAnsi="Arial" w:cs="Arial"/>
          <w:color w:val="000000"/>
          <w:sz w:val="22"/>
          <w:szCs w:val="22"/>
        </w:rPr>
        <w:t>R</w:t>
      </w:r>
      <w:r w:rsidRPr="00EA42B9">
        <w:rPr>
          <w:rFonts w:ascii="Arial" w:hAnsi="Arial" w:cs="Arial"/>
          <w:color w:val="000000"/>
          <w:sz w:val="22"/>
          <w:szCs w:val="22"/>
        </w:rPr>
        <w:t>ecaudos por clasificar, de la cuenta 2</w:t>
      </w:r>
      <w:r w:rsidR="00B738B4">
        <w:rPr>
          <w:rFonts w:ascii="Arial" w:hAnsi="Arial" w:cs="Arial"/>
          <w:color w:val="000000"/>
          <w:sz w:val="22"/>
          <w:szCs w:val="22"/>
        </w:rPr>
        <w:t>407</w:t>
      </w:r>
      <w:r w:rsidRPr="00EA42B9">
        <w:rPr>
          <w:rFonts w:ascii="Arial" w:hAnsi="Arial" w:cs="Arial"/>
          <w:color w:val="000000"/>
          <w:sz w:val="22"/>
          <w:szCs w:val="22"/>
        </w:rPr>
        <w:t>-</w:t>
      </w:r>
      <w:r w:rsidR="00B738B4">
        <w:rPr>
          <w:rFonts w:ascii="Arial" w:hAnsi="Arial" w:cs="Arial"/>
          <w:color w:val="000000"/>
          <w:sz w:val="22"/>
          <w:szCs w:val="22"/>
        </w:rPr>
        <w:t>R</w:t>
      </w:r>
      <w:r w:rsidRPr="00EA42B9">
        <w:rPr>
          <w:rFonts w:ascii="Arial" w:hAnsi="Arial" w:cs="Arial"/>
          <w:color w:val="000000"/>
          <w:sz w:val="22"/>
          <w:szCs w:val="22"/>
        </w:rPr>
        <w:t>ecaudos a favor de terceros, de los campos de la cuenta bancaria registrados en el sistema por la entidad.</w:t>
      </w:r>
    </w:p>
    <w:p w14:paraId="5CDCF786" w14:textId="77777777" w:rsidR="00F90285" w:rsidRDefault="00F90285" w:rsidP="00EF3D59">
      <w:pPr>
        <w:pStyle w:val="Ttulo2"/>
        <w:spacing w:line="288" w:lineRule="auto"/>
        <w:rPr>
          <w:rFonts w:ascii="Arial" w:hAnsi="Arial" w:cs="Arial"/>
          <w:color w:val="000000"/>
          <w:sz w:val="22"/>
          <w:szCs w:val="22"/>
        </w:rPr>
      </w:pPr>
    </w:p>
    <w:p w14:paraId="2410AB78" w14:textId="77777777" w:rsidR="00EA42B9" w:rsidRPr="001D2485" w:rsidRDefault="00EA42B9" w:rsidP="00EF3D59">
      <w:pPr>
        <w:spacing w:line="288" w:lineRule="auto"/>
        <w:rPr>
          <w:rFonts w:ascii="Arial" w:hAnsi="Arial" w:cs="Arial"/>
          <w:b/>
          <w:color w:val="000000"/>
          <w:sz w:val="22"/>
          <w:szCs w:val="22"/>
        </w:rPr>
      </w:pPr>
      <w:r w:rsidRPr="001D2485">
        <w:rPr>
          <w:rFonts w:ascii="Arial" w:hAnsi="Arial" w:cs="Arial"/>
          <w:b/>
          <w:color w:val="000000"/>
          <w:sz w:val="22"/>
          <w:szCs w:val="22"/>
        </w:rPr>
        <w:t>Recaudo por clasificar en títulos</w:t>
      </w:r>
    </w:p>
    <w:p w14:paraId="2E8EE1A1"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3A729875"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Esta transacción contiene el efecto de los recursos administrados por una entidad externa autorizada por la ECP dueña de los recursos (encargo fiduciario, fondo en administración, fideicomiso), y el recaudo de los derechos de cobro en títulos, (TIDIS, CERT, TES, entre otros), generando </w:t>
      </w:r>
      <w:r w:rsidRPr="004D36C1">
        <w:rPr>
          <w:rFonts w:ascii="Arial" w:hAnsi="Arial" w:cs="Arial"/>
          <w:i/>
          <w:iCs/>
          <w:color w:val="000000"/>
          <w:sz w:val="22"/>
          <w:szCs w:val="22"/>
        </w:rPr>
        <w:t>“documentos de recaudo por clasificar en títulos”,</w:t>
      </w:r>
      <w:r w:rsidRPr="00EA42B9">
        <w:rPr>
          <w:rFonts w:ascii="Arial" w:hAnsi="Arial" w:cs="Arial"/>
          <w:color w:val="000000"/>
          <w:sz w:val="22"/>
          <w:szCs w:val="22"/>
        </w:rPr>
        <w:t xml:space="preserve"> a partir de la carga del movimiento crédito informado por el administrador del recurso o del título.</w:t>
      </w:r>
    </w:p>
    <w:p w14:paraId="594F9878"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5D9916DF"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Para los recaudados de la entidad contable pública, que son administrados a través de encargos fiduciarios, fondos en administración o fideicomisos, que para el sistema identifican los </w:t>
      </w:r>
      <w:r w:rsidRPr="004D36C1">
        <w:rPr>
          <w:rFonts w:ascii="Arial" w:hAnsi="Arial" w:cs="Arial"/>
          <w:i/>
          <w:iCs/>
          <w:color w:val="000000"/>
          <w:sz w:val="22"/>
          <w:szCs w:val="22"/>
        </w:rPr>
        <w:t>“tipos de títulos”,</w:t>
      </w:r>
      <w:r w:rsidRPr="00EA42B9">
        <w:rPr>
          <w:rFonts w:ascii="Arial" w:hAnsi="Arial" w:cs="Arial"/>
          <w:color w:val="000000"/>
          <w:sz w:val="22"/>
          <w:szCs w:val="22"/>
        </w:rPr>
        <w:t xml:space="preserve"> el efecto contable se registra con un débito en la subcuenta que identifique el recurso entregado según la modalidad, y con un crédito en la subcuenta 472210-pago de obligaciones con títulos de la cuenta 4722-operaciones sin flujo de </w:t>
      </w:r>
      <w:r w:rsidRPr="00EA42B9">
        <w:rPr>
          <w:rFonts w:ascii="Arial" w:hAnsi="Arial" w:cs="Arial"/>
          <w:color w:val="000000"/>
          <w:sz w:val="22"/>
          <w:szCs w:val="22"/>
        </w:rPr>
        <w:lastRenderedPageBreak/>
        <w:t>efectivo, que se cancela en la misma ECP con el registro contable del “recaudo básico en títulos”.</w:t>
      </w:r>
    </w:p>
    <w:p w14:paraId="550F5CB3"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49642A40" w14:textId="77777777" w:rsidR="00EA42B9" w:rsidRPr="00EA42B9" w:rsidRDefault="00B738B4" w:rsidP="00EF3D59">
      <w:pPr>
        <w:pStyle w:val="unico"/>
        <w:spacing w:before="0" w:beforeAutospacing="0" w:after="0" w:afterAutospacing="0" w:line="288" w:lineRule="auto"/>
        <w:jc w:val="both"/>
        <w:rPr>
          <w:rFonts w:ascii="Arial" w:hAnsi="Arial" w:cs="Arial"/>
          <w:color w:val="000000"/>
          <w:sz w:val="22"/>
          <w:szCs w:val="22"/>
        </w:rPr>
      </w:pPr>
      <w:r>
        <w:rPr>
          <w:rFonts w:ascii="Arial" w:hAnsi="Arial" w:cs="Arial"/>
          <w:color w:val="000000"/>
          <w:sz w:val="22"/>
          <w:szCs w:val="22"/>
        </w:rPr>
        <w:t xml:space="preserve">Para los </w:t>
      </w:r>
      <w:r w:rsidRPr="004D36C1">
        <w:rPr>
          <w:rFonts w:ascii="Arial" w:hAnsi="Arial" w:cs="Arial"/>
          <w:i/>
          <w:iCs/>
          <w:color w:val="000000"/>
          <w:sz w:val="22"/>
          <w:szCs w:val="22"/>
        </w:rPr>
        <w:t>“T</w:t>
      </w:r>
      <w:r w:rsidR="00EA42B9" w:rsidRPr="004D36C1">
        <w:rPr>
          <w:rFonts w:ascii="Arial" w:hAnsi="Arial" w:cs="Arial"/>
          <w:i/>
          <w:iCs/>
          <w:color w:val="000000"/>
          <w:sz w:val="22"/>
          <w:szCs w:val="22"/>
        </w:rPr>
        <w:t>ipos de títulos”</w:t>
      </w:r>
      <w:r w:rsidR="00EA42B9" w:rsidRPr="00EA42B9">
        <w:rPr>
          <w:rFonts w:ascii="Arial" w:hAnsi="Arial" w:cs="Arial"/>
          <w:color w:val="000000"/>
          <w:sz w:val="22"/>
          <w:szCs w:val="22"/>
        </w:rPr>
        <w:t xml:space="preserve"> recaudados en la entidad contable pública y emitidos por ella misma, que se identifican con la marca </w:t>
      </w:r>
      <w:r w:rsidR="00EA42B9" w:rsidRPr="004D36C1">
        <w:rPr>
          <w:rFonts w:ascii="Arial" w:hAnsi="Arial" w:cs="Arial"/>
          <w:i/>
          <w:iCs/>
          <w:color w:val="000000"/>
          <w:sz w:val="22"/>
          <w:szCs w:val="22"/>
        </w:rPr>
        <w:t xml:space="preserve">“emisora” </w:t>
      </w:r>
      <w:r w:rsidR="00EA42B9" w:rsidRPr="00EA42B9">
        <w:rPr>
          <w:rFonts w:ascii="Arial" w:hAnsi="Arial" w:cs="Arial"/>
          <w:color w:val="000000"/>
          <w:sz w:val="22"/>
          <w:szCs w:val="22"/>
        </w:rPr>
        <w:t xml:space="preserve">con valor “sí” y, en consecuencia, tiene registrado el pasivo del título y el derecho por cobrar, el recaudo en títulos cancela el pasivo y constituye una operación sin flujo de efectivo, con un </w:t>
      </w:r>
      <w:r w:rsidR="00B932EF">
        <w:rPr>
          <w:rFonts w:ascii="Arial" w:hAnsi="Arial" w:cs="Arial"/>
          <w:color w:val="000000"/>
          <w:sz w:val="22"/>
          <w:szCs w:val="22"/>
        </w:rPr>
        <w:t>crédito en la subcuenta 472210-P</w:t>
      </w:r>
      <w:r w:rsidR="00EA42B9" w:rsidRPr="00EA42B9">
        <w:rPr>
          <w:rFonts w:ascii="Arial" w:hAnsi="Arial" w:cs="Arial"/>
          <w:color w:val="000000"/>
          <w:sz w:val="22"/>
          <w:szCs w:val="22"/>
        </w:rPr>
        <w:t>ago de obligaciones con títulos de la cuenta 4722-</w:t>
      </w:r>
      <w:r w:rsidR="00B932EF">
        <w:rPr>
          <w:rFonts w:ascii="Arial" w:hAnsi="Arial" w:cs="Arial"/>
          <w:color w:val="000000"/>
          <w:sz w:val="22"/>
          <w:szCs w:val="22"/>
        </w:rPr>
        <w:t>O</w:t>
      </w:r>
      <w:r w:rsidR="00EA42B9" w:rsidRPr="00EA42B9">
        <w:rPr>
          <w:rFonts w:ascii="Arial" w:hAnsi="Arial" w:cs="Arial"/>
          <w:color w:val="000000"/>
          <w:sz w:val="22"/>
          <w:szCs w:val="22"/>
        </w:rPr>
        <w:t>peraciones sin flujo de efectivo, que se cancela en la misma ECP con el registro contable del “recaudo básico en títulos”.</w:t>
      </w:r>
    </w:p>
    <w:p w14:paraId="22B5B052"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2F39EFD0" w14:textId="77777777" w:rsidR="00EA42B9" w:rsidRPr="00B932EF" w:rsidRDefault="00EA42B9" w:rsidP="00EF3D59">
      <w:pPr>
        <w:pStyle w:val="unico"/>
        <w:spacing w:before="0" w:beforeAutospacing="0" w:after="0" w:afterAutospacing="0" w:line="288" w:lineRule="auto"/>
        <w:jc w:val="both"/>
        <w:rPr>
          <w:rFonts w:ascii="Arial" w:hAnsi="Arial" w:cs="Arial"/>
          <w:sz w:val="22"/>
          <w:szCs w:val="22"/>
        </w:rPr>
      </w:pPr>
      <w:r w:rsidRPr="00B932EF">
        <w:rPr>
          <w:rFonts w:ascii="Arial" w:hAnsi="Arial" w:cs="Arial"/>
          <w:sz w:val="22"/>
          <w:szCs w:val="22"/>
        </w:rPr>
        <w:t xml:space="preserve">Este es el caso de la DIAN, cuyos derechos se pagan con títulos de devolución de impuestos, TIDIS; en este caso, el efecto contable se registra con un débito en la subcuenta </w:t>
      </w:r>
      <w:r w:rsidR="00B738B4" w:rsidRPr="00B932EF">
        <w:rPr>
          <w:rFonts w:ascii="Arial" w:hAnsi="Arial" w:cs="Arial"/>
          <w:sz w:val="22"/>
          <w:szCs w:val="22"/>
        </w:rPr>
        <w:t>22</w:t>
      </w:r>
      <w:r w:rsidRPr="00B932EF">
        <w:rPr>
          <w:rFonts w:ascii="Arial" w:hAnsi="Arial" w:cs="Arial"/>
          <w:sz w:val="22"/>
          <w:szCs w:val="22"/>
        </w:rPr>
        <w:t>300</w:t>
      </w:r>
      <w:r w:rsidR="00B932EF" w:rsidRPr="00B932EF">
        <w:rPr>
          <w:rFonts w:ascii="Arial" w:hAnsi="Arial" w:cs="Arial"/>
          <w:sz w:val="22"/>
          <w:szCs w:val="22"/>
        </w:rPr>
        <w:t>1</w:t>
      </w:r>
      <w:r w:rsidRPr="00B932EF">
        <w:rPr>
          <w:rFonts w:ascii="Arial" w:hAnsi="Arial" w:cs="Arial"/>
          <w:sz w:val="22"/>
          <w:szCs w:val="22"/>
        </w:rPr>
        <w:t>-</w:t>
      </w:r>
      <w:r w:rsidR="00B932EF" w:rsidRPr="00B932EF">
        <w:rPr>
          <w:rFonts w:ascii="Arial" w:hAnsi="Arial" w:cs="Arial"/>
          <w:sz w:val="22"/>
          <w:szCs w:val="22"/>
        </w:rPr>
        <w:t>T</w:t>
      </w:r>
      <w:r w:rsidRPr="00B932EF">
        <w:rPr>
          <w:rFonts w:ascii="Arial" w:hAnsi="Arial" w:cs="Arial"/>
          <w:sz w:val="22"/>
          <w:szCs w:val="22"/>
        </w:rPr>
        <w:t>ítulos de devolución de impuestos</w:t>
      </w:r>
      <w:r w:rsidR="00B932EF" w:rsidRPr="00B932EF">
        <w:rPr>
          <w:rFonts w:ascii="Arial" w:hAnsi="Arial" w:cs="Arial"/>
          <w:sz w:val="22"/>
          <w:szCs w:val="22"/>
        </w:rPr>
        <w:t xml:space="preserve"> (</w:t>
      </w:r>
      <w:r w:rsidRPr="00B932EF">
        <w:rPr>
          <w:rFonts w:ascii="Arial" w:hAnsi="Arial" w:cs="Arial"/>
          <w:sz w:val="22"/>
          <w:szCs w:val="22"/>
        </w:rPr>
        <w:t>TIDIS</w:t>
      </w:r>
      <w:r w:rsidR="00B932EF" w:rsidRPr="00B932EF">
        <w:rPr>
          <w:rFonts w:ascii="Arial" w:hAnsi="Arial" w:cs="Arial"/>
          <w:sz w:val="22"/>
          <w:szCs w:val="22"/>
        </w:rPr>
        <w:t>)</w:t>
      </w:r>
      <w:r w:rsidRPr="00B932EF">
        <w:rPr>
          <w:rFonts w:ascii="Arial" w:hAnsi="Arial" w:cs="Arial"/>
          <w:sz w:val="22"/>
          <w:szCs w:val="22"/>
        </w:rPr>
        <w:t xml:space="preserve"> de la cuenta 2</w:t>
      </w:r>
      <w:r w:rsidR="00B932EF" w:rsidRPr="00B932EF">
        <w:rPr>
          <w:rFonts w:ascii="Arial" w:hAnsi="Arial" w:cs="Arial"/>
          <w:sz w:val="22"/>
          <w:szCs w:val="22"/>
        </w:rPr>
        <w:t>2</w:t>
      </w:r>
      <w:r w:rsidRPr="00B932EF">
        <w:rPr>
          <w:rFonts w:ascii="Arial" w:hAnsi="Arial" w:cs="Arial"/>
          <w:sz w:val="22"/>
          <w:szCs w:val="22"/>
        </w:rPr>
        <w:t>30-</w:t>
      </w:r>
      <w:r w:rsidR="00B932EF" w:rsidRPr="00B932EF">
        <w:rPr>
          <w:rFonts w:ascii="Arial" w:hAnsi="Arial" w:cs="Arial"/>
          <w:sz w:val="22"/>
          <w:szCs w:val="22"/>
        </w:rPr>
        <w:t xml:space="preserve"> Bonos y </w:t>
      </w:r>
      <w:r w:rsidRPr="00B932EF">
        <w:rPr>
          <w:rFonts w:ascii="Arial" w:hAnsi="Arial" w:cs="Arial"/>
          <w:sz w:val="22"/>
          <w:szCs w:val="22"/>
        </w:rPr>
        <w:t>títulos</w:t>
      </w:r>
      <w:r w:rsidR="00B932EF" w:rsidRPr="00B932EF">
        <w:rPr>
          <w:rFonts w:ascii="Arial" w:hAnsi="Arial" w:cs="Arial"/>
          <w:sz w:val="22"/>
          <w:szCs w:val="22"/>
        </w:rPr>
        <w:t xml:space="preserve"> de incentivo </w:t>
      </w:r>
      <w:r w:rsidRPr="00B932EF">
        <w:rPr>
          <w:rFonts w:ascii="Arial" w:hAnsi="Arial" w:cs="Arial"/>
          <w:sz w:val="22"/>
          <w:szCs w:val="22"/>
        </w:rPr>
        <w:t>y con un crédito en la subcuenta 472210-</w:t>
      </w:r>
      <w:r w:rsidR="00B932EF" w:rsidRPr="00B932EF">
        <w:rPr>
          <w:rFonts w:ascii="Arial" w:hAnsi="Arial" w:cs="Arial"/>
          <w:sz w:val="22"/>
          <w:szCs w:val="22"/>
        </w:rPr>
        <w:t>P</w:t>
      </w:r>
      <w:r w:rsidRPr="00B932EF">
        <w:rPr>
          <w:rFonts w:ascii="Arial" w:hAnsi="Arial" w:cs="Arial"/>
          <w:sz w:val="22"/>
          <w:szCs w:val="22"/>
        </w:rPr>
        <w:t>ago de obligaciones con títulos de la cuenta 4722-</w:t>
      </w:r>
      <w:r w:rsidR="00B932EF" w:rsidRPr="00B932EF">
        <w:rPr>
          <w:rFonts w:ascii="Arial" w:hAnsi="Arial" w:cs="Arial"/>
          <w:sz w:val="22"/>
          <w:szCs w:val="22"/>
        </w:rPr>
        <w:t>O</w:t>
      </w:r>
      <w:r w:rsidRPr="00B932EF">
        <w:rPr>
          <w:rFonts w:ascii="Arial" w:hAnsi="Arial" w:cs="Arial"/>
          <w:sz w:val="22"/>
          <w:szCs w:val="22"/>
        </w:rPr>
        <w:t>peraciones sin flujo de efectivo.</w:t>
      </w:r>
    </w:p>
    <w:p w14:paraId="5CB1D6FA" w14:textId="77777777" w:rsidR="00F90285" w:rsidRPr="00B932EF" w:rsidRDefault="00F90285" w:rsidP="00EF3D59">
      <w:pPr>
        <w:pStyle w:val="unico"/>
        <w:spacing w:before="0" w:beforeAutospacing="0" w:after="0" w:afterAutospacing="0" w:line="288" w:lineRule="auto"/>
        <w:jc w:val="both"/>
        <w:rPr>
          <w:rFonts w:ascii="Arial" w:hAnsi="Arial" w:cs="Arial"/>
          <w:sz w:val="22"/>
          <w:szCs w:val="22"/>
        </w:rPr>
      </w:pPr>
    </w:p>
    <w:p w14:paraId="2D911B8C"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 xml:space="preserve">Así mismo, para los </w:t>
      </w:r>
      <w:r w:rsidRPr="004D36C1">
        <w:rPr>
          <w:rFonts w:ascii="Arial" w:hAnsi="Arial" w:cs="Arial"/>
          <w:i/>
          <w:iCs/>
          <w:color w:val="000000"/>
          <w:sz w:val="22"/>
          <w:szCs w:val="22"/>
        </w:rPr>
        <w:t>“</w:t>
      </w:r>
      <w:r w:rsidR="00B932EF" w:rsidRPr="004D36C1">
        <w:rPr>
          <w:rFonts w:ascii="Arial" w:hAnsi="Arial" w:cs="Arial"/>
          <w:i/>
          <w:iCs/>
          <w:color w:val="000000"/>
          <w:sz w:val="22"/>
          <w:szCs w:val="22"/>
        </w:rPr>
        <w:t>T</w:t>
      </w:r>
      <w:r w:rsidRPr="004D36C1">
        <w:rPr>
          <w:rFonts w:ascii="Arial" w:hAnsi="Arial" w:cs="Arial"/>
          <w:i/>
          <w:iCs/>
          <w:color w:val="000000"/>
          <w:sz w:val="22"/>
          <w:szCs w:val="22"/>
        </w:rPr>
        <w:t>ipos de títulos”</w:t>
      </w:r>
      <w:r w:rsidRPr="00EA42B9">
        <w:rPr>
          <w:rFonts w:ascii="Arial" w:hAnsi="Arial" w:cs="Arial"/>
          <w:color w:val="000000"/>
          <w:sz w:val="22"/>
          <w:szCs w:val="22"/>
        </w:rPr>
        <w:t xml:space="preserve"> recaudados para cancelar un derecho en una ECP diferente a la que tiene registrado el pasivo del título emitido, se identifica en el sistema con la marca </w:t>
      </w:r>
      <w:r w:rsidRPr="004D36C1">
        <w:rPr>
          <w:rFonts w:ascii="Arial" w:hAnsi="Arial" w:cs="Arial"/>
          <w:i/>
          <w:iCs/>
          <w:color w:val="000000"/>
          <w:sz w:val="22"/>
          <w:szCs w:val="22"/>
        </w:rPr>
        <w:t>“emisora”</w:t>
      </w:r>
      <w:r w:rsidRPr="00EA42B9">
        <w:rPr>
          <w:rFonts w:ascii="Arial" w:hAnsi="Arial" w:cs="Arial"/>
          <w:color w:val="000000"/>
          <w:sz w:val="22"/>
          <w:szCs w:val="22"/>
        </w:rPr>
        <w:t xml:space="preserve"> con valor “no”; el registro contable corresponde para la ECP que tiene el derecho a una operación interinstit</w:t>
      </w:r>
      <w:r w:rsidR="00B932EF">
        <w:rPr>
          <w:rFonts w:ascii="Arial" w:hAnsi="Arial" w:cs="Arial"/>
          <w:color w:val="000000"/>
          <w:sz w:val="22"/>
          <w:szCs w:val="22"/>
        </w:rPr>
        <w:t>ucional en la subcuenta 572209-A</w:t>
      </w:r>
      <w:r w:rsidRPr="00EA42B9">
        <w:rPr>
          <w:rFonts w:ascii="Arial" w:hAnsi="Arial" w:cs="Arial"/>
          <w:color w:val="000000"/>
          <w:sz w:val="22"/>
          <w:szCs w:val="22"/>
        </w:rPr>
        <w:t>plicación de títulos al pago de tributos en el déb</w:t>
      </w:r>
      <w:r w:rsidR="00B932EF">
        <w:rPr>
          <w:rFonts w:ascii="Arial" w:hAnsi="Arial" w:cs="Arial"/>
          <w:color w:val="000000"/>
          <w:sz w:val="22"/>
          <w:szCs w:val="22"/>
        </w:rPr>
        <w:t>ito y en el crédito 472210-P</w:t>
      </w:r>
      <w:r w:rsidRPr="00EA42B9">
        <w:rPr>
          <w:rFonts w:ascii="Arial" w:hAnsi="Arial" w:cs="Arial"/>
          <w:color w:val="000000"/>
          <w:sz w:val="22"/>
          <w:szCs w:val="22"/>
        </w:rPr>
        <w:t xml:space="preserve">ago de obligaciones con títulos, de las cuentas 4722 y 5722 </w:t>
      </w:r>
      <w:r w:rsidRPr="004D36C1">
        <w:rPr>
          <w:rFonts w:ascii="Arial" w:hAnsi="Arial" w:cs="Arial"/>
          <w:i/>
          <w:iCs/>
          <w:color w:val="000000"/>
          <w:sz w:val="22"/>
          <w:szCs w:val="22"/>
        </w:rPr>
        <w:t>“</w:t>
      </w:r>
      <w:r w:rsidR="00B932EF" w:rsidRPr="004D36C1">
        <w:rPr>
          <w:rFonts w:ascii="Arial" w:hAnsi="Arial" w:cs="Arial"/>
          <w:i/>
          <w:iCs/>
          <w:color w:val="000000"/>
          <w:sz w:val="22"/>
          <w:szCs w:val="22"/>
        </w:rPr>
        <w:t>O</w:t>
      </w:r>
      <w:r w:rsidRPr="004D36C1">
        <w:rPr>
          <w:rFonts w:ascii="Arial" w:hAnsi="Arial" w:cs="Arial"/>
          <w:i/>
          <w:iCs/>
          <w:color w:val="000000"/>
          <w:sz w:val="22"/>
          <w:szCs w:val="22"/>
        </w:rPr>
        <w:t>peraciones sin flujo de efectivo”,</w:t>
      </w:r>
      <w:r w:rsidRPr="00EA42B9">
        <w:rPr>
          <w:rFonts w:ascii="Arial" w:hAnsi="Arial" w:cs="Arial"/>
          <w:color w:val="000000"/>
          <w:sz w:val="22"/>
          <w:szCs w:val="22"/>
        </w:rPr>
        <w:t xml:space="preserve"> que se cancela en la misma ECP con el registro contable </w:t>
      </w:r>
      <w:r w:rsidRPr="004D36C1">
        <w:rPr>
          <w:rFonts w:ascii="Arial" w:hAnsi="Arial" w:cs="Arial"/>
          <w:i/>
          <w:iCs/>
          <w:color w:val="000000"/>
          <w:sz w:val="22"/>
          <w:szCs w:val="22"/>
        </w:rPr>
        <w:t>del “</w:t>
      </w:r>
      <w:r w:rsidR="00B932EF" w:rsidRPr="004D36C1">
        <w:rPr>
          <w:rFonts w:ascii="Arial" w:hAnsi="Arial" w:cs="Arial"/>
          <w:i/>
          <w:iCs/>
          <w:color w:val="000000"/>
          <w:sz w:val="22"/>
          <w:szCs w:val="22"/>
        </w:rPr>
        <w:t>R</w:t>
      </w:r>
      <w:r w:rsidRPr="004D36C1">
        <w:rPr>
          <w:rFonts w:ascii="Arial" w:hAnsi="Arial" w:cs="Arial"/>
          <w:i/>
          <w:iCs/>
          <w:color w:val="000000"/>
          <w:sz w:val="22"/>
          <w:szCs w:val="22"/>
        </w:rPr>
        <w:t>ecaudo básico en títulos”.</w:t>
      </w:r>
    </w:p>
    <w:p w14:paraId="32DAA4D3" w14:textId="77777777" w:rsidR="00F90285" w:rsidRDefault="00F90285" w:rsidP="00EF3D59">
      <w:pPr>
        <w:pStyle w:val="unico"/>
        <w:spacing w:before="0" w:beforeAutospacing="0" w:after="0" w:afterAutospacing="0" w:line="288" w:lineRule="auto"/>
        <w:jc w:val="both"/>
        <w:rPr>
          <w:rFonts w:ascii="Arial" w:hAnsi="Arial" w:cs="Arial"/>
          <w:color w:val="000000"/>
          <w:sz w:val="22"/>
          <w:szCs w:val="22"/>
        </w:rPr>
      </w:pPr>
    </w:p>
    <w:p w14:paraId="08F1F9C3" w14:textId="77777777" w:rsid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Para la entidad emisora, el sistema registra en el débito la subcuenta del pasivo que corresponda al título y un crédito en la subcuenta 472209-aplicación de títulos al pago de tributos.</w:t>
      </w:r>
    </w:p>
    <w:p w14:paraId="46076FC7" w14:textId="77777777" w:rsidR="00F90285" w:rsidRPr="00EA42B9" w:rsidRDefault="00F90285" w:rsidP="00EF3D59">
      <w:pPr>
        <w:pStyle w:val="unico"/>
        <w:spacing w:before="0" w:beforeAutospacing="0" w:after="0" w:afterAutospacing="0" w:line="288" w:lineRule="auto"/>
        <w:jc w:val="both"/>
        <w:rPr>
          <w:rFonts w:ascii="Arial" w:hAnsi="Arial" w:cs="Arial"/>
          <w:color w:val="000000"/>
          <w:sz w:val="22"/>
          <w:szCs w:val="22"/>
        </w:rPr>
      </w:pPr>
    </w:p>
    <w:p w14:paraId="2657F924" w14:textId="77777777" w:rsidR="00EA42B9" w:rsidRPr="00EA42B9" w:rsidRDefault="00EA42B9" w:rsidP="00EF3D59">
      <w:pPr>
        <w:pStyle w:val="unico"/>
        <w:spacing w:before="0" w:beforeAutospacing="0" w:after="0" w:afterAutospacing="0" w:line="288" w:lineRule="auto"/>
        <w:jc w:val="both"/>
        <w:rPr>
          <w:rFonts w:ascii="Arial" w:hAnsi="Arial" w:cs="Arial"/>
          <w:color w:val="000000"/>
          <w:sz w:val="22"/>
          <w:szCs w:val="22"/>
        </w:rPr>
      </w:pPr>
      <w:r w:rsidRPr="00EA42B9">
        <w:rPr>
          <w:rFonts w:ascii="Arial" w:hAnsi="Arial" w:cs="Arial"/>
          <w:color w:val="000000"/>
          <w:sz w:val="22"/>
          <w:szCs w:val="22"/>
        </w:rPr>
        <w:t>La parametrización del tipo de registro recaudo en títulos está definido en la tabla TCON11-recaudos:</w:t>
      </w:r>
    </w:p>
    <w:p w14:paraId="17FD975F" w14:textId="77777777" w:rsidR="00C63BFD" w:rsidRDefault="00C63BFD" w:rsidP="00A0134B">
      <w:pPr>
        <w:spacing w:line="288" w:lineRule="auto"/>
        <w:jc w:val="both"/>
        <w:rPr>
          <w:rFonts w:ascii="Arial" w:hAnsi="Arial" w:cs="Arial"/>
          <w:b/>
          <w:sz w:val="22"/>
          <w:szCs w:val="22"/>
        </w:rPr>
      </w:pPr>
    </w:p>
    <w:tbl>
      <w:tblPr>
        <w:tblW w:w="9568" w:type="dxa"/>
        <w:jc w:val="center"/>
        <w:tblLayout w:type="fixed"/>
        <w:tblCellMar>
          <w:left w:w="70" w:type="dxa"/>
          <w:right w:w="70" w:type="dxa"/>
        </w:tblCellMar>
        <w:tblLook w:val="04A0" w:firstRow="1" w:lastRow="0" w:firstColumn="1" w:lastColumn="0" w:noHBand="0" w:noVBand="1"/>
      </w:tblPr>
      <w:tblGrid>
        <w:gridCol w:w="448"/>
        <w:gridCol w:w="473"/>
        <w:gridCol w:w="425"/>
        <w:gridCol w:w="425"/>
        <w:gridCol w:w="567"/>
        <w:gridCol w:w="426"/>
        <w:gridCol w:w="425"/>
        <w:gridCol w:w="425"/>
        <w:gridCol w:w="425"/>
        <w:gridCol w:w="426"/>
        <w:gridCol w:w="708"/>
        <w:gridCol w:w="567"/>
        <w:gridCol w:w="709"/>
        <w:gridCol w:w="567"/>
        <w:gridCol w:w="567"/>
        <w:gridCol w:w="567"/>
        <w:gridCol w:w="425"/>
        <w:gridCol w:w="426"/>
        <w:gridCol w:w="567"/>
      </w:tblGrid>
      <w:tr w:rsidR="003C3AFD" w:rsidRPr="00875602" w14:paraId="1AC5DCA0" w14:textId="77777777" w:rsidTr="00BC6C88">
        <w:trPr>
          <w:trHeight w:val="113"/>
          <w:tblHeader/>
          <w:jc w:val="center"/>
        </w:trPr>
        <w:tc>
          <w:tcPr>
            <w:tcW w:w="448" w:type="dxa"/>
            <w:tcBorders>
              <w:top w:val="single" w:sz="8" w:space="0" w:color="000000"/>
              <w:left w:val="single" w:sz="8" w:space="0" w:color="000000"/>
              <w:bottom w:val="single" w:sz="4" w:space="0" w:color="000000"/>
              <w:right w:val="single" w:sz="4" w:space="0" w:color="000000"/>
            </w:tcBorders>
            <w:shd w:val="clear" w:color="000000" w:fill="2F5395"/>
            <w:hideMark/>
          </w:tcPr>
          <w:p w14:paraId="76A4E150"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Rubro Ingreso</w:t>
            </w:r>
          </w:p>
        </w:tc>
        <w:tc>
          <w:tcPr>
            <w:tcW w:w="473" w:type="dxa"/>
            <w:tcBorders>
              <w:top w:val="single" w:sz="8" w:space="0" w:color="000000"/>
              <w:left w:val="single" w:sz="8" w:space="0" w:color="000000"/>
              <w:bottom w:val="single" w:sz="4" w:space="0" w:color="000000"/>
              <w:right w:val="single" w:sz="4" w:space="0" w:color="000000"/>
            </w:tcBorders>
            <w:shd w:val="clear" w:color="000000" w:fill="2F5395"/>
            <w:hideMark/>
          </w:tcPr>
          <w:p w14:paraId="2E64B70B"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Rubro Ingreso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68CEF9EF"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Tipo Registro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675736F7"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Rubro No Presupuestal</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17E48636"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Rubro No Presupuestal</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hideMark/>
          </w:tcPr>
          <w:p w14:paraId="34FD8F59"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Tipo Titulo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7E7118FA"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Diferencial Cambiario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53D8323E"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Tipo Beneficiario</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280C6571"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Medio de Pago</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hideMark/>
          </w:tcPr>
          <w:p w14:paraId="7E9C6F9F"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Misma ECP</w:t>
            </w:r>
          </w:p>
        </w:tc>
        <w:tc>
          <w:tcPr>
            <w:tcW w:w="708" w:type="dxa"/>
            <w:tcBorders>
              <w:top w:val="single" w:sz="8" w:space="0" w:color="000000"/>
              <w:left w:val="single" w:sz="8" w:space="0" w:color="000000"/>
              <w:bottom w:val="single" w:sz="4" w:space="0" w:color="000000"/>
              <w:right w:val="single" w:sz="4" w:space="0" w:color="000000"/>
            </w:tcBorders>
            <w:shd w:val="clear" w:color="000000" w:fill="2F5395"/>
            <w:hideMark/>
          </w:tcPr>
          <w:p w14:paraId="52732338"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Asiento1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261AE9F2"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Asiento1 Debe</w:t>
            </w:r>
          </w:p>
        </w:tc>
        <w:tc>
          <w:tcPr>
            <w:tcW w:w="709" w:type="dxa"/>
            <w:tcBorders>
              <w:top w:val="single" w:sz="8" w:space="0" w:color="000000"/>
              <w:left w:val="single" w:sz="8" w:space="0" w:color="000000"/>
              <w:bottom w:val="single" w:sz="4" w:space="0" w:color="000000"/>
              <w:right w:val="single" w:sz="4" w:space="0" w:color="000000"/>
            </w:tcBorders>
            <w:shd w:val="clear" w:color="000000" w:fill="2F5395"/>
            <w:hideMark/>
          </w:tcPr>
          <w:p w14:paraId="718DB124"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Asiento1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63D1B62D"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Asiento1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7F46BF2D"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Asiento2 Debe</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58211197"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Asiento2 Debe</w:t>
            </w:r>
          </w:p>
        </w:tc>
        <w:tc>
          <w:tcPr>
            <w:tcW w:w="425" w:type="dxa"/>
            <w:tcBorders>
              <w:top w:val="single" w:sz="8" w:space="0" w:color="000000"/>
              <w:left w:val="single" w:sz="8" w:space="0" w:color="000000"/>
              <w:bottom w:val="single" w:sz="4" w:space="0" w:color="000000"/>
              <w:right w:val="single" w:sz="4" w:space="0" w:color="000000"/>
            </w:tcBorders>
            <w:shd w:val="clear" w:color="000000" w:fill="2F5395"/>
            <w:hideMark/>
          </w:tcPr>
          <w:p w14:paraId="07ACAB98"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Código</w:t>
            </w:r>
            <w:r w:rsidR="003C3AFD" w:rsidRPr="00875602">
              <w:rPr>
                <w:rFonts w:ascii="Calibri" w:hAnsi="Calibri"/>
                <w:b/>
                <w:bCs/>
                <w:color w:val="FFFFFF"/>
                <w:sz w:val="10"/>
                <w:szCs w:val="10"/>
                <w:lang w:val="es-CO" w:eastAsia="es-CO"/>
              </w:rPr>
              <w:t xml:space="preserve"> Asiento2 Haber</w:t>
            </w:r>
          </w:p>
        </w:tc>
        <w:tc>
          <w:tcPr>
            <w:tcW w:w="426" w:type="dxa"/>
            <w:tcBorders>
              <w:top w:val="single" w:sz="8" w:space="0" w:color="000000"/>
              <w:left w:val="single" w:sz="8" w:space="0" w:color="000000"/>
              <w:bottom w:val="single" w:sz="4" w:space="0" w:color="000000"/>
              <w:right w:val="single" w:sz="4" w:space="0" w:color="000000"/>
            </w:tcBorders>
            <w:shd w:val="clear" w:color="000000" w:fill="2F5395"/>
            <w:hideMark/>
          </w:tcPr>
          <w:p w14:paraId="063FA29D" w14:textId="77777777" w:rsidR="003C3AFD" w:rsidRPr="00875602" w:rsidRDefault="00D95115"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Descripción</w:t>
            </w:r>
            <w:r w:rsidR="003C3AFD" w:rsidRPr="00875602">
              <w:rPr>
                <w:rFonts w:ascii="Calibri" w:hAnsi="Calibri"/>
                <w:b/>
                <w:bCs/>
                <w:color w:val="FFFFFF"/>
                <w:sz w:val="10"/>
                <w:szCs w:val="10"/>
                <w:lang w:val="es-CO" w:eastAsia="es-CO"/>
              </w:rPr>
              <w:t xml:space="preserve"> Asiento2 Haber</w:t>
            </w:r>
          </w:p>
        </w:tc>
        <w:tc>
          <w:tcPr>
            <w:tcW w:w="567" w:type="dxa"/>
            <w:tcBorders>
              <w:top w:val="single" w:sz="8" w:space="0" w:color="000000"/>
              <w:left w:val="single" w:sz="8" w:space="0" w:color="000000"/>
              <w:bottom w:val="single" w:sz="4" w:space="0" w:color="000000"/>
              <w:right w:val="single" w:sz="4" w:space="0" w:color="000000"/>
            </w:tcBorders>
            <w:shd w:val="clear" w:color="000000" w:fill="2F5395"/>
            <w:hideMark/>
          </w:tcPr>
          <w:p w14:paraId="524E23F2" w14:textId="77777777" w:rsidR="003C3AFD" w:rsidRPr="00875602" w:rsidRDefault="003C3AFD" w:rsidP="00661451">
            <w:pPr>
              <w:jc w:val="center"/>
              <w:rPr>
                <w:rFonts w:ascii="Calibri" w:hAnsi="Calibri"/>
                <w:b/>
                <w:bCs/>
                <w:color w:val="FFFFFF"/>
                <w:sz w:val="10"/>
                <w:szCs w:val="10"/>
                <w:lang w:val="es-CO" w:eastAsia="es-CO"/>
              </w:rPr>
            </w:pPr>
            <w:r w:rsidRPr="00875602">
              <w:rPr>
                <w:rFonts w:ascii="Calibri" w:hAnsi="Calibri"/>
                <w:b/>
                <w:bCs/>
                <w:color w:val="FFFFFF"/>
                <w:sz w:val="10"/>
                <w:szCs w:val="10"/>
                <w:lang w:val="es-CO" w:eastAsia="es-CO"/>
              </w:rPr>
              <w:t>Vigente</w:t>
            </w:r>
          </w:p>
        </w:tc>
      </w:tr>
      <w:tr w:rsidR="003C3AFD" w:rsidRPr="00875602" w14:paraId="3C9103EC"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33AD943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251B83E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2BA110A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5D08FD0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2-20-01-01-02-02</w:t>
            </w:r>
          </w:p>
        </w:tc>
        <w:tc>
          <w:tcPr>
            <w:tcW w:w="567" w:type="dxa"/>
            <w:tcBorders>
              <w:top w:val="single" w:sz="4" w:space="0" w:color="000000"/>
              <w:left w:val="nil"/>
              <w:bottom w:val="single" w:sz="4" w:space="0" w:color="000000"/>
              <w:right w:val="single" w:sz="4" w:space="0" w:color="000000"/>
            </w:tcBorders>
            <w:shd w:val="clear" w:color="000000" w:fill="FFFFFF"/>
            <w:hideMark/>
          </w:tcPr>
          <w:p w14:paraId="3CDF18DB"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Dtos</w:t>
            </w:r>
            <w:proofErr w:type="spellEnd"/>
            <w:r w:rsidRPr="00875602">
              <w:rPr>
                <w:rFonts w:ascii="Calibri" w:hAnsi="Calibri"/>
                <w:color w:val="000000"/>
                <w:sz w:val="10"/>
                <w:szCs w:val="10"/>
                <w:lang w:val="es-CO" w:eastAsia="es-CO"/>
              </w:rPr>
              <w:t xml:space="preserve"> empleado pensión sector público</w:t>
            </w:r>
          </w:p>
        </w:tc>
        <w:tc>
          <w:tcPr>
            <w:tcW w:w="426" w:type="dxa"/>
            <w:tcBorders>
              <w:top w:val="single" w:sz="4" w:space="0" w:color="000000"/>
              <w:left w:val="nil"/>
              <w:bottom w:val="single" w:sz="4" w:space="0" w:color="000000"/>
              <w:right w:val="single" w:sz="4" w:space="0" w:color="000000"/>
            </w:tcBorders>
            <w:shd w:val="clear" w:color="000000" w:fill="FFFFFF"/>
            <w:hideMark/>
          </w:tcPr>
          <w:p w14:paraId="55C96F4F"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Fafondos</w:t>
            </w:r>
            <w:proofErr w:type="spellEnd"/>
            <w:r w:rsidRPr="00875602">
              <w:rPr>
                <w:rFonts w:ascii="Calibri" w:hAnsi="Calibri"/>
                <w:color w:val="000000"/>
                <w:sz w:val="10"/>
                <w:szCs w:val="10"/>
                <w:lang w:val="es-CO" w:eastAsia="es-CO"/>
              </w:rPr>
              <w:t xml:space="preserve"> administrados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2BC01D2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042BAA9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1A3BACD6"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7E6242A3"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c>
          <w:tcPr>
            <w:tcW w:w="708" w:type="dxa"/>
            <w:tcBorders>
              <w:top w:val="single" w:sz="4" w:space="0" w:color="000000"/>
              <w:left w:val="nil"/>
              <w:bottom w:val="single" w:sz="4" w:space="0" w:color="000000"/>
              <w:right w:val="single" w:sz="4" w:space="0" w:color="000000"/>
            </w:tcBorders>
            <w:shd w:val="clear" w:color="000000" w:fill="FFFFFF"/>
            <w:hideMark/>
          </w:tcPr>
          <w:p w14:paraId="1AA3709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242401001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0B21F5D8"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Aportes a fondos pensionales</w:t>
            </w:r>
          </w:p>
        </w:tc>
        <w:tc>
          <w:tcPr>
            <w:tcW w:w="709" w:type="dxa"/>
            <w:tcBorders>
              <w:top w:val="single" w:sz="4" w:space="0" w:color="000000"/>
              <w:left w:val="nil"/>
              <w:bottom w:val="single" w:sz="4" w:space="0" w:color="000000"/>
              <w:right w:val="single" w:sz="4" w:space="0" w:color="000000"/>
            </w:tcBorders>
            <w:shd w:val="clear" w:color="000000" w:fill="FFFFFF"/>
            <w:hideMark/>
          </w:tcPr>
          <w:p w14:paraId="30E1156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190801001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45FF7B5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En administración</w:t>
            </w:r>
          </w:p>
        </w:tc>
        <w:tc>
          <w:tcPr>
            <w:tcW w:w="567" w:type="dxa"/>
            <w:tcBorders>
              <w:top w:val="single" w:sz="4" w:space="0" w:color="000000"/>
              <w:left w:val="nil"/>
              <w:bottom w:val="single" w:sz="4" w:space="0" w:color="000000"/>
              <w:right w:val="single" w:sz="4" w:space="0" w:color="000000"/>
            </w:tcBorders>
            <w:shd w:val="clear" w:color="000000" w:fill="FFFFFF"/>
            <w:hideMark/>
          </w:tcPr>
          <w:p w14:paraId="752ABD4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03AC010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78AFE78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F51B6D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4CDFB0DE"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7583417A"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2250555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7EE5E36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5452FF7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0F1ECEC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2-20-01-01-02-01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2BF030CB"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Dtos</w:t>
            </w:r>
            <w:proofErr w:type="spellEnd"/>
            <w:r w:rsidRPr="00875602">
              <w:rPr>
                <w:rFonts w:ascii="Calibri" w:hAnsi="Calibri"/>
                <w:color w:val="000000"/>
                <w:sz w:val="10"/>
                <w:szCs w:val="10"/>
                <w:lang w:val="es-CO" w:eastAsia="es-CO"/>
              </w:rPr>
              <w:t xml:space="preserve"> empleado pensión sector privado</w:t>
            </w:r>
          </w:p>
        </w:tc>
        <w:tc>
          <w:tcPr>
            <w:tcW w:w="426" w:type="dxa"/>
            <w:tcBorders>
              <w:top w:val="single" w:sz="4" w:space="0" w:color="000000"/>
              <w:left w:val="nil"/>
              <w:bottom w:val="single" w:sz="4" w:space="0" w:color="000000"/>
              <w:right w:val="single" w:sz="4" w:space="0" w:color="000000"/>
            </w:tcBorders>
            <w:shd w:val="clear" w:color="000000" w:fill="FFFFFF"/>
            <w:hideMark/>
          </w:tcPr>
          <w:p w14:paraId="388C9691"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Fafondos</w:t>
            </w:r>
            <w:proofErr w:type="spellEnd"/>
            <w:r w:rsidRPr="00875602">
              <w:rPr>
                <w:rFonts w:ascii="Calibri" w:hAnsi="Calibri"/>
                <w:color w:val="000000"/>
                <w:sz w:val="10"/>
                <w:szCs w:val="10"/>
                <w:lang w:val="es-CO" w:eastAsia="es-CO"/>
              </w:rPr>
              <w:t xml:space="preserve"> administrados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047902B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31699EE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3C024396"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3DE79D65"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c>
          <w:tcPr>
            <w:tcW w:w="708" w:type="dxa"/>
            <w:tcBorders>
              <w:top w:val="single" w:sz="4" w:space="0" w:color="000000"/>
              <w:left w:val="nil"/>
              <w:bottom w:val="single" w:sz="4" w:space="0" w:color="000000"/>
              <w:right w:val="single" w:sz="4" w:space="0" w:color="000000"/>
            </w:tcBorders>
            <w:shd w:val="clear" w:color="000000" w:fill="FFFFFF"/>
            <w:hideMark/>
          </w:tcPr>
          <w:p w14:paraId="798E059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242401001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5879E3F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Aportes a fondos pensionales</w:t>
            </w:r>
          </w:p>
        </w:tc>
        <w:tc>
          <w:tcPr>
            <w:tcW w:w="709" w:type="dxa"/>
            <w:tcBorders>
              <w:top w:val="single" w:sz="4" w:space="0" w:color="000000"/>
              <w:left w:val="nil"/>
              <w:bottom w:val="single" w:sz="4" w:space="0" w:color="000000"/>
              <w:right w:val="single" w:sz="4" w:space="0" w:color="000000"/>
            </w:tcBorders>
            <w:shd w:val="clear" w:color="000000" w:fill="FFFFFF"/>
            <w:hideMark/>
          </w:tcPr>
          <w:p w14:paraId="572AB69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190801001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1CACC75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En administración</w:t>
            </w:r>
          </w:p>
        </w:tc>
        <w:tc>
          <w:tcPr>
            <w:tcW w:w="567" w:type="dxa"/>
            <w:tcBorders>
              <w:top w:val="single" w:sz="4" w:space="0" w:color="000000"/>
              <w:left w:val="nil"/>
              <w:bottom w:val="single" w:sz="4" w:space="0" w:color="000000"/>
              <w:right w:val="single" w:sz="4" w:space="0" w:color="000000"/>
            </w:tcBorders>
            <w:shd w:val="clear" w:color="000000" w:fill="FFFFFF"/>
            <w:hideMark/>
          </w:tcPr>
          <w:p w14:paraId="2B67CBF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4809870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308DAA0D"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45C1896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2CC0A4E9"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6535842E"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4773E66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445B95E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089187A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520D938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2-40-01-04</w:t>
            </w:r>
          </w:p>
        </w:tc>
        <w:tc>
          <w:tcPr>
            <w:tcW w:w="567" w:type="dxa"/>
            <w:tcBorders>
              <w:top w:val="single" w:sz="4" w:space="0" w:color="000000"/>
              <w:left w:val="nil"/>
              <w:bottom w:val="single" w:sz="4" w:space="0" w:color="000000"/>
              <w:right w:val="single" w:sz="4" w:space="0" w:color="000000"/>
            </w:tcBorders>
            <w:shd w:val="clear" w:color="000000" w:fill="FFFFFF"/>
            <w:hideMark/>
          </w:tcPr>
          <w:p w14:paraId="6DE203B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Dobles pagos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12B5D44F"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Tidistitulos</w:t>
            </w:r>
            <w:proofErr w:type="spellEnd"/>
            <w:r w:rsidRPr="00875602">
              <w:rPr>
                <w:rFonts w:ascii="Calibri" w:hAnsi="Calibri"/>
                <w:color w:val="000000"/>
                <w:sz w:val="10"/>
                <w:szCs w:val="10"/>
                <w:lang w:val="es-CO" w:eastAsia="es-CO"/>
              </w:rPr>
              <w:t> de </w:t>
            </w:r>
            <w:r w:rsidR="00D95115" w:rsidRPr="00875602">
              <w:rPr>
                <w:rFonts w:ascii="Calibri" w:hAnsi="Calibri"/>
                <w:color w:val="000000"/>
                <w:sz w:val="10"/>
                <w:szCs w:val="10"/>
                <w:lang w:val="es-CO" w:eastAsia="es-CO"/>
              </w:rPr>
              <w:t>devolución</w:t>
            </w:r>
            <w:r w:rsidRPr="00875602">
              <w:rPr>
                <w:rFonts w:ascii="Calibri" w:hAnsi="Calibr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649E972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331A168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0ADE0A17"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0335C2D1"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407F70B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7413FD7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Saldos a favor de beneficiarios</w:t>
            </w:r>
          </w:p>
        </w:tc>
        <w:tc>
          <w:tcPr>
            <w:tcW w:w="709" w:type="dxa"/>
            <w:tcBorders>
              <w:top w:val="single" w:sz="4" w:space="0" w:color="000000"/>
              <w:left w:val="nil"/>
              <w:bottom w:val="single" w:sz="4" w:space="0" w:color="000000"/>
              <w:right w:val="single" w:sz="4" w:space="0" w:color="000000"/>
            </w:tcBorders>
            <w:shd w:val="clear" w:color="000000" w:fill="FFFFFF"/>
            <w:hideMark/>
          </w:tcPr>
          <w:p w14:paraId="3DEEA42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071D412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567" w:type="dxa"/>
            <w:tcBorders>
              <w:top w:val="single" w:sz="4" w:space="0" w:color="000000"/>
              <w:left w:val="nil"/>
              <w:bottom w:val="single" w:sz="4" w:space="0" w:color="000000"/>
              <w:right w:val="single" w:sz="4" w:space="0" w:color="000000"/>
            </w:tcBorders>
            <w:shd w:val="clear" w:color="000000" w:fill="FFFFFF"/>
            <w:hideMark/>
          </w:tcPr>
          <w:p w14:paraId="0859DAE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7A2F7FF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hideMark/>
          </w:tcPr>
          <w:p w14:paraId="0B4C515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9D8413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484A4B3F"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r>
      <w:tr w:rsidR="003C3AFD" w:rsidRPr="00875602" w14:paraId="041C6D3B"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511CBFD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lastRenderedPageBreak/>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56F7660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6C110D3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6535543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2-40-01-01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49EDB73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Por consignaciones en exceso</w:t>
            </w:r>
          </w:p>
        </w:tc>
        <w:tc>
          <w:tcPr>
            <w:tcW w:w="426" w:type="dxa"/>
            <w:tcBorders>
              <w:top w:val="single" w:sz="4" w:space="0" w:color="000000"/>
              <w:left w:val="nil"/>
              <w:bottom w:val="single" w:sz="4" w:space="0" w:color="000000"/>
              <w:right w:val="single" w:sz="4" w:space="0" w:color="000000"/>
            </w:tcBorders>
            <w:shd w:val="clear" w:color="000000" w:fill="FFFFFF"/>
            <w:hideMark/>
          </w:tcPr>
          <w:p w14:paraId="3F99EFDA"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Tidistitulos</w:t>
            </w:r>
            <w:proofErr w:type="spellEnd"/>
            <w:r w:rsidRPr="00875602">
              <w:rPr>
                <w:rFonts w:ascii="Calibri" w:hAnsi="Calibri"/>
                <w:color w:val="000000"/>
                <w:sz w:val="10"/>
                <w:szCs w:val="10"/>
                <w:lang w:val="es-CO" w:eastAsia="es-CO"/>
              </w:rPr>
              <w:t> de </w:t>
            </w:r>
            <w:r w:rsidR="00D95115" w:rsidRPr="00875602">
              <w:rPr>
                <w:rFonts w:ascii="Calibri" w:hAnsi="Calibri"/>
                <w:color w:val="000000"/>
                <w:sz w:val="10"/>
                <w:szCs w:val="10"/>
                <w:lang w:val="es-CO" w:eastAsia="es-CO"/>
              </w:rPr>
              <w:t>devolución</w:t>
            </w:r>
            <w:r w:rsidRPr="00875602">
              <w:rPr>
                <w:rFonts w:ascii="Calibri" w:hAnsi="Calibr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0F934D3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2107359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2C9EC0B0"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6152DE93"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4331A7E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63036EC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Saldos a favor de beneficiarios</w:t>
            </w:r>
          </w:p>
        </w:tc>
        <w:tc>
          <w:tcPr>
            <w:tcW w:w="709" w:type="dxa"/>
            <w:tcBorders>
              <w:top w:val="single" w:sz="4" w:space="0" w:color="000000"/>
              <w:left w:val="nil"/>
              <w:bottom w:val="single" w:sz="4" w:space="0" w:color="000000"/>
              <w:right w:val="single" w:sz="4" w:space="0" w:color="000000"/>
            </w:tcBorders>
            <w:shd w:val="clear" w:color="000000" w:fill="FFFFFF"/>
            <w:hideMark/>
          </w:tcPr>
          <w:p w14:paraId="15BEDAE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55DFE83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567" w:type="dxa"/>
            <w:tcBorders>
              <w:top w:val="single" w:sz="4" w:space="0" w:color="000000"/>
              <w:left w:val="nil"/>
              <w:bottom w:val="single" w:sz="4" w:space="0" w:color="000000"/>
              <w:right w:val="single" w:sz="4" w:space="0" w:color="000000"/>
            </w:tcBorders>
            <w:shd w:val="clear" w:color="000000" w:fill="FFFFFF"/>
            <w:hideMark/>
          </w:tcPr>
          <w:p w14:paraId="09DC773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69D5A49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hideMark/>
          </w:tcPr>
          <w:p w14:paraId="4418E0A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96EE9F8"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7F128244"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r>
      <w:tr w:rsidR="003C3AFD" w:rsidRPr="00875602" w14:paraId="48A01127"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51973418"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FFFFFF"/>
            <w:hideMark/>
          </w:tcPr>
          <w:p w14:paraId="30B65762"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Acuerdos de pago</w:t>
            </w:r>
          </w:p>
        </w:tc>
        <w:tc>
          <w:tcPr>
            <w:tcW w:w="425" w:type="dxa"/>
            <w:tcBorders>
              <w:top w:val="single" w:sz="4" w:space="0" w:color="000000"/>
              <w:left w:val="nil"/>
              <w:bottom w:val="single" w:sz="4" w:space="0" w:color="000000"/>
              <w:right w:val="single" w:sz="4" w:space="0" w:color="000000"/>
            </w:tcBorders>
            <w:shd w:val="clear" w:color="000000" w:fill="FFFFFF"/>
            <w:hideMark/>
          </w:tcPr>
          <w:p w14:paraId="5E431C32"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4F9DA2F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6D81169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C4DC38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1E51FB8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4A2AADA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6254AA1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Giro</w:t>
            </w:r>
          </w:p>
        </w:tc>
        <w:tc>
          <w:tcPr>
            <w:tcW w:w="426" w:type="dxa"/>
            <w:tcBorders>
              <w:top w:val="single" w:sz="4" w:space="0" w:color="000000"/>
              <w:left w:val="nil"/>
              <w:bottom w:val="single" w:sz="4" w:space="0" w:color="000000"/>
              <w:right w:val="single" w:sz="4" w:space="0" w:color="000000"/>
            </w:tcBorders>
            <w:shd w:val="clear" w:color="000000" w:fill="FFFFFF"/>
            <w:hideMark/>
          </w:tcPr>
          <w:p w14:paraId="650D5C8A"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4CA3F878"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497FE15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Saldos a favor de beneficiarios</w:t>
            </w:r>
          </w:p>
        </w:tc>
        <w:tc>
          <w:tcPr>
            <w:tcW w:w="709" w:type="dxa"/>
            <w:tcBorders>
              <w:top w:val="single" w:sz="4" w:space="0" w:color="000000"/>
              <w:left w:val="nil"/>
              <w:bottom w:val="single" w:sz="4" w:space="0" w:color="000000"/>
              <w:right w:val="single" w:sz="4" w:space="0" w:color="000000"/>
            </w:tcBorders>
            <w:shd w:val="clear" w:color="000000" w:fill="FFFFFF"/>
            <w:hideMark/>
          </w:tcPr>
          <w:p w14:paraId="49F5C1D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741953A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w:t>
            </w:r>
          </w:p>
        </w:tc>
        <w:tc>
          <w:tcPr>
            <w:tcW w:w="567" w:type="dxa"/>
            <w:tcBorders>
              <w:top w:val="single" w:sz="4" w:space="0" w:color="000000"/>
              <w:left w:val="nil"/>
              <w:bottom w:val="single" w:sz="4" w:space="0" w:color="000000"/>
              <w:right w:val="single" w:sz="4" w:space="0" w:color="000000"/>
            </w:tcBorders>
            <w:shd w:val="clear" w:color="000000" w:fill="FFFFFF"/>
            <w:hideMark/>
          </w:tcPr>
          <w:p w14:paraId="0AAA262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3C855CF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634D14B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1F1FF91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28A47819"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6AF86391"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3FBED63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FFFFFF"/>
            <w:hideMark/>
          </w:tcPr>
          <w:p w14:paraId="172DD088"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Acuerdos de pago</w:t>
            </w:r>
          </w:p>
        </w:tc>
        <w:tc>
          <w:tcPr>
            <w:tcW w:w="425" w:type="dxa"/>
            <w:tcBorders>
              <w:top w:val="single" w:sz="4" w:space="0" w:color="000000"/>
              <w:left w:val="nil"/>
              <w:bottom w:val="single" w:sz="4" w:space="0" w:color="000000"/>
              <w:right w:val="single" w:sz="4" w:space="0" w:color="000000"/>
            </w:tcBorders>
            <w:shd w:val="clear" w:color="000000" w:fill="FFFFFF"/>
            <w:hideMark/>
          </w:tcPr>
          <w:p w14:paraId="53A5BA3C"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17E67EE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009FBF2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B754DC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2E369D5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00401A1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3634EA7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Abono en cuenta</w:t>
            </w:r>
          </w:p>
        </w:tc>
        <w:tc>
          <w:tcPr>
            <w:tcW w:w="426" w:type="dxa"/>
            <w:tcBorders>
              <w:top w:val="single" w:sz="4" w:space="0" w:color="000000"/>
              <w:left w:val="nil"/>
              <w:bottom w:val="single" w:sz="4" w:space="0" w:color="000000"/>
              <w:right w:val="single" w:sz="4" w:space="0" w:color="000000"/>
            </w:tcBorders>
            <w:shd w:val="clear" w:color="000000" w:fill="FFFFFF"/>
            <w:hideMark/>
          </w:tcPr>
          <w:p w14:paraId="27147340"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5696206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586644E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Saldos a favor de beneficiarios</w:t>
            </w:r>
          </w:p>
        </w:tc>
        <w:tc>
          <w:tcPr>
            <w:tcW w:w="709" w:type="dxa"/>
            <w:tcBorders>
              <w:top w:val="single" w:sz="4" w:space="0" w:color="000000"/>
              <w:left w:val="nil"/>
              <w:bottom w:val="single" w:sz="4" w:space="0" w:color="000000"/>
              <w:right w:val="single" w:sz="4" w:space="0" w:color="000000"/>
            </w:tcBorders>
            <w:shd w:val="clear" w:color="000000" w:fill="FFFFFF"/>
            <w:hideMark/>
          </w:tcPr>
          <w:p w14:paraId="666DDC7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1FB04BF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w:t>
            </w:r>
          </w:p>
        </w:tc>
        <w:tc>
          <w:tcPr>
            <w:tcW w:w="567" w:type="dxa"/>
            <w:tcBorders>
              <w:top w:val="single" w:sz="4" w:space="0" w:color="000000"/>
              <w:left w:val="nil"/>
              <w:bottom w:val="single" w:sz="4" w:space="0" w:color="000000"/>
              <w:right w:val="single" w:sz="4" w:space="0" w:color="000000"/>
            </w:tcBorders>
            <w:shd w:val="clear" w:color="000000" w:fill="FFFFFF"/>
            <w:hideMark/>
          </w:tcPr>
          <w:p w14:paraId="495F81D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70062FD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386701A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62B86CA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582DAAA5"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2A348B50"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56109388"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54F8AAF0"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62C28D8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5CBD6EA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2-40-01-04</w:t>
            </w:r>
          </w:p>
        </w:tc>
        <w:tc>
          <w:tcPr>
            <w:tcW w:w="567" w:type="dxa"/>
            <w:tcBorders>
              <w:top w:val="single" w:sz="4" w:space="0" w:color="000000"/>
              <w:left w:val="nil"/>
              <w:bottom w:val="single" w:sz="4" w:space="0" w:color="000000"/>
              <w:right w:val="single" w:sz="4" w:space="0" w:color="000000"/>
            </w:tcBorders>
            <w:shd w:val="clear" w:color="000000" w:fill="FFFFFF"/>
            <w:hideMark/>
          </w:tcPr>
          <w:p w14:paraId="6A4AF65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Dobles pagos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58D9B3EF"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Tidistitulos</w:t>
            </w:r>
            <w:proofErr w:type="spellEnd"/>
            <w:r w:rsidRPr="00875602">
              <w:rPr>
                <w:rFonts w:ascii="Calibri" w:hAnsi="Calibri"/>
                <w:color w:val="000000"/>
                <w:sz w:val="10"/>
                <w:szCs w:val="10"/>
                <w:lang w:val="es-CO" w:eastAsia="es-CO"/>
              </w:rPr>
              <w:t> de </w:t>
            </w:r>
            <w:r w:rsidR="00D95115" w:rsidRPr="00875602">
              <w:rPr>
                <w:rFonts w:ascii="Calibri" w:hAnsi="Calibri"/>
                <w:color w:val="000000"/>
                <w:sz w:val="10"/>
                <w:szCs w:val="10"/>
                <w:lang w:val="es-CO" w:eastAsia="es-CO"/>
              </w:rPr>
              <w:t>devolución</w:t>
            </w:r>
            <w:r w:rsidRPr="00875602">
              <w:rPr>
                <w:rFonts w:ascii="Calibri" w:hAnsi="Calibr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32D8BE7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4010225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460148A7"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3A4D1698"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3A689C9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249040001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5A4BF86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Saldos a favor de beneficiarios</w:t>
            </w:r>
          </w:p>
        </w:tc>
        <w:tc>
          <w:tcPr>
            <w:tcW w:w="709" w:type="dxa"/>
            <w:tcBorders>
              <w:top w:val="single" w:sz="4" w:space="0" w:color="000000"/>
              <w:left w:val="nil"/>
              <w:bottom w:val="single" w:sz="4" w:space="0" w:color="000000"/>
              <w:right w:val="single" w:sz="4" w:space="0" w:color="000000"/>
            </w:tcBorders>
            <w:shd w:val="clear" w:color="000000" w:fill="FFFFFF"/>
            <w:hideMark/>
          </w:tcPr>
          <w:p w14:paraId="2F84DC4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1702B83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567" w:type="dxa"/>
            <w:tcBorders>
              <w:top w:val="single" w:sz="4" w:space="0" w:color="000000"/>
              <w:left w:val="nil"/>
              <w:bottom w:val="single" w:sz="4" w:space="0" w:color="000000"/>
              <w:right w:val="single" w:sz="4" w:space="0" w:color="000000"/>
            </w:tcBorders>
            <w:shd w:val="clear" w:color="000000" w:fill="FFFFFF"/>
            <w:hideMark/>
          </w:tcPr>
          <w:p w14:paraId="5E616FC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570508</w:t>
            </w:r>
          </w:p>
        </w:tc>
        <w:tc>
          <w:tcPr>
            <w:tcW w:w="567" w:type="dxa"/>
            <w:tcBorders>
              <w:top w:val="single" w:sz="4" w:space="0" w:color="000000"/>
              <w:left w:val="nil"/>
              <w:bottom w:val="single" w:sz="4" w:space="0" w:color="000000"/>
              <w:right w:val="single" w:sz="4" w:space="0" w:color="000000"/>
            </w:tcBorders>
            <w:shd w:val="clear" w:color="000000" w:fill="FFFFFF"/>
            <w:hideMark/>
          </w:tcPr>
          <w:p w14:paraId="5B0999F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Funcionamiento</w:t>
            </w:r>
          </w:p>
        </w:tc>
        <w:tc>
          <w:tcPr>
            <w:tcW w:w="425" w:type="dxa"/>
            <w:tcBorders>
              <w:top w:val="single" w:sz="4" w:space="0" w:color="000000"/>
              <w:left w:val="nil"/>
              <w:bottom w:val="single" w:sz="4" w:space="0" w:color="000000"/>
              <w:right w:val="single" w:sz="4" w:space="0" w:color="000000"/>
            </w:tcBorders>
            <w:shd w:val="clear" w:color="000000" w:fill="FFFFFF"/>
            <w:hideMark/>
          </w:tcPr>
          <w:p w14:paraId="1A64FB9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223001001</w:t>
            </w:r>
          </w:p>
        </w:tc>
        <w:tc>
          <w:tcPr>
            <w:tcW w:w="426" w:type="dxa"/>
            <w:tcBorders>
              <w:top w:val="single" w:sz="4" w:space="0" w:color="000000"/>
              <w:left w:val="nil"/>
              <w:bottom w:val="single" w:sz="4" w:space="0" w:color="000000"/>
              <w:right w:val="single" w:sz="4" w:space="0" w:color="000000"/>
            </w:tcBorders>
            <w:shd w:val="clear" w:color="000000" w:fill="FFFFFF"/>
            <w:hideMark/>
          </w:tcPr>
          <w:p w14:paraId="2F15902D"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 de devolución de impuestos (</w:t>
            </w:r>
            <w:proofErr w:type="spellStart"/>
            <w:r w:rsidRPr="00875602">
              <w:rPr>
                <w:rFonts w:ascii="Calibri" w:hAnsi="Calibri"/>
                <w:color w:val="000000"/>
                <w:sz w:val="10"/>
                <w:szCs w:val="10"/>
                <w:lang w:val="es-CO" w:eastAsia="es-CO"/>
              </w:rPr>
              <w:t>tidis</w:t>
            </w:r>
            <w:proofErr w:type="spellEnd"/>
            <w:r w:rsidRPr="00875602">
              <w:rPr>
                <w:rFonts w:ascii="Calibri" w:hAnsi="Calibri"/>
                <w:color w:val="000000"/>
                <w:sz w:val="10"/>
                <w:szCs w:val="10"/>
                <w:lang w:val="es-CO" w:eastAsia="es-CO"/>
              </w:rPr>
              <w:t>)</w:t>
            </w:r>
          </w:p>
        </w:tc>
        <w:tc>
          <w:tcPr>
            <w:tcW w:w="567" w:type="dxa"/>
            <w:tcBorders>
              <w:top w:val="single" w:sz="4" w:space="0" w:color="000000"/>
              <w:left w:val="nil"/>
              <w:bottom w:val="single" w:sz="4" w:space="0" w:color="000000"/>
              <w:right w:val="single" w:sz="4" w:space="0" w:color="000000"/>
            </w:tcBorders>
            <w:shd w:val="clear" w:color="000000" w:fill="FFFFFF"/>
            <w:hideMark/>
          </w:tcPr>
          <w:p w14:paraId="6948D587"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61C2F653"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3CD14BC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4455420D"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15D3B30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758715B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2-01-04-03-01-01</w:t>
            </w:r>
          </w:p>
        </w:tc>
        <w:tc>
          <w:tcPr>
            <w:tcW w:w="567" w:type="dxa"/>
            <w:tcBorders>
              <w:top w:val="single" w:sz="4" w:space="0" w:color="000000"/>
              <w:left w:val="nil"/>
              <w:bottom w:val="single" w:sz="4" w:space="0" w:color="000000"/>
              <w:right w:val="single" w:sz="4" w:space="0" w:color="000000"/>
            </w:tcBorders>
            <w:shd w:val="clear" w:color="000000" w:fill="FFFFFF"/>
            <w:hideMark/>
          </w:tcPr>
          <w:p w14:paraId="5A59CE7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Retención timbre nacional </w:t>
            </w:r>
            <w:r w:rsidR="00A0134B">
              <w:rPr>
                <w:rFonts w:ascii="Calibri" w:hAnsi="Calibri"/>
                <w:color w:val="000000"/>
                <w:sz w:val="10"/>
                <w:szCs w:val="10"/>
                <w:lang w:val="es-CO" w:eastAsia="es-CO"/>
              </w:rPr>
              <w:t>–</w:t>
            </w:r>
            <w:r w:rsidRPr="00875602">
              <w:rPr>
                <w:rFonts w:ascii="Calibri" w:hAnsi="Calibri"/>
                <w:color w:val="000000"/>
                <w:sz w:val="10"/>
                <w:szCs w:val="10"/>
                <w:lang w:val="es-CO" w:eastAsia="es-CO"/>
              </w:rPr>
              <w:t xml:space="preserve"> honorarios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4252D77E"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Tidistitulos</w:t>
            </w:r>
            <w:proofErr w:type="spellEnd"/>
            <w:r w:rsidRPr="00875602">
              <w:rPr>
                <w:rFonts w:ascii="Calibri" w:hAnsi="Calibri"/>
                <w:color w:val="000000"/>
                <w:sz w:val="10"/>
                <w:szCs w:val="10"/>
                <w:lang w:val="es-CO" w:eastAsia="es-CO"/>
              </w:rPr>
              <w:t> de </w:t>
            </w:r>
            <w:r w:rsidR="00D95115" w:rsidRPr="00875602">
              <w:rPr>
                <w:rFonts w:ascii="Calibri" w:hAnsi="Calibri"/>
                <w:color w:val="000000"/>
                <w:sz w:val="10"/>
                <w:szCs w:val="10"/>
                <w:lang w:val="es-CO" w:eastAsia="es-CO"/>
              </w:rPr>
              <w:t>devolución</w:t>
            </w:r>
            <w:r w:rsidRPr="00875602">
              <w:rPr>
                <w:rFonts w:ascii="Calibri" w:hAnsi="Calibr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7F21C6F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4DDA51B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4B7E8412"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4F9D7A29"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676445A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243698002</w:t>
            </w:r>
          </w:p>
        </w:tc>
        <w:tc>
          <w:tcPr>
            <w:tcW w:w="567" w:type="dxa"/>
            <w:tcBorders>
              <w:top w:val="single" w:sz="4" w:space="0" w:color="000000"/>
              <w:left w:val="nil"/>
              <w:bottom w:val="single" w:sz="4" w:space="0" w:color="000000"/>
              <w:right w:val="single" w:sz="4" w:space="0" w:color="000000"/>
            </w:tcBorders>
            <w:shd w:val="clear" w:color="000000" w:fill="FFFFFF"/>
            <w:hideMark/>
          </w:tcPr>
          <w:p w14:paraId="0CD0A11D"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Pagado (</w:t>
            </w:r>
            <w:proofErr w:type="spellStart"/>
            <w:r w:rsidRPr="00875602">
              <w:rPr>
                <w:rFonts w:ascii="Calibri" w:hAnsi="Calibri"/>
                <w:color w:val="000000"/>
                <w:sz w:val="10"/>
                <w:szCs w:val="10"/>
                <w:lang w:val="es-CO" w:eastAsia="es-CO"/>
              </w:rPr>
              <w:t>db</w:t>
            </w:r>
            <w:proofErr w:type="spellEnd"/>
            <w:r w:rsidRPr="00875602">
              <w:rPr>
                <w:rFonts w:ascii="Calibri" w:hAnsi="Calibri"/>
                <w:color w:val="000000"/>
                <w:sz w:val="10"/>
                <w:szCs w:val="10"/>
                <w:lang w:val="es-CO" w:eastAsia="es-CO"/>
              </w:rPr>
              <w:t>)</w:t>
            </w:r>
          </w:p>
        </w:tc>
        <w:tc>
          <w:tcPr>
            <w:tcW w:w="709" w:type="dxa"/>
            <w:tcBorders>
              <w:top w:val="single" w:sz="4" w:space="0" w:color="000000"/>
              <w:left w:val="nil"/>
              <w:bottom w:val="single" w:sz="4" w:space="0" w:color="000000"/>
              <w:right w:val="single" w:sz="4" w:space="0" w:color="000000"/>
            </w:tcBorders>
            <w:shd w:val="clear" w:color="000000" w:fill="FFFFFF"/>
            <w:hideMark/>
          </w:tcPr>
          <w:p w14:paraId="3AC184A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472210</w:t>
            </w:r>
          </w:p>
        </w:tc>
        <w:tc>
          <w:tcPr>
            <w:tcW w:w="567" w:type="dxa"/>
            <w:tcBorders>
              <w:top w:val="single" w:sz="4" w:space="0" w:color="000000"/>
              <w:left w:val="nil"/>
              <w:bottom w:val="single" w:sz="4" w:space="0" w:color="000000"/>
              <w:right w:val="single" w:sz="4" w:space="0" w:color="000000"/>
            </w:tcBorders>
            <w:shd w:val="clear" w:color="000000" w:fill="FFFFFF"/>
            <w:hideMark/>
          </w:tcPr>
          <w:p w14:paraId="2D0B514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Pago de obligaciones con títulos</w:t>
            </w:r>
          </w:p>
        </w:tc>
        <w:tc>
          <w:tcPr>
            <w:tcW w:w="567" w:type="dxa"/>
            <w:tcBorders>
              <w:top w:val="single" w:sz="4" w:space="0" w:color="000000"/>
              <w:left w:val="nil"/>
              <w:bottom w:val="single" w:sz="4" w:space="0" w:color="000000"/>
              <w:right w:val="single" w:sz="4" w:space="0" w:color="000000"/>
            </w:tcBorders>
            <w:shd w:val="clear" w:color="000000" w:fill="FFFFFF"/>
            <w:hideMark/>
          </w:tcPr>
          <w:p w14:paraId="26395993"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572210</w:t>
            </w:r>
          </w:p>
        </w:tc>
        <w:tc>
          <w:tcPr>
            <w:tcW w:w="567" w:type="dxa"/>
            <w:tcBorders>
              <w:top w:val="single" w:sz="4" w:space="0" w:color="000000"/>
              <w:left w:val="nil"/>
              <w:bottom w:val="single" w:sz="4" w:space="0" w:color="000000"/>
              <w:right w:val="single" w:sz="4" w:space="0" w:color="000000"/>
            </w:tcBorders>
            <w:shd w:val="clear" w:color="000000" w:fill="FFFFFF"/>
            <w:hideMark/>
          </w:tcPr>
          <w:p w14:paraId="012E14E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Pago de obligaciones con títulos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5FE493B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223001001</w:t>
            </w:r>
          </w:p>
        </w:tc>
        <w:tc>
          <w:tcPr>
            <w:tcW w:w="426" w:type="dxa"/>
            <w:tcBorders>
              <w:top w:val="single" w:sz="4" w:space="0" w:color="000000"/>
              <w:left w:val="nil"/>
              <w:bottom w:val="single" w:sz="4" w:space="0" w:color="000000"/>
              <w:right w:val="single" w:sz="4" w:space="0" w:color="000000"/>
            </w:tcBorders>
            <w:shd w:val="clear" w:color="000000" w:fill="FFFFFF"/>
            <w:hideMark/>
          </w:tcPr>
          <w:p w14:paraId="5F04D83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 de devolución de impuestos (</w:t>
            </w:r>
            <w:proofErr w:type="spellStart"/>
            <w:r w:rsidRPr="00875602">
              <w:rPr>
                <w:rFonts w:ascii="Calibri" w:hAnsi="Calibri"/>
                <w:color w:val="000000"/>
                <w:sz w:val="10"/>
                <w:szCs w:val="10"/>
                <w:lang w:val="es-CO" w:eastAsia="es-CO"/>
              </w:rPr>
              <w:t>tidis</w:t>
            </w:r>
            <w:proofErr w:type="spellEnd"/>
            <w:r w:rsidRPr="00875602">
              <w:rPr>
                <w:rFonts w:ascii="Calibri" w:hAnsi="Calibri"/>
                <w:color w:val="000000"/>
                <w:sz w:val="10"/>
                <w:szCs w:val="10"/>
                <w:lang w:val="es-CO" w:eastAsia="es-CO"/>
              </w:rPr>
              <w:t>)</w:t>
            </w:r>
          </w:p>
        </w:tc>
        <w:tc>
          <w:tcPr>
            <w:tcW w:w="567" w:type="dxa"/>
            <w:tcBorders>
              <w:top w:val="single" w:sz="4" w:space="0" w:color="000000"/>
              <w:left w:val="nil"/>
              <w:bottom w:val="single" w:sz="4" w:space="0" w:color="000000"/>
              <w:right w:val="single" w:sz="4" w:space="0" w:color="000000"/>
            </w:tcBorders>
            <w:shd w:val="clear" w:color="000000" w:fill="FFFFFF"/>
            <w:hideMark/>
          </w:tcPr>
          <w:p w14:paraId="57E75C0B"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7A6CBDBB"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0F70B05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73" w:type="dxa"/>
            <w:tcBorders>
              <w:top w:val="single" w:sz="4" w:space="0" w:color="000000"/>
              <w:left w:val="nil"/>
              <w:bottom w:val="single" w:sz="4" w:space="0" w:color="000000"/>
              <w:right w:val="single" w:sz="4" w:space="0" w:color="000000"/>
            </w:tcBorders>
            <w:shd w:val="clear" w:color="000000" w:fill="FFFFFF"/>
            <w:hideMark/>
          </w:tcPr>
          <w:p w14:paraId="71289E96"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3E58E32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xml:space="preserve">Pago No </w:t>
            </w:r>
            <w:proofErr w:type="spellStart"/>
            <w:r w:rsidRPr="00875602">
              <w:rPr>
                <w:rFonts w:ascii="Calibri" w:hAnsi="Calibri"/>
                <w:color w:val="000000"/>
                <w:sz w:val="10"/>
                <w:szCs w:val="10"/>
                <w:lang w:val="es-CO" w:eastAsia="es-CO"/>
              </w:rPr>
              <w:t>Prsptl</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730FBA1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2-01-04-03-01-02</w:t>
            </w:r>
          </w:p>
        </w:tc>
        <w:tc>
          <w:tcPr>
            <w:tcW w:w="567" w:type="dxa"/>
            <w:tcBorders>
              <w:top w:val="single" w:sz="4" w:space="0" w:color="000000"/>
              <w:left w:val="nil"/>
              <w:bottom w:val="single" w:sz="4" w:space="0" w:color="000000"/>
              <w:right w:val="single" w:sz="4" w:space="0" w:color="000000"/>
            </w:tcBorders>
            <w:shd w:val="clear" w:color="000000" w:fill="FFFFFF"/>
            <w:hideMark/>
          </w:tcPr>
          <w:p w14:paraId="3D62090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Retención timbre nacional - compra de bienes</w:t>
            </w:r>
          </w:p>
        </w:tc>
        <w:tc>
          <w:tcPr>
            <w:tcW w:w="426" w:type="dxa"/>
            <w:tcBorders>
              <w:top w:val="single" w:sz="4" w:space="0" w:color="000000"/>
              <w:left w:val="nil"/>
              <w:bottom w:val="single" w:sz="4" w:space="0" w:color="000000"/>
              <w:right w:val="single" w:sz="4" w:space="0" w:color="000000"/>
            </w:tcBorders>
            <w:shd w:val="clear" w:color="000000" w:fill="FFFFFF"/>
            <w:hideMark/>
          </w:tcPr>
          <w:p w14:paraId="750105EA"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Tidistitulos</w:t>
            </w:r>
            <w:proofErr w:type="spellEnd"/>
            <w:r w:rsidRPr="00875602">
              <w:rPr>
                <w:rFonts w:ascii="Calibri" w:hAnsi="Calibri"/>
                <w:color w:val="000000"/>
                <w:sz w:val="10"/>
                <w:szCs w:val="10"/>
                <w:lang w:val="es-CO" w:eastAsia="es-CO"/>
              </w:rPr>
              <w:t> de </w:t>
            </w:r>
            <w:r w:rsidR="00D95115" w:rsidRPr="00875602">
              <w:rPr>
                <w:rFonts w:ascii="Calibri" w:hAnsi="Calibri"/>
                <w:color w:val="000000"/>
                <w:sz w:val="10"/>
                <w:szCs w:val="10"/>
                <w:lang w:val="es-CO" w:eastAsia="es-CO"/>
              </w:rPr>
              <w:t>devolución</w:t>
            </w:r>
            <w:r w:rsidRPr="00875602">
              <w:rPr>
                <w:rFonts w:ascii="Calibri" w:hAnsi="Calibri"/>
                <w:color w:val="000000"/>
                <w:sz w:val="10"/>
                <w:szCs w:val="10"/>
                <w:lang w:val="es-CO" w:eastAsia="es-CO"/>
              </w:rPr>
              <w:t> de impuestos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434CE0F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775E25A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Beneficiario final</w:t>
            </w:r>
          </w:p>
        </w:tc>
        <w:tc>
          <w:tcPr>
            <w:tcW w:w="425" w:type="dxa"/>
            <w:tcBorders>
              <w:top w:val="single" w:sz="4" w:space="0" w:color="000000"/>
              <w:left w:val="nil"/>
              <w:bottom w:val="single" w:sz="4" w:space="0" w:color="000000"/>
              <w:right w:val="single" w:sz="4" w:space="0" w:color="000000"/>
            </w:tcBorders>
            <w:shd w:val="clear" w:color="000000" w:fill="FFFFFF"/>
            <w:hideMark/>
          </w:tcPr>
          <w:p w14:paraId="71D6BEDF" w14:textId="77777777" w:rsidR="003C3AFD" w:rsidRPr="00875602" w:rsidRDefault="00D95115"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w:t>
            </w:r>
          </w:p>
        </w:tc>
        <w:tc>
          <w:tcPr>
            <w:tcW w:w="426" w:type="dxa"/>
            <w:tcBorders>
              <w:top w:val="single" w:sz="4" w:space="0" w:color="000000"/>
              <w:left w:val="nil"/>
              <w:bottom w:val="single" w:sz="4" w:space="0" w:color="000000"/>
              <w:right w:val="single" w:sz="4" w:space="0" w:color="000000"/>
            </w:tcBorders>
            <w:shd w:val="clear" w:color="000000" w:fill="FFFFFF"/>
            <w:hideMark/>
          </w:tcPr>
          <w:p w14:paraId="56655723"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08CCC9BD"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243698002</w:t>
            </w:r>
          </w:p>
        </w:tc>
        <w:tc>
          <w:tcPr>
            <w:tcW w:w="567" w:type="dxa"/>
            <w:tcBorders>
              <w:top w:val="single" w:sz="4" w:space="0" w:color="000000"/>
              <w:left w:val="nil"/>
              <w:bottom w:val="single" w:sz="4" w:space="0" w:color="000000"/>
              <w:right w:val="single" w:sz="4" w:space="0" w:color="000000"/>
            </w:tcBorders>
            <w:shd w:val="clear" w:color="000000" w:fill="FFFFFF"/>
            <w:hideMark/>
          </w:tcPr>
          <w:p w14:paraId="3363F9FA"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Pagado (</w:t>
            </w:r>
            <w:proofErr w:type="spellStart"/>
            <w:r w:rsidRPr="00875602">
              <w:rPr>
                <w:rFonts w:ascii="Calibri" w:hAnsi="Calibri"/>
                <w:color w:val="000000"/>
                <w:sz w:val="10"/>
                <w:szCs w:val="10"/>
                <w:lang w:val="es-CO" w:eastAsia="es-CO"/>
              </w:rPr>
              <w:t>db</w:t>
            </w:r>
            <w:proofErr w:type="spellEnd"/>
            <w:r w:rsidRPr="00875602">
              <w:rPr>
                <w:rFonts w:ascii="Calibri" w:hAnsi="Calibri"/>
                <w:color w:val="000000"/>
                <w:sz w:val="10"/>
                <w:szCs w:val="10"/>
                <w:lang w:val="es-CO" w:eastAsia="es-CO"/>
              </w:rPr>
              <w:t>)</w:t>
            </w:r>
          </w:p>
        </w:tc>
        <w:tc>
          <w:tcPr>
            <w:tcW w:w="709" w:type="dxa"/>
            <w:tcBorders>
              <w:top w:val="single" w:sz="4" w:space="0" w:color="000000"/>
              <w:left w:val="nil"/>
              <w:bottom w:val="single" w:sz="4" w:space="0" w:color="000000"/>
              <w:right w:val="single" w:sz="4" w:space="0" w:color="000000"/>
            </w:tcBorders>
            <w:shd w:val="clear" w:color="000000" w:fill="FFFFFF"/>
            <w:hideMark/>
          </w:tcPr>
          <w:p w14:paraId="1D79CD01"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472210</w:t>
            </w:r>
          </w:p>
        </w:tc>
        <w:tc>
          <w:tcPr>
            <w:tcW w:w="567" w:type="dxa"/>
            <w:tcBorders>
              <w:top w:val="single" w:sz="4" w:space="0" w:color="000000"/>
              <w:left w:val="nil"/>
              <w:bottom w:val="single" w:sz="4" w:space="0" w:color="000000"/>
              <w:right w:val="single" w:sz="4" w:space="0" w:color="000000"/>
            </w:tcBorders>
            <w:shd w:val="clear" w:color="000000" w:fill="FFFFFF"/>
            <w:hideMark/>
          </w:tcPr>
          <w:p w14:paraId="64BA696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Pago de obligaciones con títulos</w:t>
            </w:r>
          </w:p>
        </w:tc>
        <w:tc>
          <w:tcPr>
            <w:tcW w:w="567" w:type="dxa"/>
            <w:tcBorders>
              <w:top w:val="single" w:sz="4" w:space="0" w:color="000000"/>
              <w:left w:val="nil"/>
              <w:bottom w:val="single" w:sz="4" w:space="0" w:color="000000"/>
              <w:right w:val="single" w:sz="4" w:space="0" w:color="000000"/>
            </w:tcBorders>
            <w:shd w:val="clear" w:color="000000" w:fill="FFFFFF"/>
            <w:hideMark/>
          </w:tcPr>
          <w:p w14:paraId="5E6A0CD9"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572210</w:t>
            </w:r>
          </w:p>
        </w:tc>
        <w:tc>
          <w:tcPr>
            <w:tcW w:w="567" w:type="dxa"/>
            <w:tcBorders>
              <w:top w:val="single" w:sz="4" w:space="0" w:color="000000"/>
              <w:left w:val="nil"/>
              <w:bottom w:val="single" w:sz="4" w:space="0" w:color="000000"/>
              <w:right w:val="single" w:sz="4" w:space="0" w:color="000000"/>
            </w:tcBorders>
            <w:shd w:val="clear" w:color="000000" w:fill="FFFFFF"/>
            <w:hideMark/>
          </w:tcPr>
          <w:p w14:paraId="257BD3C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Pago de obligaciones con títulos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1A781ED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223001001</w:t>
            </w:r>
          </w:p>
        </w:tc>
        <w:tc>
          <w:tcPr>
            <w:tcW w:w="426" w:type="dxa"/>
            <w:tcBorders>
              <w:top w:val="single" w:sz="4" w:space="0" w:color="000000"/>
              <w:left w:val="nil"/>
              <w:bottom w:val="single" w:sz="4" w:space="0" w:color="000000"/>
              <w:right w:val="single" w:sz="4" w:space="0" w:color="000000"/>
            </w:tcBorders>
            <w:shd w:val="clear" w:color="000000" w:fill="FFFFFF"/>
            <w:hideMark/>
          </w:tcPr>
          <w:p w14:paraId="0D43AB4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Títulos de devolución de impuestos (</w:t>
            </w:r>
            <w:proofErr w:type="spellStart"/>
            <w:r w:rsidRPr="00875602">
              <w:rPr>
                <w:rFonts w:ascii="Calibri" w:hAnsi="Calibri"/>
                <w:color w:val="000000"/>
                <w:sz w:val="10"/>
                <w:szCs w:val="10"/>
                <w:lang w:val="es-CO" w:eastAsia="es-CO"/>
              </w:rPr>
              <w:t>tidis</w:t>
            </w:r>
            <w:proofErr w:type="spellEnd"/>
            <w:r w:rsidRPr="00875602">
              <w:rPr>
                <w:rFonts w:ascii="Calibri" w:hAnsi="Calibri"/>
                <w:color w:val="000000"/>
                <w:sz w:val="10"/>
                <w:szCs w:val="10"/>
                <w:lang w:val="es-CO" w:eastAsia="es-CO"/>
              </w:rPr>
              <w:t>)</w:t>
            </w:r>
          </w:p>
        </w:tc>
        <w:tc>
          <w:tcPr>
            <w:tcW w:w="567" w:type="dxa"/>
            <w:tcBorders>
              <w:top w:val="single" w:sz="4" w:space="0" w:color="000000"/>
              <w:left w:val="nil"/>
              <w:bottom w:val="single" w:sz="4" w:space="0" w:color="000000"/>
              <w:right w:val="single" w:sz="4" w:space="0" w:color="000000"/>
            </w:tcBorders>
            <w:shd w:val="clear" w:color="000000" w:fill="FFFFFF"/>
            <w:hideMark/>
          </w:tcPr>
          <w:p w14:paraId="780F34E2"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r w:rsidR="003C3AFD" w:rsidRPr="00875602" w14:paraId="0B7B312D" w14:textId="77777777" w:rsidTr="00BC6C88">
        <w:trPr>
          <w:trHeight w:val="113"/>
          <w:jc w:val="center"/>
        </w:trPr>
        <w:tc>
          <w:tcPr>
            <w:tcW w:w="448" w:type="dxa"/>
            <w:tcBorders>
              <w:top w:val="single" w:sz="4" w:space="0" w:color="000000"/>
              <w:left w:val="single" w:sz="4" w:space="0" w:color="000000"/>
              <w:bottom w:val="single" w:sz="4" w:space="0" w:color="000000"/>
              <w:right w:val="single" w:sz="4" w:space="0" w:color="000000"/>
            </w:tcBorders>
            <w:shd w:val="clear" w:color="000000" w:fill="FFFFFF"/>
            <w:hideMark/>
          </w:tcPr>
          <w:p w14:paraId="38B7A40C"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2-9-0-0-1-4</w:t>
            </w:r>
          </w:p>
        </w:tc>
        <w:tc>
          <w:tcPr>
            <w:tcW w:w="473" w:type="dxa"/>
            <w:tcBorders>
              <w:top w:val="single" w:sz="4" w:space="0" w:color="000000"/>
              <w:left w:val="nil"/>
              <w:bottom w:val="single" w:sz="4" w:space="0" w:color="000000"/>
              <w:right w:val="single" w:sz="4" w:space="0" w:color="000000"/>
            </w:tcBorders>
            <w:shd w:val="clear" w:color="000000" w:fill="FFFFFF"/>
            <w:hideMark/>
          </w:tcPr>
          <w:p w14:paraId="781D3699" w14:textId="77777777" w:rsidR="003C3AFD" w:rsidRPr="00875602" w:rsidRDefault="003C3AFD" w:rsidP="003C3AFD">
            <w:pPr>
              <w:jc w:val="both"/>
              <w:rPr>
                <w:rFonts w:ascii="Calibri" w:hAnsi="Calibri"/>
                <w:color w:val="000000"/>
                <w:sz w:val="10"/>
                <w:szCs w:val="10"/>
                <w:lang w:val="es-CO" w:eastAsia="es-CO"/>
              </w:rPr>
            </w:pPr>
            <w:r w:rsidRPr="00875602">
              <w:rPr>
                <w:rFonts w:ascii="Calibri" w:hAnsi="Calibri"/>
                <w:color w:val="000000"/>
                <w:sz w:val="10"/>
                <w:szCs w:val="10"/>
                <w:lang w:val="es-CO" w:eastAsia="es-CO"/>
              </w:rPr>
              <w:t>Acuerdos de pago</w:t>
            </w:r>
          </w:p>
        </w:tc>
        <w:tc>
          <w:tcPr>
            <w:tcW w:w="425" w:type="dxa"/>
            <w:tcBorders>
              <w:top w:val="single" w:sz="4" w:space="0" w:color="000000"/>
              <w:left w:val="nil"/>
              <w:bottom w:val="single" w:sz="4" w:space="0" w:color="000000"/>
              <w:right w:val="single" w:sz="4" w:space="0" w:color="000000"/>
            </w:tcBorders>
            <w:shd w:val="clear" w:color="000000" w:fill="FFFFFF"/>
            <w:hideMark/>
          </w:tcPr>
          <w:p w14:paraId="13C48E69" w14:textId="77777777" w:rsidR="003C3AFD" w:rsidRPr="00875602" w:rsidRDefault="003C3AFD" w:rsidP="00661451">
            <w:pPr>
              <w:rPr>
                <w:rFonts w:ascii="Calibri" w:hAnsi="Calibri"/>
                <w:color w:val="000000"/>
                <w:sz w:val="10"/>
                <w:szCs w:val="10"/>
                <w:lang w:val="es-CO" w:eastAsia="es-CO"/>
              </w:rPr>
            </w:pPr>
            <w:proofErr w:type="spellStart"/>
            <w:r w:rsidRPr="00875602">
              <w:rPr>
                <w:rFonts w:ascii="Calibri" w:hAnsi="Calibri"/>
                <w:color w:val="000000"/>
                <w:sz w:val="10"/>
                <w:szCs w:val="10"/>
                <w:lang w:val="es-CO" w:eastAsia="es-CO"/>
              </w:rPr>
              <w:t>AcrdrIngPrsptls</w:t>
            </w:r>
            <w:proofErr w:type="spellEnd"/>
          </w:p>
        </w:tc>
        <w:tc>
          <w:tcPr>
            <w:tcW w:w="425" w:type="dxa"/>
            <w:tcBorders>
              <w:top w:val="single" w:sz="4" w:space="0" w:color="000000"/>
              <w:left w:val="nil"/>
              <w:bottom w:val="single" w:sz="4" w:space="0" w:color="000000"/>
              <w:right w:val="single" w:sz="4" w:space="0" w:color="000000"/>
            </w:tcBorders>
            <w:shd w:val="clear" w:color="000000" w:fill="FFFFFF"/>
            <w:hideMark/>
          </w:tcPr>
          <w:p w14:paraId="76980B5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41F6EC9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38DFC98E"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5" w:type="dxa"/>
            <w:tcBorders>
              <w:top w:val="single" w:sz="4" w:space="0" w:color="000000"/>
              <w:left w:val="nil"/>
              <w:bottom w:val="single" w:sz="4" w:space="0" w:color="000000"/>
              <w:right w:val="single" w:sz="4" w:space="0" w:color="000000"/>
            </w:tcBorders>
            <w:shd w:val="clear" w:color="000000" w:fill="FFFFFF"/>
            <w:hideMark/>
          </w:tcPr>
          <w:p w14:paraId="7C441ED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425" w:type="dxa"/>
            <w:tcBorders>
              <w:top w:val="single" w:sz="4" w:space="0" w:color="000000"/>
              <w:left w:val="nil"/>
              <w:bottom w:val="single" w:sz="4" w:space="0" w:color="000000"/>
              <w:right w:val="single" w:sz="4" w:space="0" w:color="000000"/>
            </w:tcBorders>
            <w:shd w:val="clear" w:color="000000" w:fill="FFFFFF"/>
            <w:hideMark/>
          </w:tcPr>
          <w:p w14:paraId="5C60A25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Traspaso a pagaduría</w:t>
            </w:r>
          </w:p>
        </w:tc>
        <w:tc>
          <w:tcPr>
            <w:tcW w:w="425" w:type="dxa"/>
            <w:tcBorders>
              <w:top w:val="single" w:sz="4" w:space="0" w:color="000000"/>
              <w:left w:val="nil"/>
              <w:bottom w:val="single" w:sz="4" w:space="0" w:color="000000"/>
              <w:right w:val="single" w:sz="4" w:space="0" w:color="000000"/>
            </w:tcBorders>
            <w:shd w:val="clear" w:color="000000" w:fill="FFFFFF"/>
            <w:hideMark/>
          </w:tcPr>
          <w:p w14:paraId="02406A9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Abono en cuenta</w:t>
            </w:r>
          </w:p>
        </w:tc>
        <w:tc>
          <w:tcPr>
            <w:tcW w:w="426" w:type="dxa"/>
            <w:tcBorders>
              <w:top w:val="single" w:sz="4" w:space="0" w:color="000000"/>
              <w:left w:val="nil"/>
              <w:bottom w:val="single" w:sz="4" w:space="0" w:color="000000"/>
              <w:right w:val="single" w:sz="4" w:space="0" w:color="000000"/>
            </w:tcBorders>
            <w:shd w:val="clear" w:color="000000" w:fill="FFFFFF"/>
            <w:hideMark/>
          </w:tcPr>
          <w:p w14:paraId="7C455F1E"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NO</w:t>
            </w:r>
          </w:p>
        </w:tc>
        <w:tc>
          <w:tcPr>
            <w:tcW w:w="708" w:type="dxa"/>
            <w:tcBorders>
              <w:top w:val="single" w:sz="4" w:space="0" w:color="000000"/>
              <w:left w:val="nil"/>
              <w:bottom w:val="single" w:sz="4" w:space="0" w:color="000000"/>
              <w:right w:val="single" w:sz="4" w:space="0" w:color="000000"/>
            </w:tcBorders>
            <w:shd w:val="clear" w:color="000000" w:fill="FFFFFF"/>
            <w:hideMark/>
          </w:tcPr>
          <w:p w14:paraId="0C5EFA50"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32B59592"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709" w:type="dxa"/>
            <w:tcBorders>
              <w:top w:val="single" w:sz="4" w:space="0" w:color="000000"/>
              <w:left w:val="nil"/>
              <w:bottom w:val="single" w:sz="4" w:space="0" w:color="000000"/>
              <w:right w:val="single" w:sz="4" w:space="0" w:color="000000"/>
            </w:tcBorders>
            <w:shd w:val="clear" w:color="000000" w:fill="FFFFFF"/>
            <w:hideMark/>
          </w:tcPr>
          <w:p w14:paraId="7B37D8F4"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472081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288AFD75"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w:t>
            </w:r>
          </w:p>
        </w:tc>
        <w:tc>
          <w:tcPr>
            <w:tcW w:w="567" w:type="dxa"/>
            <w:tcBorders>
              <w:top w:val="single" w:sz="4" w:space="0" w:color="000000"/>
              <w:left w:val="nil"/>
              <w:bottom w:val="single" w:sz="4" w:space="0" w:color="000000"/>
              <w:right w:val="single" w:sz="4" w:space="0" w:color="000000"/>
            </w:tcBorders>
            <w:shd w:val="clear" w:color="000000" w:fill="FFFFFF"/>
            <w:hideMark/>
          </w:tcPr>
          <w:p w14:paraId="772A2BDF"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572081</w:t>
            </w:r>
          </w:p>
        </w:tc>
        <w:tc>
          <w:tcPr>
            <w:tcW w:w="567" w:type="dxa"/>
            <w:tcBorders>
              <w:top w:val="single" w:sz="4" w:space="0" w:color="000000"/>
              <w:left w:val="nil"/>
              <w:bottom w:val="single" w:sz="4" w:space="0" w:color="000000"/>
              <w:right w:val="single" w:sz="4" w:space="0" w:color="000000"/>
            </w:tcBorders>
            <w:shd w:val="clear" w:color="000000" w:fill="FFFFFF"/>
            <w:hideMark/>
          </w:tcPr>
          <w:p w14:paraId="27E1F6F6"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Devoluciones de ingresos</w:t>
            </w:r>
          </w:p>
        </w:tc>
        <w:tc>
          <w:tcPr>
            <w:tcW w:w="425" w:type="dxa"/>
            <w:tcBorders>
              <w:top w:val="single" w:sz="4" w:space="0" w:color="000000"/>
              <w:left w:val="nil"/>
              <w:bottom w:val="single" w:sz="4" w:space="0" w:color="000000"/>
              <w:right w:val="single" w:sz="4" w:space="0" w:color="000000"/>
            </w:tcBorders>
            <w:shd w:val="clear" w:color="000000" w:fill="FFFFFF"/>
            <w:hideMark/>
          </w:tcPr>
          <w:p w14:paraId="22CBF30B"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426" w:type="dxa"/>
            <w:tcBorders>
              <w:top w:val="single" w:sz="4" w:space="0" w:color="000000"/>
              <w:left w:val="nil"/>
              <w:bottom w:val="single" w:sz="4" w:space="0" w:color="000000"/>
              <w:right w:val="single" w:sz="4" w:space="0" w:color="000000"/>
            </w:tcBorders>
            <w:shd w:val="clear" w:color="000000" w:fill="FFFFFF"/>
            <w:hideMark/>
          </w:tcPr>
          <w:p w14:paraId="05379EE7" w14:textId="77777777" w:rsidR="003C3AFD" w:rsidRPr="00875602" w:rsidRDefault="003C3AFD" w:rsidP="00661451">
            <w:pPr>
              <w:rPr>
                <w:rFonts w:ascii="Calibri" w:hAnsi="Calibri"/>
                <w:color w:val="000000"/>
                <w:sz w:val="10"/>
                <w:szCs w:val="10"/>
                <w:lang w:val="es-CO" w:eastAsia="es-CO"/>
              </w:rPr>
            </w:pPr>
            <w:r w:rsidRPr="00875602">
              <w:rPr>
                <w:rFonts w:ascii="Calibri" w:hAnsi="Calibri"/>
                <w:color w:val="000000"/>
                <w:sz w:val="10"/>
                <w:szCs w:val="10"/>
                <w:lang w:val="es-CO" w:eastAsia="es-CO"/>
              </w:rPr>
              <w:t> </w:t>
            </w:r>
          </w:p>
        </w:tc>
        <w:tc>
          <w:tcPr>
            <w:tcW w:w="567" w:type="dxa"/>
            <w:tcBorders>
              <w:top w:val="single" w:sz="4" w:space="0" w:color="000000"/>
              <w:left w:val="nil"/>
              <w:bottom w:val="single" w:sz="4" w:space="0" w:color="000000"/>
              <w:right w:val="single" w:sz="4" w:space="0" w:color="000000"/>
            </w:tcBorders>
            <w:shd w:val="clear" w:color="000000" w:fill="FFFFFF"/>
            <w:hideMark/>
          </w:tcPr>
          <w:p w14:paraId="41D7B658" w14:textId="77777777" w:rsidR="003C3AFD" w:rsidRPr="00875602" w:rsidRDefault="003C3AFD" w:rsidP="00661451">
            <w:pPr>
              <w:jc w:val="center"/>
              <w:rPr>
                <w:rFonts w:ascii="Calibri" w:hAnsi="Calibri"/>
                <w:color w:val="000000"/>
                <w:sz w:val="10"/>
                <w:szCs w:val="10"/>
                <w:lang w:val="es-CO" w:eastAsia="es-CO"/>
              </w:rPr>
            </w:pPr>
            <w:r w:rsidRPr="00875602">
              <w:rPr>
                <w:rFonts w:ascii="Calibri" w:hAnsi="Calibri"/>
                <w:color w:val="000000"/>
                <w:sz w:val="10"/>
                <w:szCs w:val="10"/>
                <w:lang w:val="es-CO" w:eastAsia="es-CO"/>
              </w:rPr>
              <w:t>SI</w:t>
            </w:r>
          </w:p>
        </w:tc>
      </w:tr>
    </w:tbl>
    <w:p w14:paraId="101A51B5" w14:textId="77777777" w:rsidR="00661451" w:rsidRPr="00DF1744" w:rsidRDefault="00661451" w:rsidP="004F1786">
      <w:pPr>
        <w:spacing w:line="288" w:lineRule="auto"/>
        <w:jc w:val="both"/>
        <w:rPr>
          <w:rFonts w:ascii="Arial" w:hAnsi="Arial" w:cs="Arial"/>
          <w:b/>
          <w:sz w:val="22"/>
          <w:szCs w:val="22"/>
        </w:rPr>
      </w:pPr>
    </w:p>
    <w:p w14:paraId="5CBD55BC" w14:textId="77777777" w:rsidR="00FA2DD1" w:rsidRPr="001D2485" w:rsidRDefault="00FA2DD1" w:rsidP="00EF3D59">
      <w:pPr>
        <w:spacing w:line="288" w:lineRule="auto"/>
        <w:rPr>
          <w:rFonts w:ascii="Arial" w:hAnsi="Arial" w:cs="Arial"/>
          <w:b/>
          <w:color w:val="000000"/>
          <w:sz w:val="22"/>
          <w:szCs w:val="22"/>
        </w:rPr>
      </w:pPr>
      <w:r w:rsidRPr="001D2485">
        <w:rPr>
          <w:rFonts w:ascii="Arial" w:hAnsi="Arial" w:cs="Arial"/>
          <w:b/>
          <w:color w:val="000000"/>
          <w:sz w:val="22"/>
          <w:szCs w:val="22"/>
        </w:rPr>
        <w:t>Recaudo por clasificar - compensación de deducciones</w:t>
      </w:r>
    </w:p>
    <w:p w14:paraId="668EE3FD" w14:textId="77777777" w:rsidR="00FA2DD1" w:rsidRPr="00FA2DD1" w:rsidRDefault="00FA2DD1" w:rsidP="00EF3D59">
      <w:pPr>
        <w:spacing w:line="288" w:lineRule="auto"/>
      </w:pPr>
    </w:p>
    <w:p w14:paraId="12CD40D2" w14:textId="77777777" w:rsidR="00FA2DD1" w:rsidRDefault="00FA2DD1" w:rsidP="00EF3D59">
      <w:pPr>
        <w:pStyle w:val="unico"/>
        <w:spacing w:before="0" w:beforeAutospacing="0" w:after="0" w:afterAutospacing="0" w:line="288" w:lineRule="auto"/>
        <w:jc w:val="both"/>
        <w:rPr>
          <w:rFonts w:ascii="Arial" w:hAnsi="Arial" w:cs="Arial"/>
          <w:color w:val="000000"/>
          <w:sz w:val="22"/>
          <w:szCs w:val="22"/>
        </w:rPr>
      </w:pPr>
      <w:r w:rsidRPr="00FA2DD1">
        <w:rPr>
          <w:rFonts w:ascii="Arial" w:hAnsi="Arial" w:cs="Arial"/>
          <w:color w:val="000000"/>
          <w:sz w:val="22"/>
          <w:szCs w:val="22"/>
        </w:rPr>
        <w:t>Este tipo de registro permite cancelar un pasivo de una deducción originado en los macroprocesos de EPG, ING y PAG en una ECP con una operación interinstitucional, y deja disponible la información para que la ECP cancel</w:t>
      </w:r>
      <w:r w:rsidR="00D22908">
        <w:rPr>
          <w:rFonts w:ascii="Arial" w:hAnsi="Arial" w:cs="Arial"/>
          <w:color w:val="000000"/>
          <w:sz w:val="22"/>
          <w:szCs w:val="22"/>
        </w:rPr>
        <w:t xml:space="preserve">e el derecho de cobro, con el </w:t>
      </w:r>
      <w:r w:rsidR="00D22908" w:rsidRPr="004D36C1">
        <w:rPr>
          <w:rFonts w:ascii="Arial" w:hAnsi="Arial" w:cs="Arial"/>
          <w:i/>
          <w:iCs/>
          <w:color w:val="000000"/>
          <w:sz w:val="22"/>
          <w:szCs w:val="22"/>
        </w:rPr>
        <w:t>“T</w:t>
      </w:r>
      <w:r w:rsidRPr="004D36C1">
        <w:rPr>
          <w:rFonts w:ascii="Arial" w:hAnsi="Arial" w:cs="Arial"/>
          <w:i/>
          <w:iCs/>
          <w:color w:val="000000"/>
          <w:sz w:val="22"/>
          <w:szCs w:val="22"/>
        </w:rPr>
        <w:t>ipo de registro recaudo básico por compensación de deducciones”.</w:t>
      </w:r>
      <w:r w:rsidRPr="00FA2DD1">
        <w:rPr>
          <w:rFonts w:ascii="Arial" w:hAnsi="Arial" w:cs="Arial"/>
          <w:color w:val="000000"/>
          <w:sz w:val="22"/>
          <w:szCs w:val="22"/>
        </w:rPr>
        <w:t xml:space="preserve"> Para que proceda el recaudo por clasificar, por compensación de deducciones, el tercero beneficiario de la deducción debe ser igual al que tiene constituido el derecho.</w:t>
      </w:r>
    </w:p>
    <w:p w14:paraId="673C7EF2" w14:textId="77777777" w:rsidR="00FA2DD1" w:rsidRPr="00FA2DD1" w:rsidRDefault="00FA2DD1" w:rsidP="00EF3D59">
      <w:pPr>
        <w:pStyle w:val="unico"/>
        <w:spacing w:before="0" w:beforeAutospacing="0" w:after="0" w:afterAutospacing="0" w:line="288" w:lineRule="auto"/>
        <w:jc w:val="both"/>
        <w:rPr>
          <w:rFonts w:ascii="Arial" w:hAnsi="Arial" w:cs="Arial"/>
          <w:color w:val="000000"/>
          <w:sz w:val="22"/>
          <w:szCs w:val="22"/>
        </w:rPr>
      </w:pPr>
    </w:p>
    <w:p w14:paraId="16DEEEC5" w14:textId="77777777" w:rsidR="00FA2DD1" w:rsidRDefault="00FA2DD1" w:rsidP="00EF3D59">
      <w:pPr>
        <w:pStyle w:val="unico"/>
        <w:spacing w:before="0" w:beforeAutospacing="0" w:after="0" w:afterAutospacing="0" w:line="288" w:lineRule="auto"/>
        <w:jc w:val="both"/>
        <w:rPr>
          <w:rFonts w:ascii="Arial" w:hAnsi="Arial" w:cs="Arial"/>
          <w:color w:val="000000"/>
          <w:sz w:val="22"/>
          <w:szCs w:val="22"/>
        </w:rPr>
      </w:pPr>
      <w:r w:rsidRPr="00FA2DD1">
        <w:rPr>
          <w:rFonts w:ascii="Arial" w:hAnsi="Arial" w:cs="Arial"/>
          <w:color w:val="000000"/>
          <w:sz w:val="22"/>
          <w:szCs w:val="22"/>
        </w:rPr>
        <w:t>En esta transacción, el efecto contable en el débito es de la disminución del pasivo registrado en la deducción determinada en el macroproceso de EPG, con crédito en la subcuenta de la cuenta 4722-operaciones sin flujo de efectivo, que identifique el concepto de la compensación.</w:t>
      </w:r>
    </w:p>
    <w:p w14:paraId="017AC1C7" w14:textId="77777777" w:rsidR="00FA2DD1" w:rsidRPr="00FA2DD1" w:rsidRDefault="00FA2DD1" w:rsidP="00EF3D59">
      <w:pPr>
        <w:pStyle w:val="unico"/>
        <w:spacing w:before="0" w:beforeAutospacing="0" w:after="0" w:afterAutospacing="0" w:line="288" w:lineRule="auto"/>
        <w:jc w:val="both"/>
        <w:rPr>
          <w:rFonts w:ascii="Arial" w:hAnsi="Arial" w:cs="Arial"/>
          <w:color w:val="000000"/>
          <w:sz w:val="22"/>
          <w:szCs w:val="22"/>
        </w:rPr>
      </w:pPr>
    </w:p>
    <w:p w14:paraId="5D68AA56" w14:textId="77777777" w:rsidR="00FA2DD1" w:rsidRDefault="00FA2DD1" w:rsidP="00EF3D59">
      <w:pPr>
        <w:pStyle w:val="unico"/>
        <w:spacing w:before="0" w:beforeAutospacing="0" w:after="0" w:afterAutospacing="0" w:line="288" w:lineRule="auto"/>
        <w:jc w:val="both"/>
        <w:rPr>
          <w:rFonts w:ascii="Arial" w:hAnsi="Arial" w:cs="Arial"/>
          <w:color w:val="000000"/>
          <w:sz w:val="22"/>
          <w:szCs w:val="22"/>
        </w:rPr>
      </w:pPr>
      <w:r w:rsidRPr="00FA2DD1">
        <w:rPr>
          <w:rFonts w:ascii="Arial" w:hAnsi="Arial" w:cs="Arial"/>
          <w:color w:val="000000"/>
          <w:sz w:val="22"/>
          <w:szCs w:val="22"/>
        </w:rPr>
        <w:t xml:space="preserve">El </w:t>
      </w:r>
      <w:r w:rsidRPr="004D36C1">
        <w:rPr>
          <w:rFonts w:ascii="Arial" w:hAnsi="Arial" w:cs="Arial"/>
          <w:i/>
          <w:iCs/>
          <w:color w:val="000000"/>
          <w:sz w:val="22"/>
          <w:szCs w:val="22"/>
        </w:rPr>
        <w:t>“tipo de registro”</w:t>
      </w:r>
      <w:r w:rsidRPr="00FA2DD1">
        <w:rPr>
          <w:rFonts w:ascii="Arial" w:hAnsi="Arial" w:cs="Arial"/>
          <w:color w:val="000000"/>
          <w:sz w:val="22"/>
          <w:szCs w:val="22"/>
        </w:rPr>
        <w:t xml:space="preserve"> de esta compensación está definido en la tabla TCON11-recaudos para cada de la PPNP, así:</w:t>
      </w:r>
    </w:p>
    <w:p w14:paraId="135B842E" w14:textId="77777777" w:rsidR="00D22908" w:rsidRPr="00FA2DD1" w:rsidRDefault="00D22908" w:rsidP="00FA2DD1">
      <w:pPr>
        <w:pStyle w:val="unico"/>
        <w:spacing w:before="0" w:beforeAutospacing="0" w:after="0" w:afterAutospacing="0" w:line="312" w:lineRule="auto"/>
        <w:jc w:val="both"/>
        <w:rPr>
          <w:rFonts w:ascii="Arial" w:hAnsi="Arial" w:cs="Arial"/>
          <w:color w:val="000000"/>
          <w:sz w:val="22"/>
          <w:szCs w:val="22"/>
        </w:rPr>
      </w:pPr>
    </w:p>
    <w:tbl>
      <w:tblPr>
        <w:tblW w:w="9271" w:type="dxa"/>
        <w:jc w:val="center"/>
        <w:tblCellMar>
          <w:left w:w="70" w:type="dxa"/>
          <w:right w:w="70" w:type="dxa"/>
        </w:tblCellMar>
        <w:tblLook w:val="04A0" w:firstRow="1" w:lastRow="0" w:firstColumn="1" w:lastColumn="0" w:noHBand="0" w:noVBand="1"/>
      </w:tblPr>
      <w:tblGrid>
        <w:gridCol w:w="1075"/>
        <w:gridCol w:w="787"/>
        <w:gridCol w:w="908"/>
        <w:gridCol w:w="540"/>
        <w:gridCol w:w="651"/>
        <w:gridCol w:w="480"/>
        <w:gridCol w:w="922"/>
        <w:gridCol w:w="540"/>
        <w:gridCol w:w="688"/>
        <w:gridCol w:w="763"/>
        <w:gridCol w:w="588"/>
        <w:gridCol w:w="741"/>
        <w:gridCol w:w="588"/>
      </w:tblGrid>
      <w:tr w:rsidR="00D22908" w:rsidRPr="00875602" w14:paraId="40A9C68E" w14:textId="77777777" w:rsidTr="00BC6C88">
        <w:trPr>
          <w:trHeight w:val="1200"/>
          <w:tblHeader/>
          <w:jc w:val="center"/>
        </w:trPr>
        <w:tc>
          <w:tcPr>
            <w:tcW w:w="642" w:type="dxa"/>
            <w:tcBorders>
              <w:top w:val="single" w:sz="4" w:space="0" w:color="000000"/>
              <w:left w:val="single" w:sz="4" w:space="0" w:color="000000"/>
              <w:bottom w:val="single" w:sz="4" w:space="0" w:color="000000"/>
              <w:right w:val="single" w:sz="4" w:space="0" w:color="000000"/>
            </w:tcBorders>
            <w:shd w:val="clear" w:color="000000" w:fill="2F5395"/>
            <w:hideMark/>
          </w:tcPr>
          <w:p w14:paraId="38EA9CF9" w14:textId="77777777" w:rsidR="00D22908" w:rsidRPr="00875602" w:rsidRDefault="00D22908"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lastRenderedPageBreak/>
              <w:t>Tipo de Registro</w:t>
            </w:r>
          </w:p>
        </w:tc>
        <w:tc>
          <w:tcPr>
            <w:tcW w:w="1220" w:type="dxa"/>
            <w:tcBorders>
              <w:top w:val="single" w:sz="4" w:space="0" w:color="000000"/>
              <w:left w:val="nil"/>
              <w:bottom w:val="single" w:sz="4" w:space="0" w:color="000000"/>
              <w:right w:val="single" w:sz="4" w:space="0" w:color="000000"/>
            </w:tcBorders>
            <w:shd w:val="clear" w:color="000000" w:fill="2F5395"/>
            <w:hideMark/>
          </w:tcPr>
          <w:p w14:paraId="1B94C225"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Catalogo Pago No Presupuestal</w:t>
            </w:r>
          </w:p>
        </w:tc>
        <w:tc>
          <w:tcPr>
            <w:tcW w:w="0" w:type="auto"/>
            <w:tcBorders>
              <w:top w:val="single" w:sz="4" w:space="0" w:color="000000"/>
              <w:left w:val="nil"/>
              <w:bottom w:val="single" w:sz="4" w:space="0" w:color="000000"/>
              <w:right w:val="single" w:sz="4" w:space="0" w:color="000000"/>
            </w:tcBorders>
            <w:shd w:val="clear" w:color="000000" w:fill="2F5395"/>
            <w:hideMark/>
          </w:tcPr>
          <w:p w14:paraId="34E8B612"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D22908" w:rsidRPr="00875602">
              <w:rPr>
                <w:rFonts w:ascii="Calibri" w:hAnsi="Calibri"/>
                <w:b/>
                <w:bCs/>
                <w:color w:val="FFFFFF"/>
                <w:sz w:val="12"/>
                <w:szCs w:val="12"/>
                <w:lang w:val="es-CO" w:eastAsia="es-CO"/>
              </w:rPr>
              <w:t xml:space="preserve"> Catalogo Pago No Presupuestal</w:t>
            </w:r>
          </w:p>
        </w:tc>
        <w:tc>
          <w:tcPr>
            <w:tcW w:w="0" w:type="auto"/>
            <w:tcBorders>
              <w:top w:val="single" w:sz="4" w:space="0" w:color="000000"/>
              <w:left w:val="nil"/>
              <w:bottom w:val="single" w:sz="4" w:space="0" w:color="000000"/>
              <w:right w:val="single" w:sz="4" w:space="0" w:color="000000"/>
            </w:tcBorders>
            <w:shd w:val="clear" w:color="000000" w:fill="2F5395"/>
            <w:hideMark/>
          </w:tcPr>
          <w:p w14:paraId="5E9DA5F5" w14:textId="77777777" w:rsidR="00D22908" w:rsidRPr="00875602" w:rsidRDefault="00D22908"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Emisora</w:t>
            </w:r>
          </w:p>
        </w:tc>
        <w:tc>
          <w:tcPr>
            <w:tcW w:w="0" w:type="auto"/>
            <w:tcBorders>
              <w:top w:val="single" w:sz="4" w:space="0" w:color="000000"/>
              <w:left w:val="nil"/>
              <w:bottom w:val="single" w:sz="4" w:space="0" w:color="000000"/>
              <w:right w:val="single" w:sz="4" w:space="0" w:color="000000"/>
            </w:tcBorders>
            <w:shd w:val="clear" w:color="000000" w:fill="2F5395"/>
            <w:hideMark/>
          </w:tcPr>
          <w:p w14:paraId="60F4848A" w14:textId="77777777" w:rsidR="00D22908" w:rsidRPr="00875602" w:rsidRDefault="00D22908" w:rsidP="00D22908">
            <w:pPr>
              <w:jc w:val="center"/>
              <w:rPr>
                <w:rFonts w:ascii="Calibri" w:hAnsi="Calibri"/>
                <w:b/>
                <w:bCs/>
                <w:color w:val="FFFFFF"/>
                <w:sz w:val="12"/>
                <w:szCs w:val="12"/>
                <w:lang w:val="es-CO" w:eastAsia="es-CO"/>
              </w:rPr>
            </w:pPr>
            <w:proofErr w:type="spellStart"/>
            <w:r w:rsidRPr="00875602">
              <w:rPr>
                <w:rFonts w:ascii="Calibri" w:hAnsi="Calibri"/>
                <w:b/>
                <w:bCs/>
                <w:color w:val="FFFFFF"/>
                <w:sz w:val="12"/>
                <w:szCs w:val="12"/>
                <w:lang w:val="es-CO" w:eastAsia="es-CO"/>
              </w:rPr>
              <w:t>Dif</w:t>
            </w:r>
            <w:proofErr w:type="spellEnd"/>
            <w:r w:rsidRPr="00875602">
              <w:rPr>
                <w:rFonts w:ascii="Calibri" w:hAnsi="Calibri"/>
                <w:b/>
                <w:bCs/>
                <w:color w:val="FFFFFF"/>
                <w:sz w:val="12"/>
                <w:szCs w:val="12"/>
                <w:lang w:val="es-CO" w:eastAsia="es-CO"/>
              </w:rPr>
              <w:t>. Cambiario</w:t>
            </w:r>
          </w:p>
        </w:tc>
        <w:tc>
          <w:tcPr>
            <w:tcW w:w="0" w:type="auto"/>
            <w:tcBorders>
              <w:top w:val="single" w:sz="4" w:space="0" w:color="000000"/>
              <w:left w:val="nil"/>
              <w:bottom w:val="single" w:sz="4" w:space="0" w:color="000000"/>
              <w:right w:val="single" w:sz="4" w:space="0" w:color="000000"/>
            </w:tcBorders>
            <w:shd w:val="clear" w:color="000000" w:fill="2F5395"/>
            <w:hideMark/>
          </w:tcPr>
          <w:p w14:paraId="1F8D887D" w14:textId="77777777" w:rsidR="00D22908" w:rsidRPr="00875602" w:rsidRDefault="00D22908"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Misma ECP</w:t>
            </w:r>
          </w:p>
        </w:tc>
        <w:tc>
          <w:tcPr>
            <w:tcW w:w="0" w:type="auto"/>
            <w:tcBorders>
              <w:top w:val="single" w:sz="4" w:space="0" w:color="000000"/>
              <w:left w:val="nil"/>
              <w:bottom w:val="single" w:sz="4" w:space="0" w:color="000000"/>
              <w:right w:val="single" w:sz="4" w:space="0" w:color="000000"/>
            </w:tcBorders>
            <w:shd w:val="clear" w:color="000000" w:fill="2F5395"/>
            <w:hideMark/>
          </w:tcPr>
          <w:p w14:paraId="13B9DB89" w14:textId="77777777" w:rsidR="00D22908" w:rsidRPr="00875602" w:rsidRDefault="00D22908"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ECP Responsable</w:t>
            </w:r>
          </w:p>
        </w:tc>
        <w:tc>
          <w:tcPr>
            <w:tcW w:w="0" w:type="auto"/>
            <w:tcBorders>
              <w:top w:val="single" w:sz="4" w:space="0" w:color="000000"/>
              <w:left w:val="nil"/>
              <w:bottom w:val="single" w:sz="4" w:space="0" w:color="000000"/>
              <w:right w:val="single" w:sz="4" w:space="0" w:color="000000"/>
            </w:tcBorders>
            <w:shd w:val="clear" w:color="000000" w:fill="2F5395"/>
            <w:hideMark/>
          </w:tcPr>
          <w:p w14:paraId="5C27CC1E" w14:textId="77777777" w:rsidR="00D22908" w:rsidRPr="00875602" w:rsidRDefault="00D22908"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Proceso Especial</w:t>
            </w:r>
          </w:p>
        </w:tc>
        <w:tc>
          <w:tcPr>
            <w:tcW w:w="0" w:type="auto"/>
            <w:tcBorders>
              <w:top w:val="single" w:sz="4" w:space="0" w:color="000000"/>
              <w:left w:val="nil"/>
              <w:bottom w:val="single" w:sz="4" w:space="0" w:color="000000"/>
              <w:right w:val="single" w:sz="4" w:space="0" w:color="000000"/>
            </w:tcBorders>
            <w:shd w:val="clear" w:color="000000" w:fill="2F5395"/>
            <w:hideMark/>
          </w:tcPr>
          <w:p w14:paraId="7DCE8152"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Contable Asiento Debe</w:t>
            </w:r>
          </w:p>
        </w:tc>
        <w:tc>
          <w:tcPr>
            <w:tcW w:w="0" w:type="auto"/>
            <w:tcBorders>
              <w:top w:val="single" w:sz="4" w:space="0" w:color="000000"/>
              <w:left w:val="nil"/>
              <w:bottom w:val="single" w:sz="4" w:space="0" w:color="000000"/>
              <w:right w:val="single" w:sz="4" w:space="0" w:color="000000"/>
            </w:tcBorders>
            <w:shd w:val="clear" w:color="000000" w:fill="2F5395"/>
            <w:hideMark/>
          </w:tcPr>
          <w:p w14:paraId="7644329A"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D22908"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Contable Asiento Debe</w:t>
            </w:r>
          </w:p>
        </w:tc>
        <w:tc>
          <w:tcPr>
            <w:tcW w:w="0" w:type="auto"/>
            <w:tcBorders>
              <w:top w:val="single" w:sz="4" w:space="0" w:color="000000"/>
              <w:left w:val="nil"/>
              <w:bottom w:val="single" w:sz="4" w:space="0" w:color="000000"/>
              <w:right w:val="single" w:sz="4" w:space="0" w:color="000000"/>
            </w:tcBorders>
            <w:shd w:val="clear" w:color="000000" w:fill="2F5395"/>
            <w:hideMark/>
          </w:tcPr>
          <w:p w14:paraId="31563C0D"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Contable Asiento Haber</w:t>
            </w:r>
          </w:p>
        </w:tc>
        <w:tc>
          <w:tcPr>
            <w:tcW w:w="0" w:type="auto"/>
            <w:tcBorders>
              <w:top w:val="single" w:sz="4" w:space="0" w:color="000000"/>
              <w:left w:val="nil"/>
              <w:bottom w:val="single" w:sz="4" w:space="0" w:color="000000"/>
              <w:right w:val="single" w:sz="4" w:space="0" w:color="000000"/>
            </w:tcBorders>
            <w:shd w:val="clear" w:color="000000" w:fill="2F5395"/>
            <w:hideMark/>
          </w:tcPr>
          <w:p w14:paraId="544A8D2C"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Descripción</w:t>
            </w:r>
            <w:r w:rsidR="00D22908" w:rsidRPr="00875602">
              <w:rPr>
                <w:rFonts w:ascii="Calibri" w:hAnsi="Calibri"/>
                <w:b/>
                <w:bCs/>
                <w:color w:val="FFFFFF"/>
                <w:sz w:val="12"/>
                <w:szCs w:val="12"/>
                <w:lang w:val="es-CO" w:eastAsia="es-CO"/>
              </w:rPr>
              <w:t xml:space="preserve"> </w:t>
            </w: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Contable Asiento Haber</w:t>
            </w:r>
          </w:p>
        </w:tc>
        <w:tc>
          <w:tcPr>
            <w:tcW w:w="0" w:type="auto"/>
            <w:tcBorders>
              <w:top w:val="single" w:sz="4" w:space="0" w:color="000000"/>
              <w:left w:val="nil"/>
              <w:bottom w:val="single" w:sz="4" w:space="0" w:color="000000"/>
              <w:right w:val="single" w:sz="4" w:space="0" w:color="000000"/>
            </w:tcBorders>
            <w:shd w:val="clear" w:color="000000" w:fill="2F5395"/>
            <w:hideMark/>
          </w:tcPr>
          <w:p w14:paraId="4B16B1A4" w14:textId="77777777" w:rsidR="00D22908" w:rsidRPr="00875602" w:rsidRDefault="00D95115" w:rsidP="00D22908">
            <w:pPr>
              <w:jc w:val="center"/>
              <w:rPr>
                <w:rFonts w:ascii="Calibri" w:hAnsi="Calibri"/>
                <w:b/>
                <w:bCs/>
                <w:color w:val="FFFFFF"/>
                <w:sz w:val="12"/>
                <w:szCs w:val="12"/>
                <w:lang w:val="es-CO" w:eastAsia="es-CO"/>
              </w:rPr>
            </w:pPr>
            <w:r w:rsidRPr="00875602">
              <w:rPr>
                <w:rFonts w:ascii="Calibri" w:hAnsi="Calibri"/>
                <w:b/>
                <w:bCs/>
                <w:color w:val="FFFFFF"/>
                <w:sz w:val="12"/>
                <w:szCs w:val="12"/>
                <w:lang w:val="es-CO" w:eastAsia="es-CO"/>
              </w:rPr>
              <w:t>Código</w:t>
            </w:r>
            <w:r w:rsidR="00D22908" w:rsidRPr="00875602">
              <w:rPr>
                <w:rFonts w:ascii="Calibri" w:hAnsi="Calibri"/>
                <w:b/>
                <w:bCs/>
                <w:color w:val="FFFFFF"/>
                <w:sz w:val="12"/>
                <w:szCs w:val="12"/>
                <w:lang w:val="es-CO" w:eastAsia="es-CO"/>
              </w:rPr>
              <w:t xml:space="preserve"> Contable Asiento2 Debe</w:t>
            </w:r>
          </w:p>
        </w:tc>
      </w:tr>
      <w:tr w:rsidR="00D22908" w:rsidRPr="00875602" w14:paraId="24B0793B"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4C331797"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5F1CEC2C"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2-50-02</w:t>
            </w:r>
          </w:p>
        </w:tc>
        <w:tc>
          <w:tcPr>
            <w:tcW w:w="0" w:type="auto"/>
            <w:tcBorders>
              <w:top w:val="nil"/>
              <w:left w:val="nil"/>
              <w:bottom w:val="single" w:sz="4" w:space="0" w:color="000000"/>
              <w:right w:val="single" w:sz="4" w:space="0" w:color="000000"/>
            </w:tcBorders>
            <w:shd w:val="clear" w:color="auto" w:fill="auto"/>
            <w:hideMark/>
          </w:tcPr>
          <w:p w14:paraId="739D3889"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CUOTA DE FISCALIZACIÓN Y AUDITAJE</w:t>
            </w:r>
          </w:p>
        </w:tc>
        <w:tc>
          <w:tcPr>
            <w:tcW w:w="0" w:type="auto"/>
            <w:tcBorders>
              <w:top w:val="nil"/>
              <w:left w:val="nil"/>
              <w:bottom w:val="single" w:sz="4" w:space="0" w:color="000000"/>
              <w:right w:val="single" w:sz="4" w:space="0" w:color="000000"/>
            </w:tcBorders>
            <w:shd w:val="clear" w:color="auto" w:fill="auto"/>
            <w:hideMark/>
          </w:tcPr>
          <w:p w14:paraId="718ED6D4"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0FD474FC"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6498A5A9"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4F18347D"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Administracion</w:t>
            </w:r>
            <w:proofErr w:type="spellEnd"/>
            <w:r w:rsidRPr="00875602">
              <w:rPr>
                <w:rFonts w:ascii="Calibri" w:hAnsi="Calibri"/>
                <w:color w:val="000000"/>
                <w:sz w:val="12"/>
                <w:szCs w:val="12"/>
                <w:lang w:val="es-CO" w:eastAsia="es-CO"/>
              </w:rPr>
              <w:t xml:space="preserve"> Central</w:t>
            </w:r>
          </w:p>
        </w:tc>
        <w:tc>
          <w:tcPr>
            <w:tcW w:w="0" w:type="auto"/>
            <w:tcBorders>
              <w:top w:val="nil"/>
              <w:left w:val="nil"/>
              <w:bottom w:val="single" w:sz="4" w:space="0" w:color="000000"/>
              <w:right w:val="single" w:sz="4" w:space="0" w:color="000000"/>
            </w:tcBorders>
            <w:shd w:val="clear" w:color="auto" w:fill="auto"/>
            <w:hideMark/>
          </w:tcPr>
          <w:p w14:paraId="6EA26F0E"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688B6F8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244014001</w:t>
            </w:r>
          </w:p>
        </w:tc>
        <w:tc>
          <w:tcPr>
            <w:tcW w:w="0" w:type="auto"/>
            <w:tcBorders>
              <w:top w:val="nil"/>
              <w:left w:val="nil"/>
              <w:bottom w:val="single" w:sz="4" w:space="0" w:color="000000"/>
              <w:right w:val="single" w:sz="4" w:space="0" w:color="000000"/>
            </w:tcBorders>
            <w:shd w:val="clear" w:color="auto" w:fill="auto"/>
            <w:hideMark/>
          </w:tcPr>
          <w:p w14:paraId="4841BF25"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Cuota de fiscalización y auditaje</w:t>
            </w:r>
          </w:p>
        </w:tc>
        <w:tc>
          <w:tcPr>
            <w:tcW w:w="0" w:type="auto"/>
            <w:tcBorders>
              <w:top w:val="nil"/>
              <w:left w:val="nil"/>
              <w:bottom w:val="single" w:sz="4" w:space="0" w:color="000000"/>
              <w:right w:val="single" w:sz="4" w:space="0" w:color="000000"/>
            </w:tcBorders>
            <w:shd w:val="clear" w:color="auto" w:fill="auto"/>
            <w:hideMark/>
          </w:tcPr>
          <w:p w14:paraId="1D4EBE05"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472203</w:t>
            </w:r>
          </w:p>
        </w:tc>
        <w:tc>
          <w:tcPr>
            <w:tcW w:w="0" w:type="auto"/>
            <w:tcBorders>
              <w:top w:val="nil"/>
              <w:left w:val="nil"/>
              <w:bottom w:val="single" w:sz="4" w:space="0" w:color="000000"/>
              <w:right w:val="single" w:sz="4" w:space="0" w:color="000000"/>
            </w:tcBorders>
            <w:shd w:val="clear" w:color="auto" w:fill="auto"/>
            <w:hideMark/>
          </w:tcPr>
          <w:p w14:paraId="70DC758B"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Cuota de fiscalización y auditaje</w:t>
            </w:r>
          </w:p>
        </w:tc>
        <w:tc>
          <w:tcPr>
            <w:tcW w:w="0" w:type="auto"/>
            <w:tcBorders>
              <w:top w:val="nil"/>
              <w:left w:val="nil"/>
              <w:bottom w:val="single" w:sz="4" w:space="0" w:color="000000"/>
              <w:right w:val="single" w:sz="4" w:space="0" w:color="000000"/>
            </w:tcBorders>
            <w:shd w:val="clear" w:color="auto" w:fill="auto"/>
            <w:hideMark/>
          </w:tcPr>
          <w:p w14:paraId="54964A6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D22908" w:rsidRPr="00875602" w14:paraId="65120CBF"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212787EE"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0496717C"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2-50-03</w:t>
            </w:r>
          </w:p>
        </w:tc>
        <w:tc>
          <w:tcPr>
            <w:tcW w:w="0" w:type="auto"/>
            <w:tcBorders>
              <w:top w:val="nil"/>
              <w:left w:val="nil"/>
              <w:bottom w:val="single" w:sz="4" w:space="0" w:color="000000"/>
              <w:right w:val="single" w:sz="4" w:space="0" w:color="000000"/>
            </w:tcBorders>
            <w:shd w:val="clear" w:color="auto" w:fill="auto"/>
            <w:hideMark/>
          </w:tcPr>
          <w:p w14:paraId="1A8C421E"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DESEMBOLSO DE CRÉDITO EXTERNO NO MONETIZADO</w:t>
            </w:r>
          </w:p>
        </w:tc>
        <w:tc>
          <w:tcPr>
            <w:tcW w:w="0" w:type="auto"/>
            <w:tcBorders>
              <w:top w:val="nil"/>
              <w:left w:val="nil"/>
              <w:bottom w:val="single" w:sz="4" w:space="0" w:color="000000"/>
              <w:right w:val="single" w:sz="4" w:space="0" w:color="000000"/>
            </w:tcBorders>
            <w:shd w:val="clear" w:color="auto" w:fill="auto"/>
            <w:hideMark/>
          </w:tcPr>
          <w:p w14:paraId="11D148DA"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24E47F68"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6CF872B3"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12552688"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Administracion</w:t>
            </w:r>
            <w:proofErr w:type="spellEnd"/>
            <w:r w:rsidRPr="00875602">
              <w:rPr>
                <w:rFonts w:ascii="Calibri" w:hAnsi="Calibri"/>
                <w:color w:val="000000"/>
                <w:sz w:val="12"/>
                <w:szCs w:val="12"/>
                <w:lang w:val="es-CO" w:eastAsia="es-CO"/>
              </w:rPr>
              <w:t xml:space="preserve"> Central</w:t>
            </w:r>
          </w:p>
        </w:tc>
        <w:tc>
          <w:tcPr>
            <w:tcW w:w="0" w:type="auto"/>
            <w:tcBorders>
              <w:top w:val="nil"/>
              <w:left w:val="nil"/>
              <w:bottom w:val="single" w:sz="4" w:space="0" w:color="000000"/>
              <w:right w:val="single" w:sz="4" w:space="0" w:color="000000"/>
            </w:tcBorders>
            <w:shd w:val="clear" w:color="auto" w:fill="auto"/>
            <w:hideMark/>
          </w:tcPr>
          <w:p w14:paraId="67B3D94A"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9A3DA53"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240102001</w:t>
            </w:r>
          </w:p>
        </w:tc>
        <w:tc>
          <w:tcPr>
            <w:tcW w:w="0" w:type="auto"/>
            <w:tcBorders>
              <w:top w:val="nil"/>
              <w:left w:val="nil"/>
              <w:bottom w:val="single" w:sz="4" w:space="0" w:color="000000"/>
              <w:right w:val="single" w:sz="4" w:space="0" w:color="000000"/>
            </w:tcBorders>
            <w:shd w:val="clear" w:color="auto" w:fill="auto"/>
            <w:hideMark/>
          </w:tcPr>
          <w:p w14:paraId="1DFB9851"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Proyectos de inversión</w:t>
            </w:r>
          </w:p>
        </w:tc>
        <w:tc>
          <w:tcPr>
            <w:tcW w:w="0" w:type="auto"/>
            <w:tcBorders>
              <w:top w:val="nil"/>
              <w:left w:val="nil"/>
              <w:bottom w:val="single" w:sz="4" w:space="0" w:color="000000"/>
              <w:right w:val="single" w:sz="4" w:space="0" w:color="000000"/>
            </w:tcBorders>
            <w:shd w:val="clear" w:color="auto" w:fill="auto"/>
            <w:hideMark/>
          </w:tcPr>
          <w:p w14:paraId="580F202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472205</w:t>
            </w:r>
          </w:p>
        </w:tc>
        <w:tc>
          <w:tcPr>
            <w:tcW w:w="0" w:type="auto"/>
            <w:tcBorders>
              <w:top w:val="nil"/>
              <w:left w:val="nil"/>
              <w:bottom w:val="single" w:sz="4" w:space="0" w:color="000000"/>
              <w:right w:val="single" w:sz="4" w:space="0" w:color="000000"/>
            </w:tcBorders>
            <w:shd w:val="clear" w:color="auto" w:fill="auto"/>
            <w:hideMark/>
          </w:tcPr>
          <w:p w14:paraId="5750A7D8"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Desembolso de crédito externo no monetizado</w:t>
            </w:r>
          </w:p>
        </w:tc>
        <w:tc>
          <w:tcPr>
            <w:tcW w:w="0" w:type="auto"/>
            <w:tcBorders>
              <w:top w:val="nil"/>
              <w:left w:val="nil"/>
              <w:bottom w:val="single" w:sz="4" w:space="0" w:color="000000"/>
              <w:right w:val="single" w:sz="4" w:space="0" w:color="000000"/>
            </w:tcBorders>
            <w:shd w:val="clear" w:color="auto" w:fill="auto"/>
            <w:hideMark/>
          </w:tcPr>
          <w:p w14:paraId="4C43EE19"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D22908" w:rsidRPr="00875602" w14:paraId="0EB4C5F0"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007FE929"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46208157"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2-50-06</w:t>
            </w:r>
          </w:p>
        </w:tc>
        <w:tc>
          <w:tcPr>
            <w:tcW w:w="0" w:type="auto"/>
            <w:tcBorders>
              <w:top w:val="nil"/>
              <w:left w:val="nil"/>
              <w:bottom w:val="single" w:sz="4" w:space="0" w:color="000000"/>
              <w:right w:val="single" w:sz="4" w:space="0" w:color="000000"/>
            </w:tcBorders>
            <w:shd w:val="clear" w:color="auto" w:fill="auto"/>
            <w:hideMark/>
          </w:tcPr>
          <w:p w14:paraId="680ED054"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DESEMBOLSO DONACION EXTERNA</w:t>
            </w:r>
          </w:p>
        </w:tc>
        <w:tc>
          <w:tcPr>
            <w:tcW w:w="0" w:type="auto"/>
            <w:tcBorders>
              <w:top w:val="nil"/>
              <w:left w:val="nil"/>
              <w:bottom w:val="single" w:sz="4" w:space="0" w:color="000000"/>
              <w:right w:val="single" w:sz="4" w:space="0" w:color="000000"/>
            </w:tcBorders>
            <w:shd w:val="clear" w:color="auto" w:fill="auto"/>
            <w:hideMark/>
          </w:tcPr>
          <w:p w14:paraId="1B5B1723"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10934D6B"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E0DC215"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0DB9304"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Administracion</w:t>
            </w:r>
            <w:proofErr w:type="spellEnd"/>
            <w:r w:rsidRPr="00875602">
              <w:rPr>
                <w:rFonts w:ascii="Calibri" w:hAnsi="Calibri"/>
                <w:color w:val="000000"/>
                <w:sz w:val="12"/>
                <w:szCs w:val="12"/>
                <w:lang w:val="es-CO" w:eastAsia="es-CO"/>
              </w:rPr>
              <w:t xml:space="preserve"> Central</w:t>
            </w:r>
          </w:p>
        </w:tc>
        <w:tc>
          <w:tcPr>
            <w:tcW w:w="0" w:type="auto"/>
            <w:tcBorders>
              <w:top w:val="nil"/>
              <w:left w:val="nil"/>
              <w:bottom w:val="single" w:sz="4" w:space="0" w:color="000000"/>
              <w:right w:val="single" w:sz="4" w:space="0" w:color="000000"/>
            </w:tcBorders>
            <w:shd w:val="clear" w:color="auto" w:fill="auto"/>
            <w:hideMark/>
          </w:tcPr>
          <w:p w14:paraId="32A3F62B"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572790E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240102001</w:t>
            </w:r>
          </w:p>
        </w:tc>
        <w:tc>
          <w:tcPr>
            <w:tcW w:w="0" w:type="auto"/>
            <w:tcBorders>
              <w:top w:val="nil"/>
              <w:left w:val="nil"/>
              <w:bottom w:val="single" w:sz="4" w:space="0" w:color="000000"/>
              <w:right w:val="single" w:sz="4" w:space="0" w:color="000000"/>
            </w:tcBorders>
            <w:shd w:val="clear" w:color="auto" w:fill="auto"/>
            <w:hideMark/>
          </w:tcPr>
          <w:p w14:paraId="23EE0FF6"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Proyectos de inversión</w:t>
            </w:r>
          </w:p>
        </w:tc>
        <w:tc>
          <w:tcPr>
            <w:tcW w:w="0" w:type="auto"/>
            <w:tcBorders>
              <w:top w:val="nil"/>
              <w:left w:val="nil"/>
              <w:bottom w:val="single" w:sz="4" w:space="0" w:color="000000"/>
              <w:right w:val="single" w:sz="4" w:space="0" w:color="000000"/>
            </w:tcBorders>
            <w:shd w:val="clear" w:color="auto" w:fill="auto"/>
            <w:hideMark/>
          </w:tcPr>
          <w:p w14:paraId="7EE70C6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472205</w:t>
            </w:r>
          </w:p>
        </w:tc>
        <w:tc>
          <w:tcPr>
            <w:tcW w:w="0" w:type="auto"/>
            <w:tcBorders>
              <w:top w:val="nil"/>
              <w:left w:val="nil"/>
              <w:bottom w:val="single" w:sz="4" w:space="0" w:color="000000"/>
              <w:right w:val="single" w:sz="4" w:space="0" w:color="000000"/>
            </w:tcBorders>
            <w:shd w:val="clear" w:color="auto" w:fill="auto"/>
            <w:hideMark/>
          </w:tcPr>
          <w:p w14:paraId="00D2F867"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Desembolso de crédito externo no monetizado</w:t>
            </w:r>
          </w:p>
        </w:tc>
        <w:tc>
          <w:tcPr>
            <w:tcW w:w="0" w:type="auto"/>
            <w:tcBorders>
              <w:top w:val="nil"/>
              <w:left w:val="nil"/>
              <w:bottom w:val="single" w:sz="4" w:space="0" w:color="000000"/>
              <w:right w:val="single" w:sz="4" w:space="0" w:color="000000"/>
            </w:tcBorders>
            <w:shd w:val="clear" w:color="auto" w:fill="auto"/>
            <w:hideMark/>
          </w:tcPr>
          <w:p w14:paraId="38903101"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D22908" w:rsidRPr="00875602" w14:paraId="166E607A"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481A4D92"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341EBB86"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2-70-07</w:t>
            </w:r>
          </w:p>
        </w:tc>
        <w:tc>
          <w:tcPr>
            <w:tcW w:w="0" w:type="auto"/>
            <w:tcBorders>
              <w:top w:val="nil"/>
              <w:left w:val="nil"/>
              <w:bottom w:val="single" w:sz="4" w:space="0" w:color="000000"/>
              <w:right w:val="single" w:sz="4" w:space="0" w:color="000000"/>
            </w:tcBorders>
            <w:shd w:val="clear" w:color="auto" w:fill="auto"/>
            <w:hideMark/>
          </w:tcPr>
          <w:p w14:paraId="1A0CC339"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OTROS DTOS - EJECUCION REZAGO SIN FLUJO</w:t>
            </w:r>
          </w:p>
        </w:tc>
        <w:tc>
          <w:tcPr>
            <w:tcW w:w="0" w:type="auto"/>
            <w:tcBorders>
              <w:top w:val="nil"/>
              <w:left w:val="nil"/>
              <w:bottom w:val="single" w:sz="4" w:space="0" w:color="000000"/>
              <w:right w:val="single" w:sz="4" w:space="0" w:color="000000"/>
            </w:tcBorders>
            <w:shd w:val="clear" w:color="auto" w:fill="auto"/>
            <w:hideMark/>
          </w:tcPr>
          <w:p w14:paraId="76AA1661"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6297BAD"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307A802E"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66942094"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Administracion</w:t>
            </w:r>
            <w:proofErr w:type="spellEnd"/>
            <w:r w:rsidRPr="00875602">
              <w:rPr>
                <w:rFonts w:ascii="Calibri" w:hAnsi="Calibri"/>
                <w:color w:val="000000"/>
                <w:sz w:val="12"/>
                <w:szCs w:val="12"/>
                <w:lang w:val="es-CO" w:eastAsia="es-CO"/>
              </w:rPr>
              <w:t xml:space="preserve"> Central</w:t>
            </w:r>
          </w:p>
        </w:tc>
        <w:tc>
          <w:tcPr>
            <w:tcW w:w="0" w:type="auto"/>
            <w:tcBorders>
              <w:top w:val="nil"/>
              <w:left w:val="nil"/>
              <w:bottom w:val="single" w:sz="4" w:space="0" w:color="000000"/>
              <w:right w:val="single" w:sz="4" w:space="0" w:color="000000"/>
            </w:tcBorders>
            <w:shd w:val="clear" w:color="auto" w:fill="auto"/>
            <w:hideMark/>
          </w:tcPr>
          <w:p w14:paraId="5BB2ACA0"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0954E50"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470510</w:t>
            </w:r>
          </w:p>
        </w:tc>
        <w:tc>
          <w:tcPr>
            <w:tcW w:w="0" w:type="auto"/>
            <w:tcBorders>
              <w:top w:val="nil"/>
              <w:left w:val="nil"/>
              <w:bottom w:val="single" w:sz="4" w:space="0" w:color="000000"/>
              <w:right w:val="single" w:sz="4" w:space="0" w:color="000000"/>
            </w:tcBorders>
            <w:shd w:val="clear" w:color="auto" w:fill="auto"/>
            <w:hideMark/>
          </w:tcPr>
          <w:p w14:paraId="2AEA4B40"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Inversión</w:t>
            </w:r>
          </w:p>
        </w:tc>
        <w:tc>
          <w:tcPr>
            <w:tcW w:w="0" w:type="auto"/>
            <w:tcBorders>
              <w:top w:val="nil"/>
              <w:left w:val="nil"/>
              <w:bottom w:val="single" w:sz="4" w:space="0" w:color="000000"/>
              <w:right w:val="single" w:sz="4" w:space="0" w:color="000000"/>
            </w:tcBorders>
            <w:shd w:val="clear" w:color="auto" w:fill="auto"/>
            <w:hideMark/>
          </w:tcPr>
          <w:p w14:paraId="79559736"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472290</w:t>
            </w:r>
          </w:p>
        </w:tc>
        <w:tc>
          <w:tcPr>
            <w:tcW w:w="0" w:type="auto"/>
            <w:tcBorders>
              <w:top w:val="nil"/>
              <w:left w:val="nil"/>
              <w:bottom w:val="single" w:sz="4" w:space="0" w:color="000000"/>
              <w:right w:val="single" w:sz="4" w:space="0" w:color="000000"/>
            </w:tcBorders>
            <w:shd w:val="clear" w:color="auto" w:fill="auto"/>
            <w:hideMark/>
          </w:tcPr>
          <w:p w14:paraId="6396DEF6"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Otras operaciones sin flujo de efectivo</w:t>
            </w:r>
          </w:p>
        </w:tc>
        <w:tc>
          <w:tcPr>
            <w:tcW w:w="0" w:type="auto"/>
            <w:tcBorders>
              <w:top w:val="nil"/>
              <w:left w:val="nil"/>
              <w:bottom w:val="single" w:sz="4" w:space="0" w:color="000000"/>
              <w:right w:val="single" w:sz="4" w:space="0" w:color="000000"/>
            </w:tcBorders>
            <w:shd w:val="clear" w:color="auto" w:fill="auto"/>
            <w:hideMark/>
          </w:tcPr>
          <w:p w14:paraId="2DF47662"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D22908" w:rsidRPr="00875602" w14:paraId="2B4D6532"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2377D7C1"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479CB9C4"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2-50-10</w:t>
            </w:r>
          </w:p>
        </w:tc>
        <w:tc>
          <w:tcPr>
            <w:tcW w:w="0" w:type="auto"/>
            <w:tcBorders>
              <w:top w:val="nil"/>
              <w:left w:val="nil"/>
              <w:bottom w:val="single" w:sz="4" w:space="0" w:color="000000"/>
              <w:right w:val="single" w:sz="4" w:space="0" w:color="000000"/>
            </w:tcBorders>
            <w:shd w:val="clear" w:color="auto" w:fill="auto"/>
            <w:hideMark/>
          </w:tcPr>
          <w:p w14:paraId="628F65F3"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RENDIMIENTOS FINANCIEROS PAGADOS POR D.T.N A ENTIDADES DEL SCUN</w:t>
            </w:r>
          </w:p>
        </w:tc>
        <w:tc>
          <w:tcPr>
            <w:tcW w:w="0" w:type="auto"/>
            <w:tcBorders>
              <w:top w:val="nil"/>
              <w:left w:val="nil"/>
              <w:bottom w:val="single" w:sz="4" w:space="0" w:color="000000"/>
              <w:right w:val="single" w:sz="4" w:space="0" w:color="000000"/>
            </w:tcBorders>
            <w:shd w:val="clear" w:color="auto" w:fill="auto"/>
            <w:hideMark/>
          </w:tcPr>
          <w:p w14:paraId="3246FBA3"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68306651"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23D223EB"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4FB8B6D3"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Administracion</w:t>
            </w:r>
            <w:proofErr w:type="spellEnd"/>
            <w:r w:rsidRPr="00875602">
              <w:rPr>
                <w:rFonts w:ascii="Calibri" w:hAnsi="Calibri"/>
                <w:color w:val="000000"/>
                <w:sz w:val="12"/>
                <w:szCs w:val="12"/>
                <w:lang w:val="es-CO" w:eastAsia="es-CO"/>
              </w:rPr>
              <w:t xml:space="preserve"> Central</w:t>
            </w:r>
          </w:p>
        </w:tc>
        <w:tc>
          <w:tcPr>
            <w:tcW w:w="0" w:type="auto"/>
            <w:tcBorders>
              <w:top w:val="nil"/>
              <w:left w:val="nil"/>
              <w:bottom w:val="single" w:sz="4" w:space="0" w:color="000000"/>
              <w:right w:val="single" w:sz="4" w:space="0" w:color="000000"/>
            </w:tcBorders>
            <w:shd w:val="clear" w:color="auto" w:fill="auto"/>
            <w:hideMark/>
          </w:tcPr>
          <w:p w14:paraId="7C4AAF4A"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5833A6A3"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249015001</w:t>
            </w:r>
          </w:p>
        </w:tc>
        <w:tc>
          <w:tcPr>
            <w:tcW w:w="0" w:type="auto"/>
            <w:tcBorders>
              <w:top w:val="nil"/>
              <w:left w:val="nil"/>
              <w:bottom w:val="single" w:sz="4" w:space="0" w:color="000000"/>
              <w:right w:val="single" w:sz="4" w:space="0" w:color="000000"/>
            </w:tcBorders>
            <w:shd w:val="clear" w:color="auto" w:fill="auto"/>
            <w:hideMark/>
          </w:tcPr>
          <w:p w14:paraId="508CA5B0"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Obligaciones pagadas por terceros</w:t>
            </w:r>
          </w:p>
        </w:tc>
        <w:tc>
          <w:tcPr>
            <w:tcW w:w="0" w:type="auto"/>
            <w:tcBorders>
              <w:top w:val="nil"/>
              <w:left w:val="nil"/>
              <w:bottom w:val="single" w:sz="4" w:space="0" w:color="000000"/>
              <w:right w:val="single" w:sz="4" w:space="0" w:color="000000"/>
            </w:tcBorders>
            <w:shd w:val="clear" w:color="auto" w:fill="auto"/>
            <w:hideMark/>
          </w:tcPr>
          <w:p w14:paraId="3EBD2F0C"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472290</w:t>
            </w:r>
          </w:p>
        </w:tc>
        <w:tc>
          <w:tcPr>
            <w:tcW w:w="0" w:type="auto"/>
            <w:tcBorders>
              <w:top w:val="nil"/>
              <w:left w:val="nil"/>
              <w:bottom w:val="single" w:sz="4" w:space="0" w:color="000000"/>
              <w:right w:val="single" w:sz="4" w:space="0" w:color="000000"/>
            </w:tcBorders>
            <w:shd w:val="clear" w:color="auto" w:fill="auto"/>
            <w:hideMark/>
          </w:tcPr>
          <w:p w14:paraId="7AC2BE97"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Otras operaciones sin flujo de efectivo</w:t>
            </w:r>
          </w:p>
        </w:tc>
        <w:tc>
          <w:tcPr>
            <w:tcW w:w="0" w:type="auto"/>
            <w:tcBorders>
              <w:top w:val="nil"/>
              <w:left w:val="nil"/>
              <w:bottom w:val="single" w:sz="4" w:space="0" w:color="000000"/>
              <w:right w:val="single" w:sz="4" w:space="0" w:color="000000"/>
            </w:tcBorders>
            <w:shd w:val="clear" w:color="auto" w:fill="auto"/>
            <w:hideMark/>
          </w:tcPr>
          <w:p w14:paraId="1C16A1E4"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r w:rsidR="00D22908" w:rsidRPr="00875602" w14:paraId="2E09DFC8" w14:textId="77777777" w:rsidTr="00BC6C88">
        <w:trPr>
          <w:trHeight w:val="600"/>
          <w:jc w:val="center"/>
        </w:trPr>
        <w:tc>
          <w:tcPr>
            <w:tcW w:w="642" w:type="dxa"/>
            <w:tcBorders>
              <w:top w:val="nil"/>
              <w:left w:val="single" w:sz="4" w:space="0" w:color="000000"/>
              <w:bottom w:val="single" w:sz="4" w:space="0" w:color="000000"/>
              <w:right w:val="single" w:sz="4" w:space="0" w:color="000000"/>
            </w:tcBorders>
            <w:shd w:val="clear" w:color="auto" w:fill="auto"/>
            <w:hideMark/>
          </w:tcPr>
          <w:p w14:paraId="532FFFF0" w14:textId="77777777" w:rsidR="00D22908" w:rsidRPr="00875602" w:rsidRDefault="00D22908" w:rsidP="00D22908">
            <w:pPr>
              <w:rPr>
                <w:rFonts w:ascii="Calibri" w:hAnsi="Calibri"/>
                <w:color w:val="000000"/>
                <w:sz w:val="12"/>
                <w:szCs w:val="12"/>
                <w:lang w:val="es-CO" w:eastAsia="es-CO"/>
              </w:rPr>
            </w:pPr>
            <w:proofErr w:type="spellStart"/>
            <w:r w:rsidRPr="00875602">
              <w:rPr>
                <w:rFonts w:ascii="Calibri" w:hAnsi="Calibri"/>
                <w:color w:val="000000"/>
                <w:sz w:val="12"/>
                <w:szCs w:val="12"/>
                <w:lang w:val="es-CO" w:eastAsia="es-CO"/>
              </w:rPr>
              <w:t>RxCCompsnDedcns</w:t>
            </w:r>
            <w:proofErr w:type="spellEnd"/>
          </w:p>
        </w:tc>
        <w:tc>
          <w:tcPr>
            <w:tcW w:w="1220" w:type="dxa"/>
            <w:tcBorders>
              <w:top w:val="nil"/>
              <w:left w:val="nil"/>
              <w:bottom w:val="single" w:sz="4" w:space="0" w:color="000000"/>
              <w:right w:val="single" w:sz="4" w:space="0" w:color="000000"/>
            </w:tcBorders>
            <w:shd w:val="clear" w:color="auto" w:fill="auto"/>
            <w:hideMark/>
          </w:tcPr>
          <w:p w14:paraId="737A6CAE"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2-50-10</w:t>
            </w:r>
          </w:p>
        </w:tc>
        <w:tc>
          <w:tcPr>
            <w:tcW w:w="0" w:type="auto"/>
            <w:tcBorders>
              <w:top w:val="nil"/>
              <w:left w:val="nil"/>
              <w:bottom w:val="single" w:sz="4" w:space="0" w:color="000000"/>
              <w:right w:val="single" w:sz="4" w:space="0" w:color="000000"/>
            </w:tcBorders>
            <w:shd w:val="clear" w:color="auto" w:fill="auto"/>
            <w:hideMark/>
          </w:tcPr>
          <w:p w14:paraId="3AA84EE4"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RENDIMIENTOS FINANCIEROS PAGADOS POR D.T.N A ENTIDADES DEL SCUN</w:t>
            </w:r>
          </w:p>
        </w:tc>
        <w:tc>
          <w:tcPr>
            <w:tcW w:w="0" w:type="auto"/>
            <w:tcBorders>
              <w:top w:val="nil"/>
              <w:left w:val="nil"/>
              <w:bottom w:val="single" w:sz="4" w:space="0" w:color="000000"/>
              <w:right w:val="single" w:sz="4" w:space="0" w:color="000000"/>
            </w:tcBorders>
            <w:shd w:val="clear" w:color="auto" w:fill="auto"/>
            <w:hideMark/>
          </w:tcPr>
          <w:p w14:paraId="65E74815"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4C543DD"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4EC96740"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1F8AE6BB"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Establecimiento Publico</w:t>
            </w:r>
          </w:p>
        </w:tc>
        <w:tc>
          <w:tcPr>
            <w:tcW w:w="0" w:type="auto"/>
            <w:tcBorders>
              <w:top w:val="nil"/>
              <w:left w:val="nil"/>
              <w:bottom w:val="single" w:sz="4" w:space="0" w:color="000000"/>
              <w:right w:val="single" w:sz="4" w:space="0" w:color="000000"/>
            </w:tcBorders>
            <w:shd w:val="clear" w:color="auto" w:fill="auto"/>
            <w:hideMark/>
          </w:tcPr>
          <w:p w14:paraId="2EC25DAA" w14:textId="77777777" w:rsidR="00D22908" w:rsidRPr="00875602" w:rsidRDefault="00D22908" w:rsidP="00D22908">
            <w:pPr>
              <w:jc w:val="center"/>
              <w:rPr>
                <w:rFonts w:ascii="Calibri" w:hAnsi="Calibri"/>
                <w:color w:val="000000"/>
                <w:sz w:val="12"/>
                <w:szCs w:val="12"/>
                <w:lang w:val="es-CO" w:eastAsia="es-CO"/>
              </w:rPr>
            </w:pPr>
            <w:r w:rsidRPr="00875602">
              <w:rPr>
                <w:rFonts w:ascii="Calibri" w:hAnsi="Calibri"/>
                <w:color w:val="000000"/>
                <w:sz w:val="12"/>
                <w:szCs w:val="12"/>
                <w:lang w:val="es-CO" w:eastAsia="es-CO"/>
              </w:rPr>
              <w:t>NO</w:t>
            </w:r>
          </w:p>
        </w:tc>
        <w:tc>
          <w:tcPr>
            <w:tcW w:w="0" w:type="auto"/>
            <w:tcBorders>
              <w:top w:val="nil"/>
              <w:left w:val="nil"/>
              <w:bottom w:val="single" w:sz="4" w:space="0" w:color="000000"/>
              <w:right w:val="single" w:sz="4" w:space="0" w:color="000000"/>
            </w:tcBorders>
            <w:shd w:val="clear" w:color="auto" w:fill="auto"/>
            <w:hideMark/>
          </w:tcPr>
          <w:p w14:paraId="71901267"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249015001</w:t>
            </w:r>
          </w:p>
        </w:tc>
        <w:tc>
          <w:tcPr>
            <w:tcW w:w="0" w:type="auto"/>
            <w:tcBorders>
              <w:top w:val="nil"/>
              <w:left w:val="nil"/>
              <w:bottom w:val="single" w:sz="4" w:space="0" w:color="000000"/>
              <w:right w:val="single" w:sz="4" w:space="0" w:color="000000"/>
            </w:tcBorders>
            <w:shd w:val="clear" w:color="auto" w:fill="auto"/>
            <w:hideMark/>
          </w:tcPr>
          <w:p w14:paraId="3F1EFCD8"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Obligaciones pagadas por terceros</w:t>
            </w:r>
          </w:p>
        </w:tc>
        <w:tc>
          <w:tcPr>
            <w:tcW w:w="0" w:type="auto"/>
            <w:tcBorders>
              <w:top w:val="nil"/>
              <w:left w:val="nil"/>
              <w:bottom w:val="single" w:sz="4" w:space="0" w:color="000000"/>
              <w:right w:val="single" w:sz="4" w:space="0" w:color="000000"/>
            </w:tcBorders>
            <w:shd w:val="clear" w:color="auto" w:fill="auto"/>
            <w:hideMark/>
          </w:tcPr>
          <w:p w14:paraId="22D6B506"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472290</w:t>
            </w:r>
          </w:p>
        </w:tc>
        <w:tc>
          <w:tcPr>
            <w:tcW w:w="0" w:type="auto"/>
            <w:tcBorders>
              <w:top w:val="nil"/>
              <w:left w:val="nil"/>
              <w:bottom w:val="single" w:sz="4" w:space="0" w:color="000000"/>
              <w:right w:val="single" w:sz="4" w:space="0" w:color="000000"/>
            </w:tcBorders>
            <w:shd w:val="clear" w:color="auto" w:fill="auto"/>
            <w:hideMark/>
          </w:tcPr>
          <w:p w14:paraId="21EB76C1"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Otras operaciones sin flujo de efectivo</w:t>
            </w:r>
          </w:p>
        </w:tc>
        <w:tc>
          <w:tcPr>
            <w:tcW w:w="0" w:type="auto"/>
            <w:tcBorders>
              <w:top w:val="nil"/>
              <w:left w:val="nil"/>
              <w:bottom w:val="single" w:sz="4" w:space="0" w:color="000000"/>
              <w:right w:val="single" w:sz="4" w:space="0" w:color="000000"/>
            </w:tcBorders>
            <w:shd w:val="clear" w:color="auto" w:fill="auto"/>
            <w:hideMark/>
          </w:tcPr>
          <w:p w14:paraId="6137A034" w14:textId="77777777" w:rsidR="00D22908" w:rsidRPr="00875602" w:rsidRDefault="00D22908" w:rsidP="00D22908">
            <w:pPr>
              <w:rPr>
                <w:rFonts w:ascii="Calibri" w:hAnsi="Calibri"/>
                <w:color w:val="000000"/>
                <w:sz w:val="12"/>
                <w:szCs w:val="12"/>
                <w:lang w:val="es-CO" w:eastAsia="es-CO"/>
              </w:rPr>
            </w:pPr>
            <w:r w:rsidRPr="00875602">
              <w:rPr>
                <w:rFonts w:ascii="Calibri" w:hAnsi="Calibri"/>
                <w:color w:val="000000"/>
                <w:sz w:val="12"/>
                <w:szCs w:val="12"/>
                <w:lang w:val="es-CO" w:eastAsia="es-CO"/>
              </w:rPr>
              <w:t> </w:t>
            </w:r>
          </w:p>
        </w:tc>
      </w:tr>
    </w:tbl>
    <w:p w14:paraId="4BDABCEB" w14:textId="77777777" w:rsidR="00D22908" w:rsidRPr="004F1786" w:rsidRDefault="00D22908" w:rsidP="004F1786">
      <w:pPr>
        <w:spacing w:line="288" w:lineRule="auto"/>
        <w:jc w:val="both"/>
        <w:rPr>
          <w:rFonts w:ascii="Arial" w:hAnsi="Arial" w:cs="Arial"/>
          <w:sz w:val="22"/>
          <w:szCs w:val="22"/>
        </w:rPr>
      </w:pPr>
    </w:p>
    <w:p w14:paraId="218E653B" w14:textId="77777777" w:rsidR="00D22908" w:rsidRPr="001D2485" w:rsidRDefault="00D22908" w:rsidP="00CA76B9">
      <w:pPr>
        <w:spacing w:line="288" w:lineRule="auto"/>
        <w:rPr>
          <w:rFonts w:ascii="Arial" w:hAnsi="Arial" w:cs="Arial"/>
          <w:b/>
          <w:color w:val="000000"/>
          <w:sz w:val="22"/>
          <w:szCs w:val="22"/>
        </w:rPr>
      </w:pPr>
      <w:r w:rsidRPr="001D2485">
        <w:rPr>
          <w:rFonts w:ascii="Arial" w:hAnsi="Arial" w:cs="Arial"/>
          <w:b/>
          <w:color w:val="000000"/>
          <w:sz w:val="22"/>
          <w:szCs w:val="22"/>
        </w:rPr>
        <w:t>Recaudo por clasificar - compensación externa</w:t>
      </w:r>
    </w:p>
    <w:p w14:paraId="6ECE4473" w14:textId="77777777" w:rsidR="00D22908" w:rsidRPr="00A0134B" w:rsidRDefault="00D22908" w:rsidP="00CA76B9">
      <w:pPr>
        <w:spacing w:line="288" w:lineRule="auto"/>
        <w:rPr>
          <w:rFonts w:ascii="Arial" w:hAnsi="Arial" w:cs="Arial"/>
          <w:sz w:val="22"/>
          <w:szCs w:val="22"/>
        </w:rPr>
      </w:pPr>
    </w:p>
    <w:p w14:paraId="7A24DC92" w14:textId="77777777" w:rsidR="00D22908" w:rsidRPr="00A0134B" w:rsidRDefault="00D22908"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Este tipo de registro permite cancelar el pasivo constituido por devoluciones de ingresos presupuestales, previamente reconocido como un acreedor en la ECP y, a través de la compensación, cancelar los derechos de cobro reconocidos en una ECP diferente. Requiere que tanto el deudor como el acreedor correspondan al mismo tercero.</w:t>
      </w:r>
    </w:p>
    <w:p w14:paraId="732EC359" w14:textId="77777777" w:rsidR="00D22908" w:rsidRPr="00A0134B" w:rsidRDefault="00D22908" w:rsidP="00CA76B9">
      <w:pPr>
        <w:pStyle w:val="unico"/>
        <w:spacing w:before="0" w:beforeAutospacing="0" w:after="0" w:afterAutospacing="0" w:line="288" w:lineRule="auto"/>
        <w:jc w:val="both"/>
        <w:rPr>
          <w:rFonts w:ascii="Arial" w:hAnsi="Arial" w:cs="Arial"/>
          <w:color w:val="000000"/>
          <w:sz w:val="22"/>
          <w:szCs w:val="22"/>
        </w:rPr>
      </w:pPr>
    </w:p>
    <w:p w14:paraId="64092657" w14:textId="77777777" w:rsidR="00D22908" w:rsidRPr="00A0134B" w:rsidRDefault="00D22908"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En esta transacción, el efecto contable en el débito corresponde a la disminución del acreedor constituido en la devolución, con crédito en la subcuenta 472290-otras operaciones sin flujo de efectivo de la cuenta 4722-operaciones sin flujo de efectivo, cuya recíproca se encuentra registrada en el </w:t>
      </w:r>
      <w:r w:rsidRPr="004D36C1">
        <w:rPr>
          <w:rFonts w:ascii="Arial" w:hAnsi="Arial" w:cs="Arial"/>
          <w:i/>
          <w:iCs/>
          <w:color w:val="000000"/>
          <w:sz w:val="22"/>
          <w:szCs w:val="22"/>
        </w:rPr>
        <w:t>“tipo de registro recaudo básico por compensación externa”</w:t>
      </w:r>
      <w:r w:rsidRPr="00A0134B">
        <w:rPr>
          <w:rFonts w:ascii="Arial" w:hAnsi="Arial" w:cs="Arial"/>
          <w:color w:val="000000"/>
          <w:sz w:val="22"/>
          <w:szCs w:val="22"/>
        </w:rPr>
        <w:t>.</w:t>
      </w:r>
    </w:p>
    <w:p w14:paraId="4E10BEEE" w14:textId="77777777" w:rsidR="00D22908" w:rsidRPr="00A0134B" w:rsidRDefault="00D22908" w:rsidP="00CA76B9">
      <w:pPr>
        <w:pStyle w:val="unico"/>
        <w:spacing w:before="0" w:beforeAutospacing="0" w:after="0" w:afterAutospacing="0" w:line="288" w:lineRule="auto"/>
        <w:jc w:val="both"/>
        <w:rPr>
          <w:rFonts w:ascii="Arial" w:hAnsi="Arial" w:cs="Arial"/>
          <w:color w:val="000000"/>
          <w:sz w:val="22"/>
          <w:szCs w:val="22"/>
        </w:rPr>
      </w:pPr>
    </w:p>
    <w:p w14:paraId="73799CCE" w14:textId="77777777" w:rsidR="00D22908" w:rsidRPr="00A0134B" w:rsidRDefault="00D22908"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w:t>
      </w:r>
      <w:r w:rsidRPr="004D36C1">
        <w:rPr>
          <w:rFonts w:ascii="Arial" w:hAnsi="Arial" w:cs="Arial"/>
          <w:i/>
          <w:iCs/>
          <w:color w:val="000000"/>
          <w:sz w:val="22"/>
          <w:szCs w:val="22"/>
        </w:rPr>
        <w:t>“tipo de registro”</w:t>
      </w:r>
      <w:r w:rsidRPr="00A0134B">
        <w:rPr>
          <w:rFonts w:ascii="Arial" w:hAnsi="Arial" w:cs="Arial"/>
          <w:color w:val="000000"/>
          <w:sz w:val="22"/>
          <w:szCs w:val="22"/>
        </w:rPr>
        <w:t xml:space="preserve"> de esta compensación está definido en la tabla TCON11-recaudos para cada rubro, con val</w:t>
      </w:r>
      <w:r w:rsidR="0050531D" w:rsidRPr="00A0134B">
        <w:rPr>
          <w:rFonts w:ascii="Arial" w:hAnsi="Arial" w:cs="Arial"/>
          <w:color w:val="000000"/>
          <w:sz w:val="22"/>
          <w:szCs w:val="22"/>
        </w:rPr>
        <w:t xml:space="preserve">or “NO” en la marca </w:t>
      </w:r>
      <w:r w:rsidR="0050531D" w:rsidRPr="004D36C1">
        <w:rPr>
          <w:rFonts w:ascii="Arial" w:hAnsi="Arial" w:cs="Arial"/>
          <w:i/>
          <w:iCs/>
          <w:color w:val="000000"/>
          <w:sz w:val="22"/>
          <w:szCs w:val="22"/>
        </w:rPr>
        <w:t>“misma ECP”.</w:t>
      </w:r>
      <w:r w:rsidR="0050531D" w:rsidRPr="00A0134B">
        <w:rPr>
          <w:rFonts w:ascii="Arial" w:hAnsi="Arial" w:cs="Arial"/>
          <w:color w:val="000000"/>
          <w:sz w:val="22"/>
          <w:szCs w:val="22"/>
        </w:rPr>
        <w:t xml:space="preserve"> </w:t>
      </w:r>
    </w:p>
    <w:p w14:paraId="1B817DB4"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51C02766" w14:textId="77777777" w:rsidR="0050531D" w:rsidRPr="001D2485" w:rsidRDefault="0050531D" w:rsidP="00CA76B9">
      <w:pPr>
        <w:spacing w:line="288" w:lineRule="auto"/>
        <w:rPr>
          <w:rFonts w:ascii="Arial" w:hAnsi="Arial" w:cs="Arial"/>
          <w:b/>
          <w:color w:val="000000"/>
          <w:sz w:val="22"/>
          <w:szCs w:val="22"/>
        </w:rPr>
      </w:pPr>
      <w:r w:rsidRPr="001D2485">
        <w:rPr>
          <w:rFonts w:ascii="Arial" w:hAnsi="Arial" w:cs="Arial"/>
          <w:b/>
          <w:color w:val="000000"/>
          <w:sz w:val="22"/>
          <w:szCs w:val="22"/>
        </w:rPr>
        <w:t>Recaudo básico-documento de recaudo por clasificar en bancos</w:t>
      </w:r>
    </w:p>
    <w:p w14:paraId="53B4590F" w14:textId="77777777" w:rsidR="003C766E" w:rsidRPr="00A0134B" w:rsidRDefault="003C766E" w:rsidP="00CA76B9">
      <w:pPr>
        <w:spacing w:line="288" w:lineRule="auto"/>
        <w:rPr>
          <w:rFonts w:ascii="Arial" w:hAnsi="Arial" w:cs="Arial"/>
          <w:sz w:val="22"/>
          <w:szCs w:val="22"/>
        </w:rPr>
      </w:pPr>
    </w:p>
    <w:p w14:paraId="48C96898" w14:textId="77777777" w:rsidR="0050531D" w:rsidRPr="00A0134B" w:rsidRDefault="00786059"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tipo de registro </w:t>
      </w:r>
      <w:r w:rsidRPr="004D36C1">
        <w:rPr>
          <w:rFonts w:ascii="Arial" w:hAnsi="Arial" w:cs="Arial"/>
          <w:i/>
          <w:iCs/>
          <w:color w:val="000000"/>
          <w:sz w:val="22"/>
          <w:szCs w:val="22"/>
        </w:rPr>
        <w:t>“R</w:t>
      </w:r>
      <w:r w:rsidR="0050531D" w:rsidRPr="004D36C1">
        <w:rPr>
          <w:rFonts w:ascii="Arial" w:hAnsi="Arial" w:cs="Arial"/>
          <w:i/>
          <w:iCs/>
          <w:color w:val="000000"/>
          <w:sz w:val="22"/>
          <w:szCs w:val="22"/>
        </w:rPr>
        <w:t xml:space="preserve">ecaudo básico-documento de recaudo por clasificar en bancos” </w:t>
      </w:r>
      <w:r w:rsidR="0050531D" w:rsidRPr="00A0134B">
        <w:rPr>
          <w:rFonts w:ascii="Arial" w:hAnsi="Arial" w:cs="Arial"/>
          <w:color w:val="000000"/>
          <w:sz w:val="22"/>
          <w:szCs w:val="22"/>
        </w:rPr>
        <w:t>co</w:t>
      </w:r>
      <w:r w:rsidRPr="00A0134B">
        <w:rPr>
          <w:rFonts w:ascii="Arial" w:hAnsi="Arial" w:cs="Arial"/>
          <w:color w:val="000000"/>
          <w:sz w:val="22"/>
          <w:szCs w:val="22"/>
        </w:rPr>
        <w:t xml:space="preserve">mplementa el tipo de registro </w:t>
      </w:r>
      <w:r w:rsidRPr="004D36C1">
        <w:rPr>
          <w:rFonts w:ascii="Arial" w:hAnsi="Arial" w:cs="Arial"/>
          <w:i/>
          <w:iCs/>
          <w:color w:val="000000"/>
          <w:sz w:val="22"/>
          <w:szCs w:val="22"/>
        </w:rPr>
        <w:t>“R</w:t>
      </w:r>
      <w:r w:rsidR="0050531D" w:rsidRPr="004D36C1">
        <w:rPr>
          <w:rFonts w:ascii="Arial" w:hAnsi="Arial" w:cs="Arial"/>
          <w:i/>
          <w:iCs/>
          <w:color w:val="000000"/>
          <w:sz w:val="22"/>
          <w:szCs w:val="22"/>
        </w:rPr>
        <w:t>ecaudo por clasificar en bancos”</w:t>
      </w:r>
      <w:r w:rsidR="0050531D" w:rsidRPr="00A0134B">
        <w:rPr>
          <w:rFonts w:ascii="Arial" w:hAnsi="Arial" w:cs="Arial"/>
          <w:color w:val="000000"/>
          <w:sz w:val="22"/>
          <w:szCs w:val="22"/>
        </w:rPr>
        <w:t xml:space="preserve"> y permite la disminución de los derechos constituidos en la </w:t>
      </w:r>
      <w:proofErr w:type="spellStart"/>
      <w:r w:rsidR="0050531D" w:rsidRPr="00A0134B">
        <w:rPr>
          <w:rFonts w:ascii="Arial" w:hAnsi="Arial" w:cs="Arial"/>
          <w:color w:val="000000"/>
          <w:sz w:val="22"/>
          <w:szCs w:val="22"/>
        </w:rPr>
        <w:t>causación</w:t>
      </w:r>
      <w:proofErr w:type="spellEnd"/>
      <w:r w:rsidR="0050531D" w:rsidRPr="00A0134B">
        <w:rPr>
          <w:rFonts w:ascii="Arial" w:hAnsi="Arial" w:cs="Arial"/>
          <w:color w:val="000000"/>
          <w:sz w:val="22"/>
          <w:szCs w:val="22"/>
        </w:rPr>
        <w:t xml:space="preserve"> de ingresos. </w:t>
      </w:r>
      <w:r w:rsidRPr="00A0134B">
        <w:rPr>
          <w:rFonts w:ascii="Arial" w:hAnsi="Arial" w:cs="Arial"/>
          <w:color w:val="000000"/>
          <w:sz w:val="22"/>
          <w:szCs w:val="22"/>
        </w:rPr>
        <w:t>Además,</w:t>
      </w:r>
      <w:r w:rsidR="0050531D" w:rsidRPr="00A0134B">
        <w:rPr>
          <w:rFonts w:ascii="Arial" w:hAnsi="Arial" w:cs="Arial"/>
          <w:color w:val="000000"/>
          <w:sz w:val="22"/>
          <w:szCs w:val="22"/>
        </w:rPr>
        <w:t xml:space="preserve"> constituye una </w:t>
      </w:r>
      <w:r w:rsidR="0050531D" w:rsidRPr="00A0134B">
        <w:rPr>
          <w:rFonts w:ascii="Arial" w:hAnsi="Arial" w:cs="Arial"/>
          <w:color w:val="000000"/>
          <w:sz w:val="22"/>
          <w:szCs w:val="22"/>
        </w:rPr>
        <w:lastRenderedPageBreak/>
        <w:t>operación de enlace por el recaudo con la tesorería centralizada-DTN o, tratándose del recaudo en la tesorería de la entidad, registra la disminución del pasivo correspondiente al recaudo por clasificar.</w:t>
      </w:r>
    </w:p>
    <w:p w14:paraId="71BE6861"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30B75749"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tabla de eventos c</w:t>
      </w:r>
      <w:r w:rsidR="00786059" w:rsidRPr="00A0134B">
        <w:rPr>
          <w:rFonts w:ascii="Arial" w:hAnsi="Arial" w:cs="Arial"/>
          <w:color w:val="000000"/>
          <w:sz w:val="22"/>
          <w:szCs w:val="22"/>
        </w:rPr>
        <w:t>ontables TCON11-R</w:t>
      </w:r>
      <w:r w:rsidRPr="00A0134B">
        <w:rPr>
          <w:rFonts w:ascii="Arial" w:hAnsi="Arial" w:cs="Arial"/>
          <w:color w:val="000000"/>
          <w:sz w:val="22"/>
          <w:szCs w:val="22"/>
        </w:rPr>
        <w:t xml:space="preserve">ecaudos contiene, además del tipo de registro, el rubro presupuestal de ingresos, la vigencia presupuestal, la ECP responsable del recaudo y la marca </w:t>
      </w:r>
      <w:r w:rsidRPr="004D36C1">
        <w:rPr>
          <w:rFonts w:ascii="Arial" w:hAnsi="Arial" w:cs="Arial"/>
          <w:i/>
          <w:iCs/>
          <w:color w:val="000000"/>
          <w:sz w:val="22"/>
          <w:szCs w:val="22"/>
        </w:rPr>
        <w:t>“misma ECP”</w:t>
      </w:r>
      <w:r w:rsidRPr="00A0134B">
        <w:rPr>
          <w:rFonts w:ascii="Arial" w:hAnsi="Arial" w:cs="Arial"/>
          <w:color w:val="000000"/>
          <w:sz w:val="22"/>
          <w:szCs w:val="22"/>
        </w:rPr>
        <w:t xml:space="preserve"> que permite definir el registro contable.</w:t>
      </w:r>
    </w:p>
    <w:p w14:paraId="049C63B7"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7EAA0EEF" w14:textId="77777777" w:rsidR="0050531D" w:rsidRPr="00A0134B" w:rsidRDefault="00157AF2"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Por lo tanto, la marca </w:t>
      </w:r>
      <w:r w:rsidRPr="004D36C1">
        <w:rPr>
          <w:rFonts w:ascii="Arial" w:hAnsi="Arial" w:cs="Arial"/>
          <w:i/>
          <w:iCs/>
          <w:color w:val="000000"/>
          <w:sz w:val="22"/>
          <w:szCs w:val="22"/>
        </w:rPr>
        <w:t>“M</w:t>
      </w:r>
      <w:r w:rsidR="0050531D" w:rsidRPr="004D36C1">
        <w:rPr>
          <w:rFonts w:ascii="Arial" w:hAnsi="Arial" w:cs="Arial"/>
          <w:i/>
          <w:iCs/>
          <w:color w:val="000000"/>
          <w:sz w:val="22"/>
          <w:szCs w:val="22"/>
        </w:rPr>
        <w:t>isma ECP”,</w:t>
      </w:r>
      <w:r w:rsidR="0050531D" w:rsidRPr="00A0134B">
        <w:rPr>
          <w:rFonts w:ascii="Arial" w:hAnsi="Arial" w:cs="Arial"/>
          <w:color w:val="000000"/>
          <w:sz w:val="22"/>
          <w:szCs w:val="22"/>
        </w:rPr>
        <w:t xml:space="preserve"> con valor “Sí” o “NO”, identifica si el código de consolidación de la PCI que originó el “recaudo por clasificar”, es igual o diferente del código de consolidación de la PCI responsable de la imputación del recaudo, y permite definir si el registro es una operación de enlace o el pasivo que identifica el recaudo por clasificar.</w:t>
      </w:r>
    </w:p>
    <w:p w14:paraId="5D0BF48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2EB0320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del recaudo básico en bancos, para la ECP a la cual corresponde la PCI responsable de la imputación del recaudo, es decir, la que tiene registrado el derecho, es un débito en la subcuenta 572080-recaudos, de la cuenta 5720-operaciones de enlace, con crédito en el derecho que origina la operación,</w:t>
      </w:r>
      <w:r w:rsidR="00F742BB" w:rsidRPr="00A0134B">
        <w:rPr>
          <w:rFonts w:ascii="Arial" w:hAnsi="Arial" w:cs="Arial"/>
          <w:color w:val="000000"/>
          <w:sz w:val="22"/>
          <w:szCs w:val="22"/>
        </w:rPr>
        <w:t xml:space="preserve"> cuando la PCI que originó el “R</w:t>
      </w:r>
      <w:r w:rsidRPr="00A0134B">
        <w:rPr>
          <w:rFonts w:ascii="Arial" w:hAnsi="Arial" w:cs="Arial"/>
          <w:color w:val="000000"/>
          <w:sz w:val="22"/>
          <w:szCs w:val="22"/>
        </w:rPr>
        <w:t>ecaudo por clasificar” es la tesorería centralizada (Dirección del Tesoro Nacional).</w:t>
      </w:r>
    </w:p>
    <w:p w14:paraId="387B7090"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729A051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Cuando la PCI que originó el “recaudo por clasificar” tiene el mismo código de consolidación que la PCI responsable de la imputación del recaudo, es decir, los recaudos se consignan en la tesorería de la entidad, el registro contable del “recaudo básico en bancos”, es un débito en la subcuenta </w:t>
      </w:r>
      <w:r w:rsidR="008E0C40" w:rsidRPr="00A0134B">
        <w:rPr>
          <w:rFonts w:ascii="Arial" w:hAnsi="Arial" w:cs="Arial"/>
          <w:color w:val="000000"/>
          <w:sz w:val="22"/>
          <w:szCs w:val="22"/>
        </w:rPr>
        <w:t>240720-Re</w:t>
      </w:r>
      <w:r w:rsidRPr="00A0134B">
        <w:rPr>
          <w:rFonts w:ascii="Arial" w:hAnsi="Arial" w:cs="Arial"/>
          <w:color w:val="000000"/>
          <w:sz w:val="22"/>
          <w:szCs w:val="22"/>
        </w:rPr>
        <w:t xml:space="preserve">caudos por clasificar, de la cuenta </w:t>
      </w:r>
      <w:r w:rsidR="008E0C40" w:rsidRPr="00A0134B">
        <w:rPr>
          <w:rFonts w:ascii="Arial" w:hAnsi="Arial" w:cs="Arial"/>
          <w:color w:val="000000"/>
          <w:sz w:val="22"/>
          <w:szCs w:val="22"/>
        </w:rPr>
        <w:t>2407</w:t>
      </w:r>
      <w:r w:rsidRPr="00A0134B">
        <w:rPr>
          <w:rFonts w:ascii="Arial" w:hAnsi="Arial" w:cs="Arial"/>
          <w:color w:val="000000"/>
          <w:sz w:val="22"/>
          <w:szCs w:val="22"/>
        </w:rPr>
        <w:t>-</w:t>
      </w:r>
      <w:r w:rsidR="008E0C40" w:rsidRPr="00A0134B">
        <w:rPr>
          <w:rFonts w:ascii="Arial" w:hAnsi="Arial" w:cs="Arial"/>
          <w:color w:val="000000"/>
          <w:sz w:val="22"/>
          <w:szCs w:val="22"/>
        </w:rPr>
        <w:t xml:space="preserve">Recursos a favor de terceros </w:t>
      </w:r>
      <w:r w:rsidRPr="00A0134B">
        <w:rPr>
          <w:rFonts w:ascii="Arial" w:hAnsi="Arial" w:cs="Arial"/>
          <w:color w:val="000000"/>
          <w:sz w:val="22"/>
          <w:szCs w:val="22"/>
        </w:rPr>
        <w:t>con crédito en el derecho.</w:t>
      </w:r>
    </w:p>
    <w:p w14:paraId="19C37B0A"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7B53DD0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 esta operación está definido en la tabla TCON11-recaudos, y se complementa con los datos definidos al crear la cuenta bancaria</w:t>
      </w:r>
      <w:r w:rsidR="008E0C40" w:rsidRPr="00A0134B">
        <w:rPr>
          <w:rFonts w:ascii="Arial" w:hAnsi="Arial" w:cs="Arial"/>
          <w:color w:val="000000"/>
          <w:sz w:val="22"/>
          <w:szCs w:val="22"/>
        </w:rPr>
        <w:t>.</w:t>
      </w:r>
    </w:p>
    <w:p w14:paraId="5B52A6A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0CCFA072"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sistema permite registrar recaudos básicos de documentos de recaudo por clasificar en bancos, en una moneda diferente a la que se registró en la </w:t>
      </w:r>
      <w:proofErr w:type="spellStart"/>
      <w:r w:rsidRPr="00A0134B">
        <w:rPr>
          <w:rFonts w:ascii="Arial" w:hAnsi="Arial" w:cs="Arial"/>
          <w:color w:val="000000"/>
          <w:sz w:val="22"/>
          <w:szCs w:val="22"/>
        </w:rPr>
        <w:t>causación</w:t>
      </w:r>
      <w:proofErr w:type="spellEnd"/>
      <w:r w:rsidRPr="00A0134B">
        <w:rPr>
          <w:rFonts w:ascii="Arial" w:hAnsi="Arial" w:cs="Arial"/>
          <w:color w:val="000000"/>
          <w:sz w:val="22"/>
          <w:szCs w:val="22"/>
        </w:rPr>
        <w:t xml:space="preserve">. Esta operación genera un diferencial cambiario positivo o negativo, al comparar la tasa de cambio en el momento de la causación con la tasa de cambio en el momento del recaudo. En este caso, su reconocimiento se hace con un registro contable adicional que se obtendrá </w:t>
      </w:r>
      <w:r w:rsidR="00756EB3" w:rsidRPr="00A0134B">
        <w:rPr>
          <w:rFonts w:ascii="Arial" w:hAnsi="Arial" w:cs="Arial"/>
          <w:color w:val="000000"/>
          <w:sz w:val="22"/>
          <w:szCs w:val="22"/>
        </w:rPr>
        <w:t>de la columna “código contable H</w:t>
      </w:r>
      <w:r w:rsidRPr="00A0134B">
        <w:rPr>
          <w:rFonts w:ascii="Arial" w:hAnsi="Arial" w:cs="Arial"/>
          <w:color w:val="000000"/>
          <w:sz w:val="22"/>
          <w:szCs w:val="22"/>
        </w:rPr>
        <w:t>aber</w:t>
      </w:r>
      <w:r w:rsidR="00756EB3" w:rsidRPr="00A0134B">
        <w:rPr>
          <w:rFonts w:ascii="Arial" w:hAnsi="Arial" w:cs="Arial"/>
          <w:color w:val="000000"/>
          <w:sz w:val="22"/>
          <w:szCs w:val="22"/>
        </w:rPr>
        <w:t>” o “código contable D</w:t>
      </w:r>
      <w:r w:rsidRPr="00A0134B">
        <w:rPr>
          <w:rFonts w:ascii="Arial" w:hAnsi="Arial" w:cs="Arial"/>
          <w:color w:val="000000"/>
          <w:sz w:val="22"/>
          <w:szCs w:val="22"/>
        </w:rPr>
        <w:t>ebe” de la tabla de eventos TCON10, por el valor positivo o negativo del diferencial cambiario respectivamente.</w:t>
      </w:r>
    </w:p>
    <w:p w14:paraId="144AF81A"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1B1CCA40" w14:textId="77777777" w:rsidR="0050531D" w:rsidRPr="00A0134B" w:rsidRDefault="0050531D" w:rsidP="00CA76B9">
      <w:pPr>
        <w:pStyle w:val="unico"/>
        <w:spacing w:before="0" w:beforeAutospacing="0" w:after="0" w:afterAutospacing="0" w:line="288" w:lineRule="auto"/>
        <w:jc w:val="both"/>
        <w:rPr>
          <w:rFonts w:ascii="Arial" w:hAnsi="Arial" w:cs="Arial"/>
          <w:b/>
          <w:color w:val="000000"/>
          <w:sz w:val="22"/>
          <w:szCs w:val="22"/>
        </w:rPr>
      </w:pPr>
      <w:r w:rsidRPr="00A0134B">
        <w:rPr>
          <w:rFonts w:ascii="Arial" w:hAnsi="Arial" w:cs="Arial"/>
          <w:b/>
          <w:color w:val="000000"/>
          <w:sz w:val="22"/>
          <w:szCs w:val="22"/>
        </w:rPr>
        <w:t>Recaudo básico-documento de recaudo por clasificar en títulos</w:t>
      </w:r>
    </w:p>
    <w:p w14:paraId="3A87B3B2" w14:textId="77777777" w:rsidR="00FD7091" w:rsidRPr="00A0134B" w:rsidRDefault="00FD7091" w:rsidP="00CA76B9">
      <w:pPr>
        <w:pStyle w:val="unico"/>
        <w:spacing w:before="0" w:beforeAutospacing="0" w:after="0" w:afterAutospacing="0" w:line="288" w:lineRule="auto"/>
        <w:jc w:val="both"/>
        <w:rPr>
          <w:rFonts w:ascii="Arial" w:hAnsi="Arial" w:cs="Arial"/>
          <w:b/>
          <w:color w:val="000000"/>
          <w:sz w:val="22"/>
          <w:szCs w:val="22"/>
        </w:rPr>
      </w:pPr>
    </w:p>
    <w:p w14:paraId="03058138" w14:textId="77777777" w:rsidR="0050531D" w:rsidRPr="00A0134B" w:rsidRDefault="00FD7091"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“tipo de registro” de </w:t>
      </w:r>
      <w:r w:rsidRPr="004D36C1">
        <w:rPr>
          <w:rFonts w:ascii="Arial" w:hAnsi="Arial" w:cs="Arial"/>
          <w:i/>
          <w:iCs/>
          <w:color w:val="000000"/>
          <w:sz w:val="22"/>
          <w:szCs w:val="22"/>
        </w:rPr>
        <w:t>“R</w:t>
      </w:r>
      <w:r w:rsidR="0050531D" w:rsidRPr="004D36C1">
        <w:rPr>
          <w:rFonts w:ascii="Arial" w:hAnsi="Arial" w:cs="Arial"/>
          <w:i/>
          <w:iCs/>
          <w:color w:val="000000"/>
          <w:sz w:val="22"/>
          <w:szCs w:val="22"/>
        </w:rPr>
        <w:t>ecaudo básico-documento de recaudo por clasificar en títulos”,</w:t>
      </w:r>
      <w:r w:rsidR="0050531D" w:rsidRPr="00A0134B">
        <w:rPr>
          <w:rFonts w:ascii="Arial" w:hAnsi="Arial" w:cs="Arial"/>
          <w:color w:val="000000"/>
          <w:sz w:val="22"/>
          <w:szCs w:val="22"/>
        </w:rPr>
        <w:t xml:space="preserve"> co</w:t>
      </w:r>
      <w:r w:rsidRPr="00A0134B">
        <w:rPr>
          <w:rFonts w:ascii="Arial" w:hAnsi="Arial" w:cs="Arial"/>
          <w:color w:val="000000"/>
          <w:sz w:val="22"/>
          <w:szCs w:val="22"/>
        </w:rPr>
        <w:t xml:space="preserve">mplementa el tipo de registro </w:t>
      </w:r>
      <w:r w:rsidRPr="004D36C1">
        <w:rPr>
          <w:rFonts w:ascii="Arial" w:hAnsi="Arial" w:cs="Arial"/>
          <w:i/>
          <w:iCs/>
          <w:color w:val="000000"/>
          <w:sz w:val="22"/>
          <w:szCs w:val="22"/>
        </w:rPr>
        <w:t>“R</w:t>
      </w:r>
      <w:r w:rsidR="0050531D" w:rsidRPr="004D36C1">
        <w:rPr>
          <w:rFonts w:ascii="Arial" w:hAnsi="Arial" w:cs="Arial"/>
          <w:i/>
          <w:iCs/>
          <w:color w:val="000000"/>
          <w:sz w:val="22"/>
          <w:szCs w:val="22"/>
        </w:rPr>
        <w:t>ecaudo por clasificar en títulos”</w:t>
      </w:r>
      <w:r w:rsidR="0050531D" w:rsidRPr="00A0134B">
        <w:rPr>
          <w:rFonts w:ascii="Arial" w:hAnsi="Arial" w:cs="Arial"/>
          <w:color w:val="000000"/>
          <w:sz w:val="22"/>
          <w:szCs w:val="22"/>
        </w:rPr>
        <w:t xml:space="preserve"> y permite registrar la </w:t>
      </w:r>
      <w:r w:rsidR="0050531D" w:rsidRPr="00A0134B">
        <w:rPr>
          <w:rFonts w:ascii="Arial" w:hAnsi="Arial" w:cs="Arial"/>
          <w:color w:val="000000"/>
          <w:sz w:val="22"/>
          <w:szCs w:val="22"/>
        </w:rPr>
        <w:lastRenderedPageBreak/>
        <w:t xml:space="preserve">disminución de los derechos constituidos en la </w:t>
      </w:r>
      <w:proofErr w:type="spellStart"/>
      <w:r w:rsidR="0050531D" w:rsidRPr="00A0134B">
        <w:rPr>
          <w:rFonts w:ascii="Arial" w:hAnsi="Arial" w:cs="Arial"/>
          <w:color w:val="000000"/>
          <w:sz w:val="22"/>
          <w:szCs w:val="22"/>
        </w:rPr>
        <w:t>causación</w:t>
      </w:r>
      <w:proofErr w:type="spellEnd"/>
      <w:r w:rsidR="0050531D" w:rsidRPr="00A0134B">
        <w:rPr>
          <w:rFonts w:ascii="Arial" w:hAnsi="Arial" w:cs="Arial"/>
          <w:color w:val="000000"/>
          <w:sz w:val="22"/>
          <w:szCs w:val="22"/>
        </w:rPr>
        <w:t xml:space="preserve"> de ingresos y cancelar la operación interinstitucional constituida en el recaudo por clasificar.</w:t>
      </w:r>
    </w:p>
    <w:p w14:paraId="053AF4C0" w14:textId="77777777" w:rsidR="00FD7091" w:rsidRPr="00A0134B" w:rsidRDefault="00FD7091" w:rsidP="00CA76B9">
      <w:pPr>
        <w:pStyle w:val="unico"/>
        <w:spacing w:before="0" w:beforeAutospacing="0" w:after="0" w:afterAutospacing="0" w:line="288" w:lineRule="auto"/>
        <w:jc w:val="both"/>
        <w:rPr>
          <w:rFonts w:ascii="Arial" w:hAnsi="Arial" w:cs="Arial"/>
          <w:color w:val="000000"/>
          <w:sz w:val="22"/>
          <w:szCs w:val="22"/>
        </w:rPr>
      </w:pPr>
    </w:p>
    <w:p w14:paraId="41CC0E18"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 esta operación está definido e</w:t>
      </w:r>
      <w:r w:rsidR="00FD7091" w:rsidRPr="00A0134B">
        <w:rPr>
          <w:rFonts w:ascii="Arial" w:hAnsi="Arial" w:cs="Arial"/>
          <w:color w:val="000000"/>
          <w:sz w:val="22"/>
          <w:szCs w:val="22"/>
        </w:rPr>
        <w:t xml:space="preserve">n la tabla TCON11-recaudos. </w:t>
      </w:r>
    </w:p>
    <w:p w14:paraId="4C457CDC"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20D3DFC9" w14:textId="77777777" w:rsidR="0050531D" w:rsidRPr="001D2485" w:rsidRDefault="0050531D" w:rsidP="00CA76B9">
      <w:pPr>
        <w:spacing w:line="288" w:lineRule="auto"/>
        <w:jc w:val="both"/>
        <w:rPr>
          <w:rFonts w:ascii="Arial" w:hAnsi="Arial" w:cs="Arial"/>
          <w:b/>
          <w:color w:val="000000"/>
          <w:sz w:val="22"/>
          <w:szCs w:val="22"/>
        </w:rPr>
      </w:pPr>
      <w:r w:rsidRPr="001D2485">
        <w:rPr>
          <w:rFonts w:ascii="Arial" w:hAnsi="Arial" w:cs="Arial"/>
          <w:b/>
          <w:color w:val="000000"/>
          <w:sz w:val="22"/>
          <w:szCs w:val="22"/>
        </w:rPr>
        <w:t>Recaudo básico-documento de recaudo por clasificar por compensación de deducciones</w:t>
      </w:r>
    </w:p>
    <w:p w14:paraId="7B3CF004" w14:textId="77777777" w:rsidR="00FD7091" w:rsidRPr="00A0134B" w:rsidRDefault="00FD7091" w:rsidP="00CA76B9">
      <w:pPr>
        <w:spacing w:line="288" w:lineRule="auto"/>
        <w:rPr>
          <w:rFonts w:ascii="Arial" w:hAnsi="Arial" w:cs="Arial"/>
          <w:sz w:val="22"/>
          <w:szCs w:val="22"/>
        </w:rPr>
      </w:pPr>
    </w:p>
    <w:p w14:paraId="6BD0CD06"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w:t>
      </w:r>
      <w:r w:rsidRPr="004D36C1">
        <w:rPr>
          <w:rFonts w:ascii="Arial" w:hAnsi="Arial" w:cs="Arial"/>
          <w:i/>
          <w:iCs/>
          <w:color w:val="000000"/>
          <w:sz w:val="22"/>
          <w:szCs w:val="22"/>
        </w:rPr>
        <w:t>“tipo de registro”</w:t>
      </w:r>
      <w:r w:rsidRPr="00A0134B">
        <w:rPr>
          <w:rFonts w:ascii="Arial" w:hAnsi="Arial" w:cs="Arial"/>
          <w:color w:val="000000"/>
          <w:sz w:val="22"/>
          <w:szCs w:val="22"/>
        </w:rPr>
        <w:t xml:space="preserve"> de </w:t>
      </w:r>
      <w:r w:rsidRPr="004D36C1">
        <w:rPr>
          <w:rFonts w:ascii="Arial" w:hAnsi="Arial" w:cs="Arial"/>
          <w:i/>
          <w:iCs/>
          <w:color w:val="000000"/>
          <w:sz w:val="22"/>
          <w:szCs w:val="22"/>
        </w:rPr>
        <w:t>“recaudo básico de documentos de recaudos por clasificar por compensación de deducciones”</w:t>
      </w:r>
      <w:r w:rsidRPr="00A0134B">
        <w:rPr>
          <w:rFonts w:ascii="Arial" w:hAnsi="Arial" w:cs="Arial"/>
          <w:color w:val="000000"/>
          <w:sz w:val="22"/>
          <w:szCs w:val="22"/>
        </w:rPr>
        <w:t xml:space="preserve"> complementa el </w:t>
      </w:r>
      <w:r w:rsidRPr="004D36C1">
        <w:rPr>
          <w:rFonts w:ascii="Arial" w:hAnsi="Arial" w:cs="Arial"/>
          <w:i/>
          <w:iCs/>
          <w:color w:val="000000"/>
          <w:sz w:val="22"/>
          <w:szCs w:val="22"/>
        </w:rPr>
        <w:t>“tipo de registro”</w:t>
      </w:r>
      <w:r w:rsidRPr="00A0134B">
        <w:rPr>
          <w:rFonts w:ascii="Arial" w:hAnsi="Arial" w:cs="Arial"/>
          <w:color w:val="000000"/>
          <w:sz w:val="22"/>
          <w:szCs w:val="22"/>
        </w:rPr>
        <w:t xml:space="preserve"> de </w:t>
      </w:r>
      <w:r w:rsidRPr="004D36C1">
        <w:rPr>
          <w:rFonts w:ascii="Arial" w:hAnsi="Arial" w:cs="Arial"/>
          <w:i/>
          <w:iCs/>
          <w:color w:val="000000"/>
          <w:sz w:val="22"/>
          <w:szCs w:val="22"/>
        </w:rPr>
        <w:t xml:space="preserve">“recaudo por clasificar por compensación de deducciones” </w:t>
      </w:r>
      <w:r w:rsidRPr="00A0134B">
        <w:rPr>
          <w:rFonts w:ascii="Arial" w:hAnsi="Arial" w:cs="Arial"/>
          <w:color w:val="000000"/>
          <w:sz w:val="22"/>
          <w:szCs w:val="22"/>
        </w:rPr>
        <w:t>y permite cancelar las operaciones de enlace y el deudor o ingreso, constituidos con el mismo tercero.</w:t>
      </w:r>
    </w:p>
    <w:p w14:paraId="44565DE2" w14:textId="77777777" w:rsidR="00FD7091" w:rsidRPr="00A0134B" w:rsidRDefault="00FD7091" w:rsidP="00CA76B9">
      <w:pPr>
        <w:pStyle w:val="unico"/>
        <w:spacing w:before="0" w:beforeAutospacing="0" w:after="0" w:afterAutospacing="0" w:line="288" w:lineRule="auto"/>
        <w:jc w:val="both"/>
        <w:rPr>
          <w:rFonts w:ascii="Arial" w:hAnsi="Arial" w:cs="Arial"/>
          <w:color w:val="000000"/>
          <w:sz w:val="22"/>
          <w:szCs w:val="22"/>
        </w:rPr>
      </w:pPr>
    </w:p>
    <w:p w14:paraId="405C86E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 esta operación está definido e</w:t>
      </w:r>
      <w:r w:rsidR="00FD7091" w:rsidRPr="00A0134B">
        <w:rPr>
          <w:rFonts w:ascii="Arial" w:hAnsi="Arial" w:cs="Arial"/>
          <w:color w:val="000000"/>
          <w:sz w:val="22"/>
          <w:szCs w:val="22"/>
        </w:rPr>
        <w:t>n la tabla TCON11-recaudos.</w:t>
      </w:r>
    </w:p>
    <w:p w14:paraId="38B164E1"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0877CE5A" w14:textId="77777777" w:rsidR="0050531D" w:rsidRPr="006D07D3" w:rsidRDefault="00FD7091" w:rsidP="00CA76B9">
      <w:pPr>
        <w:spacing w:line="288" w:lineRule="auto"/>
        <w:rPr>
          <w:rFonts w:ascii="Arial" w:hAnsi="Arial" w:cs="Arial"/>
          <w:b/>
          <w:color w:val="000000"/>
          <w:sz w:val="22"/>
          <w:szCs w:val="22"/>
          <w:lang w:val="es-CO" w:eastAsia="es-CO"/>
        </w:rPr>
      </w:pPr>
      <w:r w:rsidRPr="006D07D3">
        <w:rPr>
          <w:rFonts w:ascii="Arial" w:hAnsi="Arial" w:cs="Arial"/>
          <w:b/>
          <w:color w:val="000000"/>
          <w:sz w:val="22"/>
          <w:szCs w:val="22"/>
        </w:rPr>
        <w:t>R</w:t>
      </w:r>
      <w:r w:rsidR="0050531D" w:rsidRPr="006D07D3">
        <w:rPr>
          <w:rFonts w:ascii="Arial" w:hAnsi="Arial" w:cs="Arial"/>
          <w:b/>
          <w:color w:val="000000"/>
          <w:sz w:val="22"/>
          <w:szCs w:val="22"/>
        </w:rPr>
        <w:t>ecaudo básico-documento de recaudo por clasificar por compensación externa</w:t>
      </w:r>
    </w:p>
    <w:p w14:paraId="77341887" w14:textId="77777777" w:rsidR="00FD7091" w:rsidRPr="00A0134B" w:rsidRDefault="00FD7091" w:rsidP="00CA76B9">
      <w:pPr>
        <w:pStyle w:val="unico"/>
        <w:spacing w:before="0" w:beforeAutospacing="0" w:after="0" w:afterAutospacing="0" w:line="288" w:lineRule="auto"/>
        <w:jc w:val="both"/>
        <w:rPr>
          <w:rFonts w:ascii="Arial" w:hAnsi="Arial" w:cs="Arial"/>
          <w:color w:val="000000"/>
          <w:sz w:val="22"/>
          <w:szCs w:val="22"/>
        </w:rPr>
      </w:pPr>
    </w:p>
    <w:p w14:paraId="249DD7F9" w14:textId="77777777" w:rsidR="0050531D" w:rsidRPr="00A0134B" w:rsidRDefault="00FD7091"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“tipo de registro” de </w:t>
      </w:r>
      <w:r w:rsidRPr="004D36C1">
        <w:rPr>
          <w:rFonts w:ascii="Arial" w:hAnsi="Arial" w:cs="Arial"/>
          <w:i/>
          <w:iCs/>
          <w:color w:val="000000"/>
          <w:sz w:val="22"/>
          <w:szCs w:val="22"/>
        </w:rPr>
        <w:t>“R</w:t>
      </w:r>
      <w:r w:rsidR="0050531D" w:rsidRPr="004D36C1">
        <w:rPr>
          <w:rFonts w:ascii="Arial" w:hAnsi="Arial" w:cs="Arial"/>
          <w:i/>
          <w:iCs/>
          <w:color w:val="000000"/>
          <w:sz w:val="22"/>
          <w:szCs w:val="22"/>
        </w:rPr>
        <w:t>ecaudo básico-documento de recaudo por clasificar por compensación extern</w:t>
      </w:r>
      <w:r w:rsidRPr="004D36C1">
        <w:rPr>
          <w:rFonts w:ascii="Arial" w:hAnsi="Arial" w:cs="Arial"/>
          <w:i/>
          <w:iCs/>
          <w:color w:val="000000"/>
          <w:sz w:val="22"/>
          <w:szCs w:val="22"/>
        </w:rPr>
        <w:t>a”</w:t>
      </w:r>
      <w:r w:rsidRPr="00A0134B">
        <w:rPr>
          <w:rFonts w:ascii="Arial" w:hAnsi="Arial" w:cs="Arial"/>
          <w:color w:val="000000"/>
          <w:sz w:val="22"/>
          <w:szCs w:val="22"/>
        </w:rPr>
        <w:t>, complementa el “T</w:t>
      </w:r>
      <w:r w:rsidR="0050531D" w:rsidRPr="00A0134B">
        <w:rPr>
          <w:rFonts w:ascii="Arial" w:hAnsi="Arial" w:cs="Arial"/>
          <w:color w:val="000000"/>
          <w:sz w:val="22"/>
          <w:szCs w:val="22"/>
        </w:rPr>
        <w:t xml:space="preserve">ipo de registro” </w:t>
      </w:r>
      <w:r w:rsidR="0050531D" w:rsidRPr="004D36C1">
        <w:rPr>
          <w:rFonts w:ascii="Arial" w:hAnsi="Arial" w:cs="Arial"/>
          <w:i/>
          <w:iCs/>
          <w:color w:val="000000"/>
          <w:sz w:val="22"/>
          <w:szCs w:val="22"/>
        </w:rPr>
        <w:t>“</w:t>
      </w:r>
      <w:r w:rsidRPr="004D36C1">
        <w:rPr>
          <w:rFonts w:ascii="Arial" w:hAnsi="Arial" w:cs="Arial"/>
          <w:i/>
          <w:iCs/>
          <w:color w:val="000000"/>
          <w:sz w:val="22"/>
          <w:szCs w:val="22"/>
        </w:rPr>
        <w:t>R</w:t>
      </w:r>
      <w:r w:rsidR="0050531D" w:rsidRPr="004D36C1">
        <w:rPr>
          <w:rFonts w:ascii="Arial" w:hAnsi="Arial" w:cs="Arial"/>
          <w:i/>
          <w:iCs/>
          <w:color w:val="000000"/>
          <w:sz w:val="22"/>
          <w:szCs w:val="22"/>
        </w:rPr>
        <w:t>ecaudo por clasificar por compensación externa”</w:t>
      </w:r>
      <w:r w:rsidR="0050531D" w:rsidRPr="00A0134B">
        <w:rPr>
          <w:rFonts w:ascii="Arial" w:hAnsi="Arial" w:cs="Arial"/>
          <w:color w:val="000000"/>
          <w:sz w:val="22"/>
          <w:szCs w:val="22"/>
        </w:rPr>
        <w:t xml:space="preserve"> y permite registrar la operación interinstitucional con la ECP con la cual hace la compensación y el derecho constituidos en la </w:t>
      </w:r>
      <w:proofErr w:type="spellStart"/>
      <w:r w:rsidR="0050531D" w:rsidRPr="00A0134B">
        <w:rPr>
          <w:rFonts w:ascii="Arial" w:hAnsi="Arial" w:cs="Arial"/>
          <w:color w:val="000000"/>
          <w:sz w:val="22"/>
          <w:szCs w:val="22"/>
        </w:rPr>
        <w:t>causación</w:t>
      </w:r>
      <w:proofErr w:type="spellEnd"/>
      <w:r w:rsidR="0050531D" w:rsidRPr="00A0134B">
        <w:rPr>
          <w:rFonts w:ascii="Arial" w:hAnsi="Arial" w:cs="Arial"/>
          <w:color w:val="000000"/>
          <w:sz w:val="22"/>
          <w:szCs w:val="22"/>
        </w:rPr>
        <w:t xml:space="preserve"> de ingresos.</w:t>
      </w:r>
    </w:p>
    <w:p w14:paraId="567338B5" w14:textId="77777777" w:rsidR="00FD7091" w:rsidRPr="00A0134B" w:rsidRDefault="00FD7091" w:rsidP="00CA76B9">
      <w:pPr>
        <w:pStyle w:val="unico"/>
        <w:spacing w:before="0" w:beforeAutospacing="0" w:after="0" w:afterAutospacing="0" w:line="288" w:lineRule="auto"/>
        <w:jc w:val="both"/>
        <w:rPr>
          <w:rFonts w:ascii="Arial" w:hAnsi="Arial" w:cs="Arial"/>
          <w:color w:val="000000"/>
          <w:sz w:val="22"/>
          <w:szCs w:val="22"/>
        </w:rPr>
      </w:pPr>
    </w:p>
    <w:p w14:paraId="1D535C0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 esta operación está definido en la tabla TCON11-recaudos, con valor “n</w:t>
      </w:r>
      <w:r w:rsidR="009C61CF" w:rsidRPr="00A0134B">
        <w:rPr>
          <w:rFonts w:ascii="Arial" w:hAnsi="Arial" w:cs="Arial"/>
          <w:color w:val="000000"/>
          <w:sz w:val="22"/>
          <w:szCs w:val="22"/>
        </w:rPr>
        <w:t xml:space="preserve">o” en la marca “misma ECP”. </w:t>
      </w:r>
    </w:p>
    <w:p w14:paraId="21FD93EB"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w:t>
      </w:r>
    </w:p>
    <w:p w14:paraId="18205406"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Recaudo anticipado</w:t>
      </w:r>
    </w:p>
    <w:p w14:paraId="2B441FC1" w14:textId="77777777" w:rsidR="000A4780" w:rsidRPr="00A0134B" w:rsidRDefault="000A4780" w:rsidP="00CA76B9">
      <w:pPr>
        <w:spacing w:line="288" w:lineRule="auto"/>
        <w:rPr>
          <w:rFonts w:ascii="Arial" w:hAnsi="Arial" w:cs="Arial"/>
          <w:sz w:val="22"/>
          <w:szCs w:val="22"/>
        </w:rPr>
      </w:pPr>
    </w:p>
    <w:p w14:paraId="6F830414" w14:textId="77777777" w:rsidR="0050531D" w:rsidRPr="00A0134B" w:rsidRDefault="000A4780"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w:t>
      </w:r>
      <w:r w:rsidRPr="004D36C1">
        <w:rPr>
          <w:rFonts w:ascii="Arial" w:hAnsi="Arial" w:cs="Arial"/>
          <w:i/>
          <w:iCs/>
          <w:color w:val="000000"/>
          <w:sz w:val="22"/>
          <w:szCs w:val="22"/>
        </w:rPr>
        <w:t>“Tipo de registro” “R</w:t>
      </w:r>
      <w:r w:rsidR="0050531D" w:rsidRPr="004D36C1">
        <w:rPr>
          <w:rFonts w:ascii="Arial" w:hAnsi="Arial" w:cs="Arial"/>
          <w:i/>
          <w:iCs/>
          <w:color w:val="000000"/>
          <w:sz w:val="22"/>
          <w:szCs w:val="22"/>
        </w:rPr>
        <w:t>ecaudo anticipado”</w:t>
      </w:r>
      <w:r w:rsidR="0050531D" w:rsidRPr="00A0134B">
        <w:rPr>
          <w:rFonts w:ascii="Arial" w:hAnsi="Arial" w:cs="Arial"/>
          <w:color w:val="000000"/>
          <w:sz w:val="22"/>
          <w:szCs w:val="22"/>
        </w:rPr>
        <w:t xml:space="preserve"> permite el reconocimiento de los ingresos recibidos de manera anticipada por la ECP en desarrollo de sus funciones de cometido estatal, los cuales afectan los periodos en los que se produzca la contraprestación en bienes o servicios.</w:t>
      </w:r>
    </w:p>
    <w:p w14:paraId="104072B9" w14:textId="77777777" w:rsidR="006A494B" w:rsidRPr="00A0134B" w:rsidRDefault="006A494B" w:rsidP="00CA76B9">
      <w:pPr>
        <w:pStyle w:val="unico"/>
        <w:spacing w:before="0" w:beforeAutospacing="0" w:after="0" w:afterAutospacing="0" w:line="288" w:lineRule="auto"/>
        <w:jc w:val="both"/>
        <w:rPr>
          <w:rFonts w:ascii="Arial" w:hAnsi="Arial" w:cs="Arial"/>
          <w:color w:val="000000"/>
          <w:sz w:val="22"/>
          <w:szCs w:val="22"/>
        </w:rPr>
      </w:pPr>
    </w:p>
    <w:p w14:paraId="137DD5A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reconocimiento en la ECP titular del ingreso recibido por anticipado es un débito en la subcuenta 572080-recaudos, de la cuenta 5720-operaciones de enlace, con crédito en el pasivo que identifica los conceptos recibidos anticipadamente, cuando los recaudos se consigna</w:t>
      </w:r>
      <w:r w:rsidR="006A494B" w:rsidRPr="00A0134B">
        <w:rPr>
          <w:rFonts w:ascii="Arial" w:hAnsi="Arial" w:cs="Arial"/>
          <w:color w:val="000000"/>
          <w:sz w:val="22"/>
          <w:szCs w:val="22"/>
        </w:rPr>
        <w:t>n en la tesorería centralizada-Dirección del T</w:t>
      </w:r>
      <w:r w:rsidRPr="00A0134B">
        <w:rPr>
          <w:rFonts w:ascii="Arial" w:hAnsi="Arial" w:cs="Arial"/>
          <w:color w:val="000000"/>
          <w:sz w:val="22"/>
          <w:szCs w:val="22"/>
        </w:rPr>
        <w:t xml:space="preserve">esoro </w:t>
      </w:r>
      <w:r w:rsidR="006A494B" w:rsidRPr="00A0134B">
        <w:rPr>
          <w:rFonts w:ascii="Arial" w:hAnsi="Arial" w:cs="Arial"/>
          <w:color w:val="000000"/>
          <w:sz w:val="22"/>
          <w:szCs w:val="22"/>
        </w:rPr>
        <w:t>N</w:t>
      </w:r>
      <w:r w:rsidRPr="00A0134B">
        <w:rPr>
          <w:rFonts w:ascii="Arial" w:hAnsi="Arial" w:cs="Arial"/>
          <w:color w:val="000000"/>
          <w:sz w:val="22"/>
          <w:szCs w:val="22"/>
        </w:rPr>
        <w:t>acional.</w:t>
      </w:r>
    </w:p>
    <w:p w14:paraId="5D798B0E" w14:textId="77777777" w:rsidR="006A494B" w:rsidRPr="00A0134B" w:rsidRDefault="006A494B" w:rsidP="00CA76B9">
      <w:pPr>
        <w:pStyle w:val="unico"/>
        <w:spacing w:before="0" w:beforeAutospacing="0" w:after="0" w:afterAutospacing="0" w:line="288" w:lineRule="auto"/>
        <w:jc w:val="both"/>
        <w:rPr>
          <w:rFonts w:ascii="Arial" w:hAnsi="Arial" w:cs="Arial"/>
          <w:color w:val="000000"/>
          <w:sz w:val="22"/>
          <w:szCs w:val="22"/>
        </w:rPr>
      </w:pPr>
    </w:p>
    <w:p w14:paraId="1AD884C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Para los recaudos que se consignan en la tesorería de la entidad, el reconocimiento del recaudo recibido por anticipado es un débito en la subcuenta </w:t>
      </w:r>
      <w:r w:rsidR="006A494B" w:rsidRPr="00A0134B">
        <w:rPr>
          <w:rFonts w:ascii="Arial" w:hAnsi="Arial" w:cs="Arial"/>
          <w:color w:val="000000"/>
          <w:sz w:val="22"/>
          <w:szCs w:val="22"/>
        </w:rPr>
        <w:t>240720- R</w:t>
      </w:r>
      <w:r w:rsidRPr="00A0134B">
        <w:rPr>
          <w:rFonts w:ascii="Arial" w:hAnsi="Arial" w:cs="Arial"/>
          <w:color w:val="000000"/>
          <w:sz w:val="22"/>
          <w:szCs w:val="22"/>
        </w:rPr>
        <w:t xml:space="preserve">ecaudos por </w:t>
      </w:r>
      <w:r w:rsidRPr="00A0134B">
        <w:rPr>
          <w:rFonts w:ascii="Arial" w:hAnsi="Arial" w:cs="Arial"/>
          <w:color w:val="000000"/>
          <w:sz w:val="22"/>
          <w:szCs w:val="22"/>
        </w:rPr>
        <w:lastRenderedPageBreak/>
        <w:t xml:space="preserve">clasificar, de la cuenta </w:t>
      </w:r>
      <w:r w:rsidR="006A494B" w:rsidRPr="00A0134B">
        <w:rPr>
          <w:rFonts w:ascii="Arial" w:hAnsi="Arial" w:cs="Arial"/>
          <w:color w:val="000000"/>
          <w:sz w:val="22"/>
          <w:szCs w:val="22"/>
        </w:rPr>
        <w:t xml:space="preserve">2407- Recursos a </w:t>
      </w:r>
      <w:r w:rsidRPr="00A0134B">
        <w:rPr>
          <w:rFonts w:ascii="Arial" w:hAnsi="Arial" w:cs="Arial"/>
          <w:color w:val="000000"/>
          <w:sz w:val="22"/>
          <w:szCs w:val="22"/>
        </w:rPr>
        <w:t>favor de terceros, con crédito en el pasivo que identifica los conceptos recibido anticipadamente.</w:t>
      </w:r>
    </w:p>
    <w:p w14:paraId="7F6BC22D" w14:textId="77777777" w:rsidR="006A494B" w:rsidRPr="00A0134B" w:rsidRDefault="006A494B" w:rsidP="00CA76B9">
      <w:pPr>
        <w:pStyle w:val="unico"/>
        <w:spacing w:before="0" w:beforeAutospacing="0" w:after="0" w:afterAutospacing="0" w:line="288" w:lineRule="auto"/>
        <w:jc w:val="both"/>
        <w:rPr>
          <w:rFonts w:ascii="Arial" w:hAnsi="Arial" w:cs="Arial"/>
          <w:color w:val="000000"/>
          <w:sz w:val="22"/>
          <w:szCs w:val="22"/>
        </w:rPr>
      </w:pPr>
    </w:p>
    <w:p w14:paraId="64053567"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registro contable de esta operación está definido e</w:t>
      </w:r>
      <w:r w:rsidR="006A494B" w:rsidRPr="00A0134B">
        <w:rPr>
          <w:rFonts w:ascii="Arial" w:hAnsi="Arial" w:cs="Arial"/>
          <w:color w:val="000000"/>
          <w:sz w:val="22"/>
          <w:szCs w:val="22"/>
        </w:rPr>
        <w:t>n la tabla TCON11-recaudos.</w:t>
      </w:r>
    </w:p>
    <w:p w14:paraId="36DE9067"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w:t>
      </w:r>
    </w:p>
    <w:p w14:paraId="13568D0C" w14:textId="77777777" w:rsidR="0050531D" w:rsidRPr="004D36C1" w:rsidRDefault="0050531D" w:rsidP="00CA76B9">
      <w:pPr>
        <w:pStyle w:val="unico"/>
        <w:spacing w:before="0" w:beforeAutospacing="0" w:after="0" w:afterAutospacing="0" w:line="288" w:lineRule="auto"/>
        <w:jc w:val="both"/>
        <w:rPr>
          <w:rFonts w:ascii="Arial" w:hAnsi="Arial" w:cs="Arial"/>
          <w:i/>
          <w:iCs/>
          <w:color w:val="000000"/>
          <w:sz w:val="22"/>
          <w:szCs w:val="22"/>
        </w:rPr>
      </w:pPr>
      <w:r w:rsidRPr="00A0134B">
        <w:rPr>
          <w:rFonts w:ascii="Arial" w:hAnsi="Arial" w:cs="Arial"/>
          <w:color w:val="000000"/>
          <w:sz w:val="22"/>
          <w:szCs w:val="22"/>
        </w:rPr>
        <w:t xml:space="preserve">La amortización del ingreso recibido por anticipado está definida en la tabla TCON10 en el </w:t>
      </w:r>
      <w:r w:rsidRPr="004D36C1">
        <w:rPr>
          <w:rFonts w:ascii="Arial" w:hAnsi="Arial" w:cs="Arial"/>
          <w:i/>
          <w:iCs/>
          <w:color w:val="000000"/>
          <w:sz w:val="22"/>
          <w:szCs w:val="22"/>
        </w:rPr>
        <w:t>“tipo de registro” “causación a partir del recaudo anticipado”.</w:t>
      </w:r>
    </w:p>
    <w:p w14:paraId="7A6DBFBA" w14:textId="77777777" w:rsidR="006A494B" w:rsidRPr="00A0134B" w:rsidRDefault="006A494B" w:rsidP="00CA76B9">
      <w:pPr>
        <w:pStyle w:val="Ttulo2"/>
        <w:spacing w:line="288" w:lineRule="auto"/>
        <w:rPr>
          <w:rFonts w:ascii="Arial" w:hAnsi="Arial" w:cs="Arial"/>
          <w:color w:val="000000"/>
          <w:sz w:val="22"/>
          <w:szCs w:val="22"/>
        </w:rPr>
      </w:pPr>
    </w:p>
    <w:p w14:paraId="5F612F84"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Compensaciones internas</w:t>
      </w:r>
    </w:p>
    <w:p w14:paraId="2E68B8FD" w14:textId="77777777" w:rsidR="006A494B" w:rsidRPr="00A0134B" w:rsidRDefault="006A494B" w:rsidP="00CA76B9">
      <w:pPr>
        <w:pStyle w:val="unico"/>
        <w:spacing w:before="0" w:beforeAutospacing="0" w:after="0" w:afterAutospacing="0" w:line="288" w:lineRule="auto"/>
        <w:jc w:val="both"/>
        <w:rPr>
          <w:rFonts w:ascii="Arial" w:hAnsi="Arial" w:cs="Arial"/>
          <w:color w:val="000000"/>
          <w:sz w:val="22"/>
          <w:szCs w:val="22"/>
        </w:rPr>
      </w:pPr>
    </w:p>
    <w:p w14:paraId="028D9A2E"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Las compensaciones internas se originan en acreedores por devoluciones de ingresos y derechos registrados en documentos de causación para un mismo tercero, y dentro de la misma ECP; estas transacciones no generan documento de recaudo por clasificar.</w:t>
      </w:r>
    </w:p>
    <w:p w14:paraId="0D608924" w14:textId="77777777" w:rsidR="00CB1078" w:rsidRPr="00A0134B" w:rsidRDefault="00CB1078" w:rsidP="00CA76B9">
      <w:pPr>
        <w:pStyle w:val="unico"/>
        <w:spacing w:before="0" w:beforeAutospacing="0" w:after="0" w:afterAutospacing="0" w:line="288" w:lineRule="auto"/>
        <w:jc w:val="both"/>
        <w:rPr>
          <w:rFonts w:ascii="Arial" w:hAnsi="Arial" w:cs="Arial"/>
          <w:color w:val="000000"/>
          <w:sz w:val="22"/>
          <w:szCs w:val="22"/>
        </w:rPr>
      </w:pPr>
    </w:p>
    <w:p w14:paraId="4B79E6EC"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El reconocimiento de la compensación interna es un débito en el acreedor por devolución de ingresos, definido en el </w:t>
      </w:r>
      <w:r w:rsidRPr="004D36C1">
        <w:rPr>
          <w:rFonts w:ascii="Arial" w:hAnsi="Arial" w:cs="Arial"/>
          <w:i/>
          <w:iCs/>
          <w:color w:val="000000"/>
          <w:sz w:val="22"/>
          <w:szCs w:val="22"/>
        </w:rPr>
        <w:t>“tipo de registro” “acreedor”</w:t>
      </w:r>
      <w:r w:rsidRPr="00A0134B">
        <w:rPr>
          <w:rFonts w:ascii="Arial" w:hAnsi="Arial" w:cs="Arial"/>
          <w:color w:val="000000"/>
          <w:sz w:val="22"/>
          <w:szCs w:val="22"/>
        </w:rPr>
        <w:t xml:space="preserve"> y un crédito en el derecho registrado con la </w:t>
      </w:r>
      <w:proofErr w:type="spellStart"/>
      <w:r w:rsidRPr="00A0134B">
        <w:rPr>
          <w:rFonts w:ascii="Arial" w:hAnsi="Arial" w:cs="Arial"/>
          <w:color w:val="000000"/>
          <w:sz w:val="22"/>
          <w:szCs w:val="22"/>
        </w:rPr>
        <w:t>causación</w:t>
      </w:r>
      <w:proofErr w:type="spellEnd"/>
      <w:r w:rsidRPr="00A0134B">
        <w:rPr>
          <w:rFonts w:ascii="Arial" w:hAnsi="Arial" w:cs="Arial"/>
          <w:color w:val="000000"/>
          <w:sz w:val="22"/>
          <w:szCs w:val="22"/>
        </w:rPr>
        <w:t xml:space="preserve"> del ingreso que se compensa, incorporado en </w:t>
      </w:r>
      <w:r w:rsidRPr="004D36C1">
        <w:rPr>
          <w:rFonts w:ascii="Arial" w:hAnsi="Arial" w:cs="Arial"/>
          <w:i/>
          <w:iCs/>
          <w:color w:val="000000"/>
          <w:sz w:val="22"/>
          <w:szCs w:val="22"/>
        </w:rPr>
        <w:t>“tipo de registro” “causación”,</w:t>
      </w:r>
      <w:r w:rsidRPr="00A0134B">
        <w:rPr>
          <w:rFonts w:ascii="Arial" w:hAnsi="Arial" w:cs="Arial"/>
          <w:color w:val="000000"/>
          <w:sz w:val="22"/>
          <w:szCs w:val="22"/>
        </w:rPr>
        <w:t xml:space="preserve"> de la tabla TCON10.</w:t>
      </w:r>
    </w:p>
    <w:p w14:paraId="1E9CC919" w14:textId="77777777" w:rsidR="004F1786" w:rsidRPr="00A0134B" w:rsidRDefault="004F1786" w:rsidP="00CA76B9">
      <w:pPr>
        <w:pStyle w:val="unico"/>
        <w:spacing w:before="0" w:beforeAutospacing="0" w:after="0" w:afterAutospacing="0" w:line="288" w:lineRule="auto"/>
        <w:jc w:val="both"/>
        <w:rPr>
          <w:rFonts w:ascii="Arial" w:hAnsi="Arial" w:cs="Arial"/>
          <w:color w:val="000000"/>
          <w:sz w:val="22"/>
          <w:szCs w:val="22"/>
        </w:rPr>
      </w:pPr>
    </w:p>
    <w:p w14:paraId="7FDB83FE" w14:textId="77777777" w:rsidR="0050531D" w:rsidRPr="004D36C1" w:rsidRDefault="0050531D" w:rsidP="00CA76B9">
      <w:pPr>
        <w:pStyle w:val="unico"/>
        <w:spacing w:before="0" w:beforeAutospacing="0" w:after="0" w:afterAutospacing="0" w:line="288" w:lineRule="auto"/>
        <w:jc w:val="both"/>
        <w:rPr>
          <w:rFonts w:ascii="Arial" w:hAnsi="Arial" w:cs="Arial"/>
          <w:i/>
          <w:iCs/>
          <w:color w:val="000000"/>
          <w:sz w:val="22"/>
          <w:szCs w:val="22"/>
        </w:rPr>
      </w:pPr>
      <w:r w:rsidRPr="00A0134B">
        <w:rPr>
          <w:rFonts w:ascii="Arial" w:hAnsi="Arial" w:cs="Arial"/>
          <w:color w:val="000000"/>
          <w:sz w:val="22"/>
          <w:szCs w:val="22"/>
        </w:rPr>
        <w:t>Las compensaciones internas en moneda extranjera pueden tener diferencial cambiario positivo o negativo; su registro está definido en la t</w:t>
      </w:r>
      <w:r w:rsidR="00CB1078" w:rsidRPr="00A0134B">
        <w:rPr>
          <w:rFonts w:ascii="Arial" w:hAnsi="Arial" w:cs="Arial"/>
          <w:color w:val="000000"/>
          <w:sz w:val="22"/>
          <w:szCs w:val="22"/>
        </w:rPr>
        <w:t>abla TCON10, que relaciona el “T</w:t>
      </w:r>
      <w:r w:rsidRPr="00A0134B">
        <w:rPr>
          <w:rFonts w:ascii="Arial" w:hAnsi="Arial" w:cs="Arial"/>
          <w:color w:val="000000"/>
          <w:sz w:val="22"/>
          <w:szCs w:val="22"/>
        </w:rPr>
        <w:t>ipo de registro” “</w:t>
      </w:r>
      <w:r w:rsidR="00CB1078" w:rsidRPr="00A0134B">
        <w:rPr>
          <w:rFonts w:ascii="Arial" w:hAnsi="Arial" w:cs="Arial"/>
          <w:color w:val="000000"/>
          <w:sz w:val="22"/>
          <w:szCs w:val="22"/>
        </w:rPr>
        <w:t>C</w:t>
      </w:r>
      <w:r w:rsidRPr="00A0134B">
        <w:rPr>
          <w:rFonts w:ascii="Arial" w:hAnsi="Arial" w:cs="Arial"/>
          <w:color w:val="000000"/>
          <w:sz w:val="22"/>
          <w:szCs w:val="22"/>
        </w:rPr>
        <w:t>ausación” con el rubro d</w:t>
      </w:r>
      <w:r w:rsidR="00CB1078" w:rsidRPr="00A0134B">
        <w:rPr>
          <w:rFonts w:ascii="Arial" w:hAnsi="Arial" w:cs="Arial"/>
          <w:color w:val="000000"/>
          <w:sz w:val="22"/>
          <w:szCs w:val="22"/>
        </w:rPr>
        <w:t xml:space="preserve">e ingresos que tiene la marca </w:t>
      </w:r>
      <w:r w:rsidR="00CB1078" w:rsidRPr="004D36C1">
        <w:rPr>
          <w:rFonts w:ascii="Arial" w:hAnsi="Arial" w:cs="Arial"/>
          <w:i/>
          <w:iCs/>
          <w:color w:val="000000"/>
          <w:sz w:val="22"/>
          <w:szCs w:val="22"/>
        </w:rPr>
        <w:t>“D</w:t>
      </w:r>
      <w:r w:rsidRPr="004D36C1">
        <w:rPr>
          <w:rFonts w:ascii="Arial" w:hAnsi="Arial" w:cs="Arial"/>
          <w:i/>
          <w:iCs/>
          <w:color w:val="000000"/>
          <w:sz w:val="22"/>
          <w:szCs w:val="22"/>
        </w:rPr>
        <w:t>iferencial cambiario”.</w:t>
      </w:r>
    </w:p>
    <w:p w14:paraId="2363A528" w14:textId="77777777" w:rsidR="00CB1078" w:rsidRPr="00A0134B" w:rsidRDefault="00CB1078" w:rsidP="00CA76B9">
      <w:pPr>
        <w:pStyle w:val="unico"/>
        <w:spacing w:before="0" w:beforeAutospacing="0" w:after="0" w:afterAutospacing="0" w:line="288" w:lineRule="auto"/>
        <w:jc w:val="both"/>
        <w:rPr>
          <w:rFonts w:ascii="Arial" w:hAnsi="Arial" w:cs="Arial"/>
          <w:color w:val="000000"/>
          <w:sz w:val="22"/>
          <w:szCs w:val="22"/>
        </w:rPr>
      </w:pPr>
    </w:p>
    <w:p w14:paraId="40C3A900"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Registros contables cuando se administra la causación o recaudo de un ingreso</w:t>
      </w:r>
    </w:p>
    <w:p w14:paraId="2D374B0E" w14:textId="77777777" w:rsidR="00CB1078" w:rsidRPr="00A0134B" w:rsidRDefault="00CB1078" w:rsidP="00CA76B9">
      <w:pPr>
        <w:pStyle w:val="unico"/>
        <w:spacing w:before="0" w:beforeAutospacing="0" w:after="0" w:afterAutospacing="0" w:line="288" w:lineRule="auto"/>
        <w:jc w:val="both"/>
        <w:rPr>
          <w:rFonts w:ascii="Arial" w:hAnsi="Arial" w:cs="Arial"/>
          <w:color w:val="000000"/>
          <w:sz w:val="22"/>
          <w:szCs w:val="22"/>
        </w:rPr>
      </w:pPr>
    </w:p>
    <w:p w14:paraId="3D471AB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adición de una causación o recaudo de un ingreso genera en la contabilidad un asiento de partida doble igual al asiento de creación, por el mayor valor adicionado.</w:t>
      </w:r>
    </w:p>
    <w:p w14:paraId="6BD80ADC" w14:textId="77777777" w:rsidR="00CB1078" w:rsidRPr="00A0134B" w:rsidRDefault="00CB1078" w:rsidP="00CA76B9">
      <w:pPr>
        <w:pStyle w:val="unico"/>
        <w:spacing w:before="0" w:beforeAutospacing="0" w:after="0" w:afterAutospacing="0" w:line="288" w:lineRule="auto"/>
        <w:jc w:val="both"/>
        <w:rPr>
          <w:rFonts w:ascii="Arial" w:hAnsi="Arial" w:cs="Arial"/>
          <w:color w:val="000000"/>
          <w:sz w:val="22"/>
          <w:szCs w:val="22"/>
        </w:rPr>
      </w:pPr>
    </w:p>
    <w:p w14:paraId="5A257ED9"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La reducción y la anulación de la causación o recaudo de un ingreso generan en la contabilidad asientos de partida doble y afectan los mismos códigos contables del registro de creación, por los menores valores reducidos o anulados.</w:t>
      </w:r>
    </w:p>
    <w:p w14:paraId="6B803E72" w14:textId="77777777" w:rsidR="00CB1078" w:rsidRPr="00A0134B" w:rsidRDefault="00CB1078" w:rsidP="00CA76B9">
      <w:pPr>
        <w:pStyle w:val="Ttulo2"/>
        <w:spacing w:line="288" w:lineRule="auto"/>
        <w:rPr>
          <w:rFonts w:ascii="Arial" w:hAnsi="Arial" w:cs="Arial"/>
          <w:color w:val="000000"/>
          <w:sz w:val="22"/>
          <w:szCs w:val="22"/>
        </w:rPr>
      </w:pPr>
    </w:p>
    <w:p w14:paraId="31E87FAB" w14:textId="77777777" w:rsidR="0050531D" w:rsidRDefault="0050531D" w:rsidP="00343ECE">
      <w:pPr>
        <w:pStyle w:val="Ttulo3"/>
        <w:numPr>
          <w:ilvl w:val="2"/>
          <w:numId w:val="15"/>
        </w:numPr>
        <w:spacing w:line="288" w:lineRule="auto"/>
        <w:rPr>
          <w:rFonts w:ascii="Arial" w:hAnsi="Arial" w:cs="Arial"/>
          <w:b/>
          <w:color w:val="000000"/>
          <w:sz w:val="22"/>
          <w:szCs w:val="22"/>
        </w:rPr>
      </w:pPr>
      <w:bookmarkStart w:id="154" w:name="_Toc59377839"/>
      <w:r w:rsidRPr="00852A89">
        <w:rPr>
          <w:rFonts w:ascii="Arial" w:hAnsi="Arial" w:cs="Arial"/>
          <w:b/>
          <w:color w:val="000000"/>
          <w:sz w:val="22"/>
          <w:szCs w:val="22"/>
        </w:rPr>
        <w:t>Registro de las transacciones</w:t>
      </w:r>
      <w:bookmarkEnd w:id="154"/>
    </w:p>
    <w:p w14:paraId="3F769E76" w14:textId="77777777" w:rsidR="00CB1078" w:rsidRPr="00A0134B" w:rsidRDefault="00CB1078" w:rsidP="00CA76B9">
      <w:pPr>
        <w:spacing w:line="288" w:lineRule="auto"/>
        <w:ind w:left="720"/>
        <w:rPr>
          <w:rFonts w:ascii="Arial" w:hAnsi="Arial" w:cs="Arial"/>
          <w:sz w:val="22"/>
          <w:szCs w:val="22"/>
        </w:rPr>
      </w:pPr>
    </w:p>
    <w:p w14:paraId="44A9D874" w14:textId="77777777" w:rsidR="0050531D" w:rsidRPr="00A0134B" w:rsidRDefault="0050531D" w:rsidP="00CA76B9">
      <w:pPr>
        <w:pStyle w:val="unico"/>
        <w:spacing w:before="0" w:beforeAutospacing="0" w:after="0" w:afterAutospacing="0" w:line="288" w:lineRule="auto"/>
        <w:jc w:val="both"/>
        <w:rPr>
          <w:rFonts w:ascii="Arial" w:hAnsi="Arial" w:cs="Arial"/>
          <w:b/>
          <w:color w:val="000000"/>
          <w:sz w:val="22"/>
          <w:szCs w:val="22"/>
        </w:rPr>
      </w:pPr>
      <w:r w:rsidRPr="00A0134B">
        <w:rPr>
          <w:rFonts w:ascii="Arial" w:hAnsi="Arial" w:cs="Arial"/>
          <w:color w:val="000000"/>
          <w:sz w:val="22"/>
          <w:szCs w:val="22"/>
        </w:rPr>
        <w:t xml:space="preserve">El registro de las transacciones en el sistema se realiza a través de </w:t>
      </w:r>
      <w:r w:rsidRPr="00A0134B">
        <w:rPr>
          <w:rFonts w:ascii="Arial" w:hAnsi="Arial" w:cs="Arial"/>
          <w:b/>
          <w:color w:val="000000"/>
          <w:sz w:val="22"/>
          <w:szCs w:val="22"/>
        </w:rPr>
        <w:t>comprobantes contables automáticos y manuales.</w:t>
      </w:r>
    </w:p>
    <w:p w14:paraId="42E1ADD6" w14:textId="77777777" w:rsidR="00CB1078" w:rsidRPr="00A0134B" w:rsidRDefault="00CB1078" w:rsidP="00CA76B9">
      <w:pPr>
        <w:pStyle w:val="unico"/>
        <w:spacing w:before="0" w:beforeAutospacing="0" w:after="0" w:afterAutospacing="0" w:line="288" w:lineRule="auto"/>
        <w:jc w:val="both"/>
        <w:rPr>
          <w:rFonts w:ascii="Arial" w:hAnsi="Arial" w:cs="Arial"/>
          <w:color w:val="000000"/>
          <w:sz w:val="22"/>
          <w:szCs w:val="22"/>
        </w:rPr>
      </w:pPr>
    </w:p>
    <w:p w14:paraId="66D6C075"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Los comprobantes contienen los registros contables, en for</w:t>
      </w:r>
      <w:r w:rsidR="00FD31BF" w:rsidRPr="00A0134B">
        <w:rPr>
          <w:rFonts w:ascii="Arial" w:hAnsi="Arial" w:cs="Arial"/>
          <w:color w:val="000000"/>
          <w:sz w:val="22"/>
          <w:szCs w:val="22"/>
        </w:rPr>
        <w:t>ma resumida, de lo</w:t>
      </w:r>
      <w:r w:rsidRPr="00A0134B">
        <w:rPr>
          <w:rFonts w:ascii="Arial" w:hAnsi="Arial" w:cs="Arial"/>
          <w:color w:val="000000"/>
          <w:sz w:val="22"/>
          <w:szCs w:val="22"/>
        </w:rPr>
        <w:t xml:space="preserve">s </w:t>
      </w:r>
      <w:r w:rsidR="00FD31BF" w:rsidRPr="00A0134B">
        <w:rPr>
          <w:rFonts w:ascii="Arial" w:hAnsi="Arial" w:cs="Arial"/>
          <w:color w:val="000000"/>
          <w:sz w:val="22"/>
          <w:szCs w:val="22"/>
        </w:rPr>
        <w:t>hechos econó</w:t>
      </w:r>
      <w:r w:rsidRPr="00A0134B">
        <w:rPr>
          <w:rFonts w:ascii="Arial" w:hAnsi="Arial" w:cs="Arial"/>
          <w:color w:val="000000"/>
          <w:sz w:val="22"/>
          <w:szCs w:val="22"/>
        </w:rPr>
        <w:t>mic</w:t>
      </w:r>
      <w:r w:rsidR="00FD31BF" w:rsidRPr="00A0134B">
        <w:rPr>
          <w:rFonts w:ascii="Arial" w:hAnsi="Arial" w:cs="Arial"/>
          <w:color w:val="000000"/>
          <w:sz w:val="22"/>
          <w:szCs w:val="22"/>
        </w:rPr>
        <w:t>o</w:t>
      </w:r>
      <w:r w:rsidRPr="00A0134B">
        <w:rPr>
          <w:rFonts w:ascii="Arial" w:hAnsi="Arial" w:cs="Arial"/>
          <w:color w:val="000000"/>
          <w:sz w:val="22"/>
          <w:szCs w:val="22"/>
        </w:rPr>
        <w:t>s</w:t>
      </w:r>
      <w:r w:rsidR="00FD31BF" w:rsidRPr="00A0134B">
        <w:rPr>
          <w:rFonts w:ascii="Arial" w:hAnsi="Arial" w:cs="Arial"/>
          <w:color w:val="000000"/>
          <w:sz w:val="22"/>
          <w:szCs w:val="22"/>
        </w:rPr>
        <w:t xml:space="preserve"> </w:t>
      </w:r>
      <w:r w:rsidRPr="00A0134B">
        <w:rPr>
          <w:rFonts w:ascii="Arial" w:hAnsi="Arial" w:cs="Arial"/>
          <w:color w:val="000000"/>
          <w:sz w:val="22"/>
          <w:szCs w:val="22"/>
        </w:rPr>
        <w:t xml:space="preserve">de la entidad contable pública y sirven de fuente para registrar los movimientos en los libros; su numeración es automática, no es administrable por la entidad contable </w:t>
      </w:r>
      <w:r w:rsidRPr="00A0134B">
        <w:rPr>
          <w:rFonts w:ascii="Arial" w:hAnsi="Arial" w:cs="Arial"/>
          <w:color w:val="000000"/>
          <w:sz w:val="22"/>
          <w:szCs w:val="22"/>
        </w:rPr>
        <w:lastRenderedPageBreak/>
        <w:t>pública y se elabora en pesos colombianos; en su estructura se identifica un encabezado, el registro contable y el detalle de los auxiliares.</w:t>
      </w:r>
    </w:p>
    <w:p w14:paraId="67547A0C" w14:textId="77777777" w:rsidR="00DF1706" w:rsidRPr="00A0134B" w:rsidRDefault="00DF1706" w:rsidP="00CA76B9">
      <w:pPr>
        <w:pStyle w:val="unico"/>
        <w:spacing w:before="0" w:beforeAutospacing="0" w:after="0" w:afterAutospacing="0" w:line="288" w:lineRule="auto"/>
        <w:jc w:val="both"/>
        <w:rPr>
          <w:rFonts w:ascii="Arial" w:hAnsi="Arial" w:cs="Arial"/>
          <w:color w:val="000000"/>
          <w:sz w:val="22"/>
          <w:szCs w:val="22"/>
        </w:rPr>
      </w:pPr>
    </w:p>
    <w:p w14:paraId="2EDAFF18"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Encabezado</w:t>
      </w:r>
    </w:p>
    <w:p w14:paraId="2279024E" w14:textId="77777777" w:rsidR="00CB1078" w:rsidRPr="00A0134B" w:rsidRDefault="00CB1078" w:rsidP="00CA76B9">
      <w:pPr>
        <w:spacing w:line="288" w:lineRule="auto"/>
        <w:rPr>
          <w:rFonts w:ascii="Arial" w:hAnsi="Arial" w:cs="Arial"/>
          <w:sz w:val="22"/>
          <w:szCs w:val="22"/>
        </w:rPr>
      </w:pPr>
    </w:p>
    <w:p w14:paraId="175A21DC"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Se identifica la i</w:t>
      </w:r>
      <w:r w:rsidR="00D73DD2" w:rsidRPr="00A0134B">
        <w:rPr>
          <w:rFonts w:ascii="Arial" w:hAnsi="Arial" w:cs="Arial"/>
          <w:color w:val="000000"/>
          <w:sz w:val="22"/>
          <w:szCs w:val="22"/>
        </w:rPr>
        <w:t xml:space="preserve">nformación correspondiente al </w:t>
      </w:r>
      <w:r w:rsidR="00D73DD2" w:rsidRPr="004D36C1">
        <w:rPr>
          <w:rFonts w:ascii="Arial" w:hAnsi="Arial" w:cs="Arial"/>
          <w:i/>
          <w:iCs/>
          <w:color w:val="000000"/>
          <w:sz w:val="22"/>
          <w:szCs w:val="22"/>
        </w:rPr>
        <w:t>“N</w:t>
      </w:r>
      <w:r w:rsidRPr="004D36C1">
        <w:rPr>
          <w:rFonts w:ascii="Arial" w:hAnsi="Arial" w:cs="Arial"/>
          <w:i/>
          <w:iCs/>
          <w:color w:val="000000"/>
          <w:sz w:val="22"/>
          <w:szCs w:val="22"/>
        </w:rPr>
        <w:t>úmero de transacción contable”,</w:t>
      </w:r>
      <w:r w:rsidRPr="00A0134B">
        <w:rPr>
          <w:rFonts w:ascii="Arial" w:hAnsi="Arial" w:cs="Arial"/>
          <w:color w:val="000000"/>
          <w:sz w:val="22"/>
          <w:szCs w:val="22"/>
        </w:rPr>
        <w:t xml:space="preserve"> que es un número automático consecutivo por ECP, asignado por el sistema a todas las transacciones; </w:t>
      </w:r>
      <w:r w:rsidRPr="004D36C1">
        <w:rPr>
          <w:rFonts w:ascii="Arial" w:hAnsi="Arial" w:cs="Arial"/>
          <w:i/>
          <w:iCs/>
          <w:color w:val="000000"/>
          <w:sz w:val="22"/>
          <w:szCs w:val="22"/>
        </w:rPr>
        <w:t>el “</w:t>
      </w:r>
      <w:proofErr w:type="spellStart"/>
      <w:r w:rsidRPr="004D36C1">
        <w:rPr>
          <w:rFonts w:ascii="Arial" w:hAnsi="Arial" w:cs="Arial"/>
          <w:i/>
          <w:iCs/>
          <w:color w:val="000000"/>
          <w:sz w:val="22"/>
          <w:szCs w:val="22"/>
        </w:rPr>
        <w:t>Nº</w:t>
      </w:r>
      <w:proofErr w:type="spellEnd"/>
      <w:r w:rsidRPr="004D36C1">
        <w:rPr>
          <w:rFonts w:ascii="Arial" w:hAnsi="Arial" w:cs="Arial"/>
          <w:i/>
          <w:iCs/>
          <w:color w:val="000000"/>
          <w:sz w:val="22"/>
          <w:szCs w:val="22"/>
        </w:rPr>
        <w:t xml:space="preserve"> de </w:t>
      </w:r>
      <w:r w:rsidR="00D73DD2" w:rsidRPr="004D36C1">
        <w:rPr>
          <w:rFonts w:ascii="Arial" w:hAnsi="Arial" w:cs="Arial"/>
          <w:i/>
          <w:iCs/>
          <w:color w:val="000000"/>
          <w:sz w:val="22"/>
          <w:szCs w:val="22"/>
        </w:rPr>
        <w:t>C</w:t>
      </w:r>
      <w:r w:rsidRPr="004D36C1">
        <w:rPr>
          <w:rFonts w:ascii="Arial" w:hAnsi="Arial" w:cs="Arial"/>
          <w:i/>
          <w:iCs/>
          <w:color w:val="000000"/>
          <w:sz w:val="22"/>
          <w:szCs w:val="22"/>
        </w:rPr>
        <w:t>omprobante”</w:t>
      </w:r>
      <w:r w:rsidRPr="00A0134B">
        <w:rPr>
          <w:rFonts w:ascii="Arial" w:hAnsi="Arial" w:cs="Arial"/>
          <w:color w:val="000000"/>
          <w:sz w:val="22"/>
          <w:szCs w:val="22"/>
        </w:rPr>
        <w:t xml:space="preserve"> es el número consecutivo asignado por el sistema en forma automática e individualizado para cada entidad, en el momento d</w:t>
      </w:r>
      <w:r w:rsidR="00D73DD2" w:rsidRPr="00A0134B">
        <w:rPr>
          <w:rFonts w:ascii="Arial" w:hAnsi="Arial" w:cs="Arial"/>
          <w:color w:val="000000"/>
          <w:sz w:val="22"/>
          <w:szCs w:val="22"/>
        </w:rPr>
        <w:t xml:space="preserve">e pasar el documento a estado </w:t>
      </w:r>
      <w:r w:rsidR="00D73DD2" w:rsidRPr="004D36C1">
        <w:rPr>
          <w:rFonts w:ascii="Arial" w:hAnsi="Arial" w:cs="Arial"/>
          <w:i/>
          <w:iCs/>
          <w:color w:val="000000"/>
          <w:sz w:val="22"/>
          <w:szCs w:val="22"/>
        </w:rPr>
        <w:t>“A</w:t>
      </w:r>
      <w:r w:rsidRPr="004D36C1">
        <w:rPr>
          <w:rFonts w:ascii="Arial" w:hAnsi="Arial" w:cs="Arial"/>
          <w:i/>
          <w:iCs/>
          <w:color w:val="000000"/>
          <w:sz w:val="22"/>
          <w:szCs w:val="22"/>
        </w:rPr>
        <w:t>probado</w:t>
      </w:r>
      <w:r w:rsidR="00D73DD2" w:rsidRPr="004D36C1">
        <w:rPr>
          <w:rFonts w:ascii="Arial" w:hAnsi="Arial" w:cs="Arial"/>
          <w:i/>
          <w:iCs/>
          <w:color w:val="000000"/>
          <w:sz w:val="22"/>
          <w:szCs w:val="22"/>
        </w:rPr>
        <w:t>”</w:t>
      </w:r>
      <w:r w:rsidR="00D73DD2" w:rsidRPr="00A0134B">
        <w:rPr>
          <w:rFonts w:ascii="Arial" w:hAnsi="Arial" w:cs="Arial"/>
          <w:color w:val="000000"/>
          <w:sz w:val="22"/>
          <w:szCs w:val="22"/>
        </w:rPr>
        <w:t xml:space="preserve">; el </w:t>
      </w:r>
      <w:r w:rsidR="00D73DD2" w:rsidRPr="004D36C1">
        <w:rPr>
          <w:rFonts w:ascii="Arial" w:hAnsi="Arial" w:cs="Arial"/>
          <w:i/>
          <w:iCs/>
          <w:color w:val="000000"/>
          <w:sz w:val="22"/>
          <w:szCs w:val="22"/>
        </w:rPr>
        <w:t>“L</w:t>
      </w:r>
      <w:r w:rsidRPr="004D36C1">
        <w:rPr>
          <w:rFonts w:ascii="Arial" w:hAnsi="Arial" w:cs="Arial"/>
          <w:i/>
          <w:iCs/>
          <w:color w:val="000000"/>
          <w:sz w:val="22"/>
          <w:szCs w:val="22"/>
        </w:rPr>
        <w:t>ugar”</w:t>
      </w:r>
      <w:r w:rsidRPr="00A0134B">
        <w:rPr>
          <w:rFonts w:ascii="Arial" w:hAnsi="Arial" w:cs="Arial"/>
          <w:color w:val="000000"/>
          <w:sz w:val="22"/>
          <w:szCs w:val="22"/>
        </w:rPr>
        <w:t xml:space="preserve"> corresponde a la ubicación geográfica en don</w:t>
      </w:r>
      <w:r w:rsidR="00D73DD2" w:rsidRPr="00A0134B">
        <w:rPr>
          <w:rFonts w:ascii="Arial" w:hAnsi="Arial" w:cs="Arial"/>
          <w:color w:val="000000"/>
          <w:sz w:val="22"/>
          <w:szCs w:val="22"/>
        </w:rPr>
        <w:t xml:space="preserve">de se genera el documento; la </w:t>
      </w:r>
      <w:r w:rsidR="00D73DD2" w:rsidRPr="004D36C1">
        <w:rPr>
          <w:rFonts w:ascii="Arial" w:hAnsi="Arial" w:cs="Arial"/>
          <w:i/>
          <w:iCs/>
          <w:color w:val="000000"/>
          <w:sz w:val="22"/>
          <w:szCs w:val="22"/>
        </w:rPr>
        <w:t>“F</w:t>
      </w:r>
      <w:r w:rsidRPr="004D36C1">
        <w:rPr>
          <w:rFonts w:ascii="Arial" w:hAnsi="Arial" w:cs="Arial"/>
          <w:i/>
          <w:iCs/>
          <w:color w:val="000000"/>
          <w:sz w:val="22"/>
          <w:szCs w:val="22"/>
        </w:rPr>
        <w:t>echa”</w:t>
      </w:r>
      <w:r w:rsidRPr="00A0134B">
        <w:rPr>
          <w:rFonts w:ascii="Arial" w:hAnsi="Arial" w:cs="Arial"/>
          <w:color w:val="000000"/>
          <w:sz w:val="22"/>
          <w:szCs w:val="22"/>
        </w:rPr>
        <w:t>, para los comprobantes automáticos, corresponde a la fecha de la transacción; para los manual</w:t>
      </w:r>
      <w:r w:rsidR="00D73DD2" w:rsidRPr="00A0134B">
        <w:rPr>
          <w:rFonts w:ascii="Arial" w:hAnsi="Arial" w:cs="Arial"/>
          <w:color w:val="000000"/>
          <w:sz w:val="22"/>
          <w:szCs w:val="22"/>
        </w:rPr>
        <w:t xml:space="preserve">es, a la de la aprobación; la </w:t>
      </w:r>
      <w:r w:rsidR="00D73DD2" w:rsidRPr="004D36C1">
        <w:rPr>
          <w:rFonts w:ascii="Arial" w:hAnsi="Arial" w:cs="Arial"/>
          <w:i/>
          <w:iCs/>
          <w:color w:val="000000"/>
          <w:sz w:val="22"/>
          <w:szCs w:val="22"/>
        </w:rPr>
        <w:t>“E</w:t>
      </w:r>
      <w:r w:rsidRPr="004D36C1">
        <w:rPr>
          <w:rFonts w:ascii="Arial" w:hAnsi="Arial" w:cs="Arial"/>
          <w:i/>
          <w:iCs/>
          <w:color w:val="000000"/>
          <w:sz w:val="22"/>
          <w:szCs w:val="22"/>
        </w:rPr>
        <w:t>ntidad contable pública”</w:t>
      </w:r>
      <w:r w:rsidRPr="00A0134B">
        <w:rPr>
          <w:rFonts w:ascii="Arial" w:hAnsi="Arial" w:cs="Arial"/>
          <w:color w:val="000000"/>
          <w:sz w:val="22"/>
          <w:szCs w:val="22"/>
        </w:rPr>
        <w:t xml:space="preserve"> es la ECP que registra el comprobante; el código de la </w:t>
      </w:r>
      <w:r w:rsidRPr="004D36C1">
        <w:rPr>
          <w:rFonts w:ascii="Arial" w:hAnsi="Arial" w:cs="Arial"/>
          <w:i/>
          <w:iCs/>
          <w:color w:val="000000"/>
          <w:sz w:val="22"/>
          <w:szCs w:val="22"/>
        </w:rPr>
        <w:t>“PCI”</w:t>
      </w:r>
      <w:r w:rsidRPr="00A0134B">
        <w:rPr>
          <w:rFonts w:ascii="Arial" w:hAnsi="Arial" w:cs="Arial"/>
          <w:color w:val="000000"/>
          <w:sz w:val="22"/>
          <w:szCs w:val="22"/>
        </w:rPr>
        <w:t xml:space="preserve"> corresponde a la posición del </w:t>
      </w:r>
      <w:r w:rsidR="00D73DD2" w:rsidRPr="00A0134B">
        <w:rPr>
          <w:rFonts w:ascii="Arial" w:hAnsi="Arial" w:cs="Arial"/>
          <w:color w:val="000000"/>
          <w:sz w:val="22"/>
          <w:szCs w:val="22"/>
        </w:rPr>
        <w:t>C</w:t>
      </w:r>
      <w:r w:rsidRPr="00A0134B">
        <w:rPr>
          <w:rFonts w:ascii="Arial" w:hAnsi="Arial" w:cs="Arial"/>
          <w:color w:val="000000"/>
          <w:sz w:val="22"/>
          <w:szCs w:val="22"/>
        </w:rPr>
        <w:t xml:space="preserve">atálogo </w:t>
      </w:r>
      <w:r w:rsidR="00D73DD2" w:rsidRPr="00A0134B">
        <w:rPr>
          <w:rFonts w:ascii="Arial" w:hAnsi="Arial" w:cs="Arial"/>
          <w:color w:val="000000"/>
          <w:sz w:val="22"/>
          <w:szCs w:val="22"/>
        </w:rPr>
        <w:t>I</w:t>
      </w:r>
      <w:r w:rsidRPr="00A0134B">
        <w:rPr>
          <w:rFonts w:ascii="Arial" w:hAnsi="Arial" w:cs="Arial"/>
          <w:color w:val="000000"/>
          <w:sz w:val="22"/>
          <w:szCs w:val="22"/>
        </w:rPr>
        <w:t>nstitucional.</w:t>
      </w:r>
    </w:p>
    <w:p w14:paraId="77D1BF3F"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44A2DB48" w14:textId="5044C28F"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Así mi</w:t>
      </w:r>
      <w:r w:rsidR="00D73DD2" w:rsidRPr="00A0134B">
        <w:rPr>
          <w:rFonts w:ascii="Arial" w:hAnsi="Arial" w:cs="Arial"/>
          <w:color w:val="000000"/>
          <w:sz w:val="22"/>
          <w:szCs w:val="22"/>
        </w:rPr>
        <w:t xml:space="preserve">smo, el encabezado incluye el </w:t>
      </w:r>
      <w:r w:rsidR="00D73DD2" w:rsidRPr="004D36C1">
        <w:rPr>
          <w:rFonts w:ascii="Arial" w:hAnsi="Arial" w:cs="Arial"/>
          <w:i/>
          <w:iCs/>
          <w:color w:val="000000"/>
          <w:sz w:val="22"/>
          <w:szCs w:val="22"/>
        </w:rPr>
        <w:t>“T</w:t>
      </w:r>
      <w:r w:rsidRPr="004D36C1">
        <w:rPr>
          <w:rFonts w:ascii="Arial" w:hAnsi="Arial" w:cs="Arial"/>
          <w:i/>
          <w:iCs/>
          <w:color w:val="000000"/>
          <w:sz w:val="22"/>
          <w:szCs w:val="22"/>
        </w:rPr>
        <w:t>ipo de documento fuente”</w:t>
      </w:r>
      <w:r w:rsidRPr="00A0134B">
        <w:rPr>
          <w:rFonts w:ascii="Arial" w:hAnsi="Arial" w:cs="Arial"/>
          <w:color w:val="000000"/>
          <w:sz w:val="22"/>
          <w:szCs w:val="22"/>
        </w:rPr>
        <w:t xml:space="preserve"> que corresponde a la identificación de la transacción si el comprobante es automático, o a un código único (</w:t>
      </w:r>
      <w:r w:rsidR="00D73DD2" w:rsidRPr="00A0134B">
        <w:rPr>
          <w:rFonts w:ascii="Arial" w:hAnsi="Arial" w:cs="Arial"/>
          <w:color w:val="000000"/>
          <w:sz w:val="22"/>
          <w:szCs w:val="22"/>
        </w:rPr>
        <w:t xml:space="preserve">NCT 240) si es manual; el </w:t>
      </w:r>
      <w:r w:rsidR="00D73DD2" w:rsidRPr="004D36C1">
        <w:rPr>
          <w:rFonts w:ascii="Arial" w:hAnsi="Arial" w:cs="Arial"/>
          <w:i/>
          <w:iCs/>
          <w:color w:val="000000"/>
          <w:sz w:val="22"/>
          <w:szCs w:val="22"/>
        </w:rPr>
        <w:t>“R</w:t>
      </w:r>
      <w:r w:rsidRPr="004D36C1">
        <w:rPr>
          <w:rFonts w:ascii="Arial" w:hAnsi="Arial" w:cs="Arial"/>
          <w:i/>
          <w:iCs/>
          <w:color w:val="000000"/>
          <w:sz w:val="22"/>
          <w:szCs w:val="22"/>
        </w:rPr>
        <w:t xml:space="preserve">egistro </w:t>
      </w:r>
      <w:r w:rsidR="00D73DD2" w:rsidRPr="004D36C1">
        <w:rPr>
          <w:rFonts w:ascii="Arial" w:hAnsi="Arial" w:cs="Arial"/>
          <w:i/>
          <w:iCs/>
          <w:color w:val="000000"/>
          <w:sz w:val="22"/>
          <w:szCs w:val="22"/>
        </w:rPr>
        <w:t>Doc. F</w:t>
      </w:r>
      <w:r w:rsidRPr="004D36C1">
        <w:rPr>
          <w:rFonts w:ascii="Arial" w:hAnsi="Arial" w:cs="Arial"/>
          <w:i/>
          <w:iCs/>
          <w:color w:val="000000"/>
          <w:sz w:val="22"/>
          <w:szCs w:val="22"/>
        </w:rPr>
        <w:t>uente”</w:t>
      </w:r>
      <w:r w:rsidRPr="00A0134B">
        <w:rPr>
          <w:rFonts w:ascii="Arial" w:hAnsi="Arial" w:cs="Arial"/>
          <w:color w:val="000000"/>
          <w:sz w:val="22"/>
          <w:szCs w:val="22"/>
        </w:rPr>
        <w:t xml:space="preserve"> hace referencia al texto </w:t>
      </w:r>
      <w:r w:rsidRPr="004D36C1">
        <w:rPr>
          <w:rFonts w:ascii="Arial" w:hAnsi="Arial" w:cs="Arial"/>
          <w:i/>
          <w:iCs/>
          <w:color w:val="000000"/>
          <w:sz w:val="22"/>
          <w:szCs w:val="22"/>
        </w:rPr>
        <w:t>“</w:t>
      </w:r>
      <w:r w:rsidR="00D73DD2" w:rsidRPr="004D36C1">
        <w:rPr>
          <w:rFonts w:ascii="Arial" w:hAnsi="Arial" w:cs="Arial"/>
          <w:i/>
          <w:iCs/>
          <w:color w:val="000000"/>
          <w:sz w:val="22"/>
          <w:szCs w:val="22"/>
        </w:rPr>
        <w:t>C</w:t>
      </w:r>
      <w:r w:rsidRPr="004D36C1">
        <w:rPr>
          <w:rFonts w:ascii="Arial" w:hAnsi="Arial" w:cs="Arial"/>
          <w:i/>
          <w:iCs/>
          <w:color w:val="000000"/>
          <w:sz w:val="22"/>
          <w:szCs w:val="22"/>
        </w:rPr>
        <w:t>omprobante contable”</w:t>
      </w:r>
      <w:r w:rsidRPr="00A0134B">
        <w:rPr>
          <w:rFonts w:ascii="Arial" w:hAnsi="Arial" w:cs="Arial"/>
          <w:color w:val="000000"/>
          <w:sz w:val="22"/>
          <w:szCs w:val="22"/>
        </w:rPr>
        <w:t xml:space="preserve"> para el comprobante manual, y en el automático, al documen</w:t>
      </w:r>
      <w:r w:rsidR="00496017" w:rsidRPr="00A0134B">
        <w:rPr>
          <w:rFonts w:ascii="Arial" w:hAnsi="Arial" w:cs="Arial"/>
          <w:color w:val="000000"/>
          <w:sz w:val="22"/>
          <w:szCs w:val="22"/>
        </w:rPr>
        <w:t xml:space="preserve">to que genera la transacción; </w:t>
      </w:r>
      <w:r w:rsidR="00496017" w:rsidRPr="004D36C1">
        <w:rPr>
          <w:rFonts w:ascii="Arial" w:hAnsi="Arial" w:cs="Arial"/>
          <w:i/>
          <w:iCs/>
          <w:color w:val="000000"/>
          <w:sz w:val="22"/>
          <w:szCs w:val="22"/>
        </w:rPr>
        <w:t>“N</w:t>
      </w:r>
      <w:r w:rsidRPr="004D36C1">
        <w:rPr>
          <w:rFonts w:ascii="Arial" w:hAnsi="Arial" w:cs="Arial"/>
          <w:i/>
          <w:iCs/>
          <w:color w:val="000000"/>
          <w:sz w:val="22"/>
          <w:szCs w:val="22"/>
        </w:rPr>
        <w:t>úmero de documento fuente”</w:t>
      </w:r>
      <w:r w:rsidRPr="00A0134B">
        <w:rPr>
          <w:rFonts w:ascii="Arial" w:hAnsi="Arial" w:cs="Arial"/>
          <w:color w:val="000000"/>
          <w:sz w:val="22"/>
          <w:szCs w:val="22"/>
        </w:rPr>
        <w:t xml:space="preserve"> es el número consecutivo, único en el sistema, los dos últimos dígitos indican el año; también contiene la información correspondiente a quien </w:t>
      </w:r>
      <w:r w:rsidRPr="004D36C1">
        <w:rPr>
          <w:rFonts w:ascii="Arial" w:hAnsi="Arial" w:cs="Arial"/>
          <w:i/>
          <w:iCs/>
          <w:color w:val="000000"/>
          <w:sz w:val="22"/>
          <w:szCs w:val="22"/>
        </w:rPr>
        <w:t>“</w:t>
      </w:r>
      <w:r w:rsidR="00496017" w:rsidRPr="004D36C1">
        <w:rPr>
          <w:rFonts w:ascii="Arial" w:hAnsi="Arial" w:cs="Arial"/>
          <w:i/>
          <w:iCs/>
          <w:color w:val="000000"/>
          <w:sz w:val="22"/>
          <w:szCs w:val="22"/>
        </w:rPr>
        <w:t>Elabora”, “V</w:t>
      </w:r>
      <w:r w:rsidRPr="004D36C1">
        <w:rPr>
          <w:rFonts w:ascii="Arial" w:hAnsi="Arial" w:cs="Arial"/>
          <w:i/>
          <w:iCs/>
          <w:color w:val="000000"/>
          <w:sz w:val="22"/>
          <w:szCs w:val="22"/>
        </w:rPr>
        <w:t>erifica”</w:t>
      </w:r>
      <w:r w:rsidRPr="00A0134B">
        <w:rPr>
          <w:rFonts w:ascii="Arial" w:hAnsi="Arial" w:cs="Arial"/>
          <w:color w:val="000000"/>
          <w:sz w:val="22"/>
          <w:szCs w:val="22"/>
        </w:rPr>
        <w:t xml:space="preserve"> y </w:t>
      </w:r>
      <w:r w:rsidRPr="004D36C1">
        <w:rPr>
          <w:rFonts w:ascii="Arial" w:hAnsi="Arial" w:cs="Arial"/>
          <w:i/>
          <w:iCs/>
          <w:color w:val="000000"/>
          <w:sz w:val="22"/>
          <w:szCs w:val="22"/>
        </w:rPr>
        <w:t>“</w:t>
      </w:r>
      <w:r w:rsidR="00496017" w:rsidRPr="004D36C1">
        <w:rPr>
          <w:rFonts w:ascii="Arial" w:hAnsi="Arial" w:cs="Arial"/>
          <w:i/>
          <w:iCs/>
          <w:color w:val="000000"/>
          <w:sz w:val="22"/>
          <w:szCs w:val="22"/>
        </w:rPr>
        <w:t>A</w:t>
      </w:r>
      <w:r w:rsidRPr="004D36C1">
        <w:rPr>
          <w:rFonts w:ascii="Arial" w:hAnsi="Arial" w:cs="Arial"/>
          <w:i/>
          <w:iCs/>
          <w:color w:val="000000"/>
          <w:sz w:val="22"/>
          <w:szCs w:val="22"/>
        </w:rPr>
        <w:t>prueba”</w:t>
      </w:r>
      <w:r w:rsidRPr="00A0134B">
        <w:rPr>
          <w:rFonts w:ascii="Arial" w:hAnsi="Arial" w:cs="Arial"/>
          <w:color w:val="000000"/>
          <w:sz w:val="22"/>
          <w:szCs w:val="22"/>
        </w:rPr>
        <w:t xml:space="preserve"> para los comprobantes manuales. Contiene también, una</w:t>
      </w:r>
      <w:r w:rsidRPr="004D36C1">
        <w:rPr>
          <w:rFonts w:ascii="Arial" w:hAnsi="Arial" w:cs="Arial"/>
          <w:i/>
          <w:iCs/>
          <w:color w:val="000000"/>
          <w:sz w:val="22"/>
          <w:szCs w:val="22"/>
        </w:rPr>
        <w:t xml:space="preserve"> “descripción”</w:t>
      </w:r>
      <w:r w:rsidRPr="00A0134B">
        <w:rPr>
          <w:rFonts w:ascii="Arial" w:hAnsi="Arial" w:cs="Arial"/>
          <w:color w:val="000000"/>
          <w:sz w:val="22"/>
          <w:szCs w:val="22"/>
        </w:rPr>
        <w:t xml:space="preserve"> y </w:t>
      </w:r>
      <w:r w:rsidR="00496017" w:rsidRPr="00A0134B">
        <w:rPr>
          <w:rFonts w:ascii="Arial" w:hAnsi="Arial" w:cs="Arial"/>
          <w:color w:val="000000"/>
          <w:sz w:val="22"/>
          <w:szCs w:val="22"/>
        </w:rPr>
        <w:t xml:space="preserve">un </w:t>
      </w:r>
      <w:r w:rsidR="00496017" w:rsidRPr="004D36C1">
        <w:rPr>
          <w:rFonts w:ascii="Arial" w:hAnsi="Arial" w:cs="Arial"/>
          <w:i/>
          <w:iCs/>
          <w:color w:val="000000"/>
          <w:sz w:val="22"/>
          <w:szCs w:val="22"/>
        </w:rPr>
        <w:t>“estado”</w:t>
      </w:r>
      <w:r w:rsidR="00496017" w:rsidRPr="00A0134B">
        <w:rPr>
          <w:rFonts w:ascii="Arial" w:hAnsi="Arial" w:cs="Arial"/>
          <w:color w:val="000000"/>
          <w:sz w:val="22"/>
          <w:szCs w:val="22"/>
        </w:rPr>
        <w:t xml:space="preserve"> del comprobante - </w:t>
      </w:r>
      <w:r w:rsidR="00496017" w:rsidRPr="004D36C1">
        <w:rPr>
          <w:rFonts w:ascii="Arial" w:hAnsi="Arial" w:cs="Arial"/>
          <w:i/>
          <w:iCs/>
          <w:color w:val="000000"/>
          <w:sz w:val="22"/>
          <w:szCs w:val="22"/>
        </w:rPr>
        <w:t>“E</w:t>
      </w:r>
      <w:r w:rsidRPr="004D36C1">
        <w:rPr>
          <w:rFonts w:ascii="Arial" w:hAnsi="Arial" w:cs="Arial"/>
          <w:i/>
          <w:iCs/>
          <w:color w:val="000000"/>
          <w:sz w:val="22"/>
          <w:szCs w:val="22"/>
        </w:rPr>
        <w:t>labo</w:t>
      </w:r>
      <w:r w:rsidR="00496017" w:rsidRPr="004D36C1">
        <w:rPr>
          <w:rFonts w:ascii="Arial" w:hAnsi="Arial" w:cs="Arial"/>
          <w:i/>
          <w:iCs/>
          <w:color w:val="000000"/>
          <w:sz w:val="22"/>
          <w:szCs w:val="22"/>
        </w:rPr>
        <w:t>rado”, “Verificado”</w:t>
      </w:r>
      <w:r w:rsidR="00496017" w:rsidRPr="00A0134B">
        <w:rPr>
          <w:rFonts w:ascii="Arial" w:hAnsi="Arial" w:cs="Arial"/>
          <w:color w:val="000000"/>
          <w:sz w:val="22"/>
          <w:szCs w:val="22"/>
        </w:rPr>
        <w:t xml:space="preserve"> y </w:t>
      </w:r>
      <w:r w:rsidR="00496017" w:rsidRPr="004D36C1">
        <w:rPr>
          <w:rFonts w:ascii="Arial" w:hAnsi="Arial" w:cs="Arial"/>
          <w:i/>
          <w:iCs/>
          <w:color w:val="000000"/>
          <w:sz w:val="22"/>
          <w:szCs w:val="22"/>
        </w:rPr>
        <w:t>“A</w:t>
      </w:r>
      <w:r w:rsidRPr="004D36C1">
        <w:rPr>
          <w:rFonts w:ascii="Arial" w:hAnsi="Arial" w:cs="Arial"/>
          <w:i/>
          <w:iCs/>
          <w:color w:val="000000"/>
          <w:sz w:val="22"/>
          <w:szCs w:val="22"/>
        </w:rPr>
        <w:t>probado</w:t>
      </w:r>
      <w:r w:rsidR="004D36C1">
        <w:rPr>
          <w:rFonts w:ascii="Arial" w:hAnsi="Arial" w:cs="Arial"/>
          <w:i/>
          <w:iCs/>
          <w:color w:val="000000"/>
          <w:sz w:val="22"/>
          <w:szCs w:val="22"/>
        </w:rPr>
        <w:t>”</w:t>
      </w:r>
      <w:r w:rsidRPr="004D36C1">
        <w:rPr>
          <w:rFonts w:ascii="Arial" w:hAnsi="Arial" w:cs="Arial"/>
          <w:i/>
          <w:iCs/>
          <w:color w:val="000000"/>
          <w:sz w:val="22"/>
          <w:szCs w:val="22"/>
        </w:rPr>
        <w:t>;</w:t>
      </w:r>
      <w:r w:rsidRPr="00A0134B">
        <w:rPr>
          <w:rFonts w:ascii="Arial" w:hAnsi="Arial" w:cs="Arial"/>
          <w:color w:val="000000"/>
          <w:sz w:val="22"/>
          <w:szCs w:val="22"/>
        </w:rPr>
        <w:t xml:space="preserve"> para los</w:t>
      </w:r>
      <w:r w:rsidR="004D36C1">
        <w:rPr>
          <w:rFonts w:ascii="Arial" w:hAnsi="Arial" w:cs="Arial"/>
          <w:color w:val="000000"/>
          <w:sz w:val="22"/>
          <w:szCs w:val="22"/>
        </w:rPr>
        <w:t xml:space="preserve"> comprobantes</w:t>
      </w:r>
      <w:r w:rsidRPr="00A0134B">
        <w:rPr>
          <w:rFonts w:ascii="Arial" w:hAnsi="Arial" w:cs="Arial"/>
          <w:color w:val="000000"/>
          <w:sz w:val="22"/>
          <w:szCs w:val="22"/>
        </w:rPr>
        <w:t xml:space="preserve"> manuales; para</w:t>
      </w:r>
      <w:r w:rsidR="004D36C1">
        <w:rPr>
          <w:rFonts w:ascii="Arial" w:hAnsi="Arial" w:cs="Arial"/>
          <w:color w:val="000000"/>
          <w:sz w:val="22"/>
          <w:szCs w:val="22"/>
        </w:rPr>
        <w:t xml:space="preserve"> los</w:t>
      </w:r>
      <w:r w:rsidRPr="00A0134B">
        <w:rPr>
          <w:rFonts w:ascii="Arial" w:hAnsi="Arial" w:cs="Arial"/>
          <w:color w:val="000000"/>
          <w:sz w:val="22"/>
          <w:szCs w:val="22"/>
        </w:rPr>
        <w:t xml:space="preserve"> </w:t>
      </w:r>
      <w:r w:rsidR="004D36C1">
        <w:rPr>
          <w:rFonts w:ascii="Arial" w:hAnsi="Arial" w:cs="Arial"/>
          <w:color w:val="000000"/>
          <w:sz w:val="22"/>
          <w:szCs w:val="22"/>
        </w:rPr>
        <w:t xml:space="preserve">comprobantes </w:t>
      </w:r>
      <w:r w:rsidRPr="00A0134B">
        <w:rPr>
          <w:rFonts w:ascii="Arial" w:hAnsi="Arial" w:cs="Arial"/>
          <w:color w:val="000000"/>
          <w:sz w:val="22"/>
          <w:szCs w:val="22"/>
        </w:rPr>
        <w:t xml:space="preserve">automáticos, solo presenta el estado </w:t>
      </w:r>
      <w:r w:rsidRPr="004D36C1">
        <w:rPr>
          <w:rFonts w:ascii="Arial" w:hAnsi="Arial" w:cs="Arial"/>
          <w:i/>
          <w:iCs/>
          <w:color w:val="000000"/>
          <w:sz w:val="22"/>
          <w:szCs w:val="22"/>
        </w:rPr>
        <w:t>“</w:t>
      </w:r>
      <w:r w:rsidR="00496017" w:rsidRPr="004D36C1">
        <w:rPr>
          <w:rFonts w:ascii="Arial" w:hAnsi="Arial" w:cs="Arial"/>
          <w:i/>
          <w:iCs/>
          <w:color w:val="000000"/>
          <w:sz w:val="22"/>
          <w:szCs w:val="22"/>
        </w:rPr>
        <w:t>A</w:t>
      </w:r>
      <w:r w:rsidRPr="004D36C1">
        <w:rPr>
          <w:rFonts w:ascii="Arial" w:hAnsi="Arial" w:cs="Arial"/>
          <w:i/>
          <w:iCs/>
          <w:color w:val="000000"/>
          <w:sz w:val="22"/>
          <w:szCs w:val="22"/>
        </w:rPr>
        <w:t>probado”</w:t>
      </w:r>
      <w:r w:rsidRPr="00A0134B">
        <w:rPr>
          <w:rFonts w:ascii="Arial" w:hAnsi="Arial" w:cs="Arial"/>
          <w:color w:val="000000"/>
          <w:sz w:val="22"/>
          <w:szCs w:val="22"/>
        </w:rPr>
        <w:t>.</w:t>
      </w:r>
    </w:p>
    <w:p w14:paraId="36C33BB0"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7AD5A34E"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Registro contable</w:t>
      </w:r>
    </w:p>
    <w:p w14:paraId="70E6D567" w14:textId="77777777" w:rsidR="00496017" w:rsidRPr="00A0134B" w:rsidRDefault="00496017" w:rsidP="00CA76B9">
      <w:pPr>
        <w:spacing w:line="288" w:lineRule="auto"/>
        <w:rPr>
          <w:rFonts w:ascii="Arial" w:hAnsi="Arial" w:cs="Arial"/>
          <w:sz w:val="22"/>
          <w:szCs w:val="22"/>
        </w:rPr>
      </w:pPr>
    </w:p>
    <w:p w14:paraId="6295CA2D"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Presenta la </w:t>
      </w:r>
      <w:r w:rsidRPr="006C2EB4">
        <w:rPr>
          <w:rFonts w:ascii="Arial" w:hAnsi="Arial" w:cs="Arial"/>
          <w:i/>
          <w:iCs/>
          <w:color w:val="000000"/>
          <w:sz w:val="22"/>
          <w:szCs w:val="22"/>
        </w:rPr>
        <w:t>“secuencia”</w:t>
      </w:r>
      <w:r w:rsidRPr="00A0134B">
        <w:rPr>
          <w:rFonts w:ascii="Arial" w:hAnsi="Arial" w:cs="Arial"/>
          <w:color w:val="000000"/>
          <w:sz w:val="22"/>
          <w:szCs w:val="22"/>
        </w:rPr>
        <w:t xml:space="preserve"> que corresponde al orden de registro, el código contable y su descripción al nivel imputable, </w:t>
      </w:r>
      <w:proofErr w:type="gramStart"/>
      <w:r w:rsidRPr="00A0134B">
        <w:rPr>
          <w:rFonts w:ascii="Arial" w:hAnsi="Arial" w:cs="Arial"/>
          <w:color w:val="000000"/>
          <w:sz w:val="22"/>
          <w:szCs w:val="22"/>
        </w:rPr>
        <w:t>los valores en la columna debe</w:t>
      </w:r>
      <w:proofErr w:type="gramEnd"/>
      <w:r w:rsidRPr="00A0134B">
        <w:rPr>
          <w:rFonts w:ascii="Arial" w:hAnsi="Arial" w:cs="Arial"/>
          <w:color w:val="000000"/>
          <w:sz w:val="22"/>
          <w:szCs w:val="22"/>
        </w:rPr>
        <w:t xml:space="preserve"> y haber y, sumas iguales.</w:t>
      </w:r>
    </w:p>
    <w:p w14:paraId="277A00A2" w14:textId="77777777" w:rsidR="00D73DD2" w:rsidRPr="00A0134B" w:rsidRDefault="00D73DD2" w:rsidP="00CA76B9">
      <w:pPr>
        <w:pStyle w:val="Ttulo2"/>
        <w:spacing w:line="288" w:lineRule="auto"/>
        <w:rPr>
          <w:rFonts w:ascii="Arial" w:hAnsi="Arial" w:cs="Arial"/>
          <w:color w:val="000000"/>
          <w:sz w:val="22"/>
          <w:szCs w:val="22"/>
        </w:rPr>
      </w:pPr>
    </w:p>
    <w:p w14:paraId="0E7709FE"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Detalle de los auxiliares</w:t>
      </w:r>
    </w:p>
    <w:p w14:paraId="07C6FF2A"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78378FF9"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detalle de los auxiliares contiene para cada c</w:t>
      </w:r>
      <w:r w:rsidR="00496017" w:rsidRPr="00A0134B">
        <w:rPr>
          <w:rFonts w:ascii="Arial" w:hAnsi="Arial" w:cs="Arial"/>
          <w:color w:val="000000"/>
          <w:sz w:val="22"/>
          <w:szCs w:val="22"/>
        </w:rPr>
        <w:t>ódigo contable incluido en el</w:t>
      </w:r>
      <w:r w:rsidR="00496017" w:rsidRPr="006C2EB4">
        <w:rPr>
          <w:rFonts w:ascii="Arial" w:hAnsi="Arial" w:cs="Arial"/>
          <w:i/>
          <w:iCs/>
          <w:color w:val="000000"/>
          <w:sz w:val="22"/>
          <w:szCs w:val="22"/>
        </w:rPr>
        <w:t xml:space="preserve"> “R</w:t>
      </w:r>
      <w:r w:rsidRPr="006C2EB4">
        <w:rPr>
          <w:rFonts w:ascii="Arial" w:hAnsi="Arial" w:cs="Arial"/>
          <w:i/>
          <w:iCs/>
          <w:color w:val="000000"/>
          <w:sz w:val="22"/>
          <w:szCs w:val="22"/>
        </w:rPr>
        <w:t>egistro contable”</w:t>
      </w:r>
      <w:r w:rsidRPr="00A0134B">
        <w:rPr>
          <w:rFonts w:ascii="Arial" w:hAnsi="Arial" w:cs="Arial"/>
          <w:color w:val="000000"/>
          <w:sz w:val="22"/>
          <w:szCs w:val="22"/>
        </w:rPr>
        <w:t xml:space="preserve"> los datos correspondientes al tipo de auxiliar, sigla, código con su descripción y, el valor débito y crédito.</w:t>
      </w:r>
    </w:p>
    <w:p w14:paraId="069B399F" w14:textId="307535C2" w:rsidR="00D73DD2" w:rsidRDefault="00D73DD2" w:rsidP="00CA76B9">
      <w:pPr>
        <w:pStyle w:val="Ttulo2"/>
        <w:spacing w:line="288" w:lineRule="auto"/>
        <w:rPr>
          <w:rFonts w:ascii="Arial" w:hAnsi="Arial" w:cs="Arial"/>
          <w:color w:val="000000"/>
          <w:sz w:val="22"/>
          <w:szCs w:val="22"/>
        </w:rPr>
      </w:pPr>
    </w:p>
    <w:p w14:paraId="1B9C1ABC" w14:textId="4EBA6E2B" w:rsidR="00DB6F34" w:rsidRDefault="00DB6F34" w:rsidP="00DB6F34"/>
    <w:p w14:paraId="61215996" w14:textId="5776B3E5" w:rsidR="00DB6F34" w:rsidRDefault="00DB6F34" w:rsidP="00DB6F34"/>
    <w:p w14:paraId="7FE04150" w14:textId="59369432" w:rsidR="00DB6F34" w:rsidRDefault="00DB6F34" w:rsidP="00DB6F34"/>
    <w:p w14:paraId="1DE01F01" w14:textId="77777777" w:rsidR="00DB6F34" w:rsidRPr="00DB6F34" w:rsidRDefault="00DB6F34" w:rsidP="00DB6F34"/>
    <w:p w14:paraId="0BFE4D79"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lastRenderedPageBreak/>
        <w:t>Comprobante automático</w:t>
      </w:r>
    </w:p>
    <w:p w14:paraId="35EEE417"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28B1049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Se origina en una </w:t>
      </w:r>
      <w:r w:rsidRPr="006C2EB4">
        <w:rPr>
          <w:rFonts w:ascii="Arial" w:hAnsi="Arial" w:cs="Arial"/>
          <w:i/>
          <w:iCs/>
          <w:color w:val="000000"/>
          <w:sz w:val="22"/>
          <w:szCs w:val="22"/>
        </w:rPr>
        <w:t>“tabla de eventos”</w:t>
      </w:r>
      <w:r w:rsidRPr="00A0134B">
        <w:rPr>
          <w:rFonts w:ascii="Arial" w:hAnsi="Arial" w:cs="Arial"/>
          <w:color w:val="000000"/>
          <w:sz w:val="22"/>
          <w:szCs w:val="22"/>
        </w:rPr>
        <w:t xml:space="preserve"> que opera en forma automática de acuerdo con parámetros previamente definidos, que tiene por objeto convertir una posición de catálogo presupuestal o no presupuestal, en un código al nivel imputable del catálogo contable.</w:t>
      </w:r>
    </w:p>
    <w:p w14:paraId="2A0B1F6E"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07C1865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Estos comprobantes están conformados por uno o más registros de partida doble que se originan, dependiendo de los hechos objeto de contabilización en una transacción. Se construye partiendo de las transacciones del sistema definidas con la característica de tener impacto contable y son producto de la información contenida en los documentos generados en los procesos de ejecución de gastos, pagos, recaudo e ingresos, en los momentos de causación, recaudo y pago, así como en la administración de los procesos de ejecución (adiciones, modificaciones, reducciones y anulaciones).</w:t>
      </w:r>
    </w:p>
    <w:p w14:paraId="264CA1F6" w14:textId="77777777" w:rsidR="00D73DD2" w:rsidRPr="00A0134B" w:rsidRDefault="00D73DD2" w:rsidP="00CA76B9">
      <w:pPr>
        <w:pStyle w:val="unico"/>
        <w:spacing w:before="0" w:beforeAutospacing="0" w:after="0" w:afterAutospacing="0" w:line="288" w:lineRule="auto"/>
        <w:jc w:val="both"/>
        <w:rPr>
          <w:rFonts w:ascii="Arial" w:hAnsi="Arial" w:cs="Arial"/>
          <w:color w:val="000000"/>
          <w:sz w:val="22"/>
          <w:szCs w:val="22"/>
        </w:rPr>
      </w:pPr>
    </w:p>
    <w:p w14:paraId="64EE1DBA" w14:textId="77777777" w:rsidR="0050531D" w:rsidRPr="00A0134B" w:rsidRDefault="0055652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Con el estado </w:t>
      </w:r>
      <w:r w:rsidRPr="006C2EB4">
        <w:rPr>
          <w:rFonts w:ascii="Arial" w:hAnsi="Arial" w:cs="Arial"/>
          <w:i/>
          <w:iCs/>
          <w:color w:val="000000"/>
          <w:sz w:val="22"/>
          <w:szCs w:val="22"/>
        </w:rPr>
        <w:t>“A</w:t>
      </w:r>
      <w:r w:rsidR="0050531D" w:rsidRPr="006C2EB4">
        <w:rPr>
          <w:rFonts w:ascii="Arial" w:hAnsi="Arial" w:cs="Arial"/>
          <w:i/>
          <w:iCs/>
          <w:color w:val="000000"/>
          <w:sz w:val="22"/>
          <w:szCs w:val="22"/>
        </w:rPr>
        <w:t>probado”</w:t>
      </w:r>
      <w:r w:rsidR="0050531D" w:rsidRPr="00A0134B">
        <w:rPr>
          <w:rFonts w:ascii="Arial" w:hAnsi="Arial" w:cs="Arial"/>
          <w:color w:val="000000"/>
          <w:sz w:val="22"/>
          <w:szCs w:val="22"/>
        </w:rPr>
        <w:t xml:space="preserve"> del comprobante, los registros contables son incorporados a la contabilidad de la ECP y revelados en los diferentes libros, reportes y consultas; este estado lo asigna el sistema al aprobar la transacción.</w:t>
      </w:r>
    </w:p>
    <w:p w14:paraId="1DF74DBA" w14:textId="77777777" w:rsidR="0055652D" w:rsidRPr="00A0134B" w:rsidRDefault="0055652D" w:rsidP="00CA76B9">
      <w:pPr>
        <w:pStyle w:val="unico"/>
        <w:spacing w:before="0" w:beforeAutospacing="0" w:after="0" w:afterAutospacing="0" w:line="288" w:lineRule="auto"/>
        <w:jc w:val="both"/>
        <w:rPr>
          <w:rFonts w:ascii="Arial" w:hAnsi="Arial" w:cs="Arial"/>
          <w:color w:val="000000"/>
          <w:sz w:val="22"/>
          <w:szCs w:val="22"/>
        </w:rPr>
      </w:pPr>
    </w:p>
    <w:p w14:paraId="336D944A"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Comprobantes manuales</w:t>
      </w:r>
    </w:p>
    <w:p w14:paraId="0DDEABCF" w14:textId="77777777" w:rsidR="0055652D" w:rsidRPr="00A0134B" w:rsidRDefault="0055652D" w:rsidP="00CA76B9">
      <w:pPr>
        <w:pStyle w:val="unico"/>
        <w:spacing w:before="0" w:beforeAutospacing="0" w:after="0" w:afterAutospacing="0" w:line="288" w:lineRule="auto"/>
        <w:jc w:val="both"/>
        <w:rPr>
          <w:rFonts w:ascii="Arial" w:hAnsi="Arial" w:cs="Arial"/>
          <w:color w:val="000000"/>
          <w:sz w:val="22"/>
          <w:szCs w:val="22"/>
        </w:rPr>
      </w:pPr>
    </w:p>
    <w:p w14:paraId="3271DE45"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Son comprobantes de tipo general que resumen hechos económicos con incidencia en la información contable y corresponden a registros que no se originan en transacciones del sistema, tales como estimaciones, ajustes, reclasificaciones, traslados de bienes derechos y obligaciones.</w:t>
      </w:r>
    </w:p>
    <w:p w14:paraId="5568CE23" w14:textId="77777777" w:rsidR="0055652D" w:rsidRPr="00A0134B" w:rsidRDefault="0055652D" w:rsidP="00CA76B9">
      <w:pPr>
        <w:pStyle w:val="unico"/>
        <w:spacing w:before="0" w:beforeAutospacing="0" w:after="0" w:afterAutospacing="0" w:line="288" w:lineRule="auto"/>
        <w:jc w:val="both"/>
        <w:rPr>
          <w:rFonts w:ascii="Arial" w:hAnsi="Arial" w:cs="Arial"/>
          <w:color w:val="000000"/>
          <w:sz w:val="22"/>
          <w:szCs w:val="22"/>
        </w:rPr>
      </w:pPr>
    </w:p>
    <w:p w14:paraId="30B90316"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sistema presenta dos opciones de cargue de información para crear los comprobantes manuales de contabilidad: la primera es el cargue por archivo plano y la segunda, digitando directamente en el sistema.</w:t>
      </w:r>
    </w:p>
    <w:p w14:paraId="44B82BD3" w14:textId="77777777" w:rsidR="0055652D" w:rsidRPr="00A0134B" w:rsidRDefault="0055652D" w:rsidP="00CA76B9">
      <w:pPr>
        <w:pStyle w:val="unico"/>
        <w:spacing w:before="0" w:beforeAutospacing="0" w:after="0" w:afterAutospacing="0" w:line="288" w:lineRule="auto"/>
        <w:jc w:val="both"/>
        <w:rPr>
          <w:rFonts w:ascii="Arial" w:hAnsi="Arial" w:cs="Arial"/>
          <w:color w:val="000000"/>
          <w:sz w:val="22"/>
          <w:szCs w:val="22"/>
        </w:rPr>
      </w:pPr>
    </w:p>
    <w:p w14:paraId="68760668"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Con el estado </w:t>
      </w:r>
      <w:r w:rsidRPr="006C2EB4">
        <w:rPr>
          <w:rFonts w:ascii="Arial" w:hAnsi="Arial" w:cs="Arial"/>
          <w:i/>
          <w:iCs/>
          <w:color w:val="000000"/>
          <w:sz w:val="22"/>
          <w:szCs w:val="22"/>
        </w:rPr>
        <w:t>“aprobado”</w:t>
      </w:r>
      <w:r w:rsidRPr="00A0134B">
        <w:rPr>
          <w:rFonts w:ascii="Arial" w:hAnsi="Arial" w:cs="Arial"/>
          <w:color w:val="000000"/>
          <w:sz w:val="22"/>
          <w:szCs w:val="22"/>
        </w:rPr>
        <w:t xml:space="preserve"> del comprobante, los registros contables son incorporados a la contabilidad de la ECP y revelados en los diferentes libros, reportes y consultas.</w:t>
      </w:r>
    </w:p>
    <w:p w14:paraId="12E0ABEF" w14:textId="77777777" w:rsidR="0055652D" w:rsidRPr="00A0134B" w:rsidRDefault="0055652D" w:rsidP="00CA76B9">
      <w:pPr>
        <w:pStyle w:val="Ttulo2"/>
        <w:spacing w:line="288" w:lineRule="auto"/>
        <w:rPr>
          <w:rFonts w:ascii="Arial" w:hAnsi="Arial" w:cs="Arial"/>
          <w:color w:val="000000"/>
          <w:sz w:val="22"/>
          <w:szCs w:val="22"/>
        </w:rPr>
      </w:pPr>
    </w:p>
    <w:p w14:paraId="5030B5BB" w14:textId="77777777" w:rsidR="0050531D" w:rsidRDefault="0050531D" w:rsidP="00343ECE">
      <w:pPr>
        <w:pStyle w:val="Ttulo3"/>
        <w:numPr>
          <w:ilvl w:val="2"/>
          <w:numId w:val="15"/>
        </w:numPr>
        <w:spacing w:line="288" w:lineRule="auto"/>
        <w:rPr>
          <w:rFonts w:ascii="Arial" w:hAnsi="Arial" w:cs="Arial"/>
          <w:b/>
          <w:color w:val="000000"/>
          <w:sz w:val="22"/>
          <w:szCs w:val="22"/>
        </w:rPr>
      </w:pPr>
      <w:bookmarkStart w:id="155" w:name="_Toc59377840"/>
      <w:r w:rsidRPr="00852A89">
        <w:rPr>
          <w:rFonts w:ascii="Arial" w:hAnsi="Arial" w:cs="Arial"/>
          <w:b/>
          <w:color w:val="000000"/>
          <w:sz w:val="22"/>
          <w:szCs w:val="22"/>
        </w:rPr>
        <w:t>Consulta de comprobantes</w:t>
      </w:r>
      <w:bookmarkEnd w:id="155"/>
    </w:p>
    <w:p w14:paraId="77B8B2D4" w14:textId="77777777" w:rsidR="0055652D" w:rsidRPr="00A0134B" w:rsidRDefault="0055652D" w:rsidP="00CA76B9">
      <w:pPr>
        <w:pStyle w:val="unico"/>
        <w:spacing w:before="0" w:beforeAutospacing="0" w:after="0" w:afterAutospacing="0" w:line="288" w:lineRule="auto"/>
        <w:jc w:val="both"/>
        <w:rPr>
          <w:rFonts w:ascii="Arial" w:hAnsi="Arial" w:cs="Arial"/>
          <w:color w:val="000000"/>
          <w:sz w:val="22"/>
          <w:szCs w:val="22"/>
        </w:rPr>
      </w:pPr>
    </w:p>
    <w:p w14:paraId="03B15E70"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sistema permitirá consultas específicas de los comprobantes contables por entidad contable pública, posición de catálogo institucional, PCI, rango de fecha o número de registro. Igualmente, se podrá observar el detalle de auxiliares que le corresponda a cada código contable.</w:t>
      </w:r>
    </w:p>
    <w:p w14:paraId="4680A60F" w14:textId="77777777" w:rsidR="003F0165" w:rsidRPr="00A0134B" w:rsidRDefault="003F0165" w:rsidP="00CA76B9">
      <w:pPr>
        <w:pStyle w:val="unico"/>
        <w:spacing w:before="0" w:beforeAutospacing="0" w:after="0" w:afterAutospacing="0" w:line="288" w:lineRule="auto"/>
        <w:jc w:val="both"/>
        <w:rPr>
          <w:rFonts w:ascii="Arial" w:hAnsi="Arial" w:cs="Arial"/>
          <w:color w:val="000000"/>
          <w:sz w:val="22"/>
          <w:szCs w:val="22"/>
        </w:rPr>
      </w:pPr>
    </w:p>
    <w:p w14:paraId="506F7034" w14:textId="2D969132"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lastRenderedPageBreak/>
        <w:t xml:space="preserve">Así mismo, permite efectuar consultas directas de los documentos que respaldan cada uno de los comprobantes contables y tiene la posibilidad de consultar </w:t>
      </w:r>
      <w:r w:rsidR="009C3DC7">
        <w:rPr>
          <w:rFonts w:ascii="Arial" w:hAnsi="Arial" w:cs="Arial"/>
          <w:color w:val="000000"/>
          <w:sz w:val="22"/>
          <w:szCs w:val="22"/>
        </w:rPr>
        <w:t>y generar</w:t>
      </w:r>
      <w:r w:rsidRPr="00A0134B">
        <w:rPr>
          <w:rFonts w:ascii="Arial" w:hAnsi="Arial" w:cs="Arial"/>
          <w:color w:val="000000"/>
          <w:sz w:val="22"/>
          <w:szCs w:val="22"/>
        </w:rPr>
        <w:t xml:space="preserve"> cada comprobante y documento fuente, manteniendo el formato </w:t>
      </w:r>
      <w:r w:rsidR="009C3DC7">
        <w:rPr>
          <w:rFonts w:ascii="Arial" w:hAnsi="Arial" w:cs="Arial"/>
          <w:color w:val="000000"/>
          <w:sz w:val="22"/>
          <w:szCs w:val="22"/>
        </w:rPr>
        <w:t>requerido</w:t>
      </w:r>
      <w:r w:rsidRPr="00A0134B">
        <w:rPr>
          <w:rFonts w:ascii="Arial" w:hAnsi="Arial" w:cs="Arial"/>
          <w:color w:val="000000"/>
          <w:sz w:val="22"/>
          <w:szCs w:val="22"/>
        </w:rPr>
        <w:t>.</w:t>
      </w:r>
    </w:p>
    <w:p w14:paraId="5E30642A" w14:textId="77777777" w:rsidR="00D4072B" w:rsidRPr="00A0134B" w:rsidRDefault="00D4072B" w:rsidP="00CA76B9">
      <w:pPr>
        <w:pStyle w:val="unico"/>
        <w:spacing w:before="0" w:beforeAutospacing="0" w:after="0" w:afterAutospacing="0" w:line="288" w:lineRule="auto"/>
        <w:jc w:val="both"/>
        <w:rPr>
          <w:rFonts w:ascii="Arial" w:hAnsi="Arial" w:cs="Arial"/>
          <w:color w:val="000000"/>
          <w:sz w:val="22"/>
          <w:szCs w:val="22"/>
        </w:rPr>
      </w:pPr>
    </w:p>
    <w:p w14:paraId="017F80F8"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Genera un reporte en un rango de fecha del mismo año.</w:t>
      </w:r>
    </w:p>
    <w:p w14:paraId="1383582D" w14:textId="77777777" w:rsidR="00D4072B" w:rsidRPr="00A0134B" w:rsidRDefault="00D4072B" w:rsidP="00CA76B9">
      <w:pPr>
        <w:pStyle w:val="unico"/>
        <w:spacing w:before="0" w:beforeAutospacing="0" w:after="0" w:afterAutospacing="0" w:line="288" w:lineRule="auto"/>
        <w:jc w:val="both"/>
        <w:rPr>
          <w:rFonts w:ascii="Arial" w:hAnsi="Arial" w:cs="Arial"/>
          <w:color w:val="000000"/>
          <w:sz w:val="22"/>
          <w:szCs w:val="22"/>
        </w:rPr>
      </w:pPr>
    </w:p>
    <w:p w14:paraId="6470CD00" w14:textId="77777777" w:rsidR="0050531D" w:rsidRDefault="0050531D" w:rsidP="00343ECE">
      <w:pPr>
        <w:pStyle w:val="Ttulo3"/>
        <w:numPr>
          <w:ilvl w:val="2"/>
          <w:numId w:val="15"/>
        </w:numPr>
        <w:spacing w:line="288" w:lineRule="auto"/>
        <w:rPr>
          <w:rFonts w:ascii="Arial" w:hAnsi="Arial" w:cs="Arial"/>
          <w:b/>
          <w:color w:val="000000"/>
          <w:sz w:val="22"/>
          <w:szCs w:val="22"/>
        </w:rPr>
      </w:pPr>
      <w:bookmarkStart w:id="156" w:name="_Toc59377841"/>
      <w:r w:rsidRPr="00852A89">
        <w:rPr>
          <w:rFonts w:ascii="Arial" w:hAnsi="Arial" w:cs="Arial"/>
          <w:b/>
          <w:color w:val="000000"/>
          <w:sz w:val="22"/>
          <w:szCs w:val="22"/>
        </w:rPr>
        <w:t>Libros de contabilidad principales y auxiliares</w:t>
      </w:r>
      <w:bookmarkEnd w:id="156"/>
    </w:p>
    <w:p w14:paraId="56755C81" w14:textId="77777777" w:rsidR="007B3CF9" w:rsidRPr="00A0134B" w:rsidRDefault="007B3CF9" w:rsidP="00CA76B9">
      <w:pPr>
        <w:spacing w:line="288" w:lineRule="auto"/>
        <w:ind w:left="720"/>
        <w:rPr>
          <w:rFonts w:ascii="Arial" w:hAnsi="Arial" w:cs="Arial"/>
          <w:sz w:val="22"/>
          <w:szCs w:val="22"/>
        </w:rPr>
      </w:pPr>
    </w:p>
    <w:p w14:paraId="6F6AA317"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Los libros de contabilidad tienen como característica el registro sistematizado, cronológico y nominativo de las transacciones, hechos y operaciones que afectan la situación y la actividad de la entidad, y permiten la construcción de la información contable pública. Son la base para el control de los recursos y se clasifican en </w:t>
      </w:r>
      <w:r w:rsidRPr="00A0134B">
        <w:rPr>
          <w:rFonts w:ascii="Arial" w:hAnsi="Arial" w:cs="Arial"/>
          <w:b/>
          <w:color w:val="000000"/>
          <w:sz w:val="22"/>
          <w:szCs w:val="22"/>
        </w:rPr>
        <w:t>principales y auxiliares</w:t>
      </w:r>
      <w:r w:rsidRPr="00A0134B">
        <w:rPr>
          <w:rFonts w:ascii="Arial" w:hAnsi="Arial" w:cs="Arial"/>
          <w:color w:val="000000"/>
          <w:sz w:val="22"/>
          <w:szCs w:val="22"/>
        </w:rPr>
        <w:t>.</w:t>
      </w:r>
    </w:p>
    <w:p w14:paraId="68FFAE93" w14:textId="77777777" w:rsidR="00D72AE2" w:rsidRPr="00A0134B" w:rsidRDefault="00D72AE2" w:rsidP="00CA76B9">
      <w:pPr>
        <w:pStyle w:val="unico"/>
        <w:spacing w:before="0" w:beforeAutospacing="0" w:after="0" w:afterAutospacing="0" w:line="288" w:lineRule="auto"/>
        <w:jc w:val="both"/>
        <w:rPr>
          <w:rFonts w:ascii="Arial" w:hAnsi="Arial" w:cs="Arial"/>
          <w:color w:val="000000"/>
          <w:sz w:val="22"/>
          <w:szCs w:val="22"/>
        </w:rPr>
      </w:pPr>
    </w:p>
    <w:p w14:paraId="33D93C1B"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Los libros </w:t>
      </w:r>
      <w:r w:rsidRPr="00A0134B">
        <w:rPr>
          <w:rFonts w:ascii="Arial" w:hAnsi="Arial" w:cs="Arial"/>
          <w:b/>
          <w:color w:val="000000"/>
          <w:sz w:val="22"/>
          <w:szCs w:val="22"/>
        </w:rPr>
        <w:t xml:space="preserve">principales </w:t>
      </w:r>
      <w:r w:rsidRPr="00A0134B">
        <w:rPr>
          <w:rFonts w:ascii="Arial" w:hAnsi="Arial" w:cs="Arial"/>
          <w:color w:val="000000"/>
          <w:sz w:val="22"/>
          <w:szCs w:val="22"/>
        </w:rPr>
        <w:t xml:space="preserve">son el </w:t>
      </w:r>
      <w:r w:rsidRPr="00A0134B">
        <w:rPr>
          <w:rFonts w:ascii="Arial" w:hAnsi="Arial" w:cs="Arial"/>
          <w:b/>
          <w:color w:val="000000"/>
          <w:sz w:val="22"/>
          <w:szCs w:val="22"/>
        </w:rPr>
        <w:t>diario y el mayor</w:t>
      </w:r>
      <w:r w:rsidRPr="00A0134B">
        <w:rPr>
          <w:rFonts w:ascii="Arial" w:hAnsi="Arial" w:cs="Arial"/>
          <w:color w:val="000000"/>
          <w:sz w:val="22"/>
          <w:szCs w:val="22"/>
        </w:rPr>
        <w:t>, los cuales presentan en forma resumida los registros de las transacciones, hechos y operaciones.</w:t>
      </w:r>
    </w:p>
    <w:p w14:paraId="2FE3B791" w14:textId="77777777" w:rsidR="00D72AE2" w:rsidRPr="00A0134B" w:rsidRDefault="00D72AE2" w:rsidP="00CA76B9">
      <w:pPr>
        <w:pStyle w:val="unico"/>
        <w:spacing w:before="0" w:beforeAutospacing="0" w:after="0" w:afterAutospacing="0" w:line="288" w:lineRule="auto"/>
        <w:jc w:val="both"/>
        <w:rPr>
          <w:rFonts w:ascii="Arial" w:hAnsi="Arial" w:cs="Arial"/>
          <w:color w:val="000000"/>
          <w:sz w:val="22"/>
          <w:szCs w:val="22"/>
        </w:rPr>
      </w:pPr>
    </w:p>
    <w:p w14:paraId="4E0614C2"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Los libros </w:t>
      </w:r>
      <w:r w:rsidRPr="00A0134B">
        <w:rPr>
          <w:rFonts w:ascii="Arial" w:hAnsi="Arial" w:cs="Arial"/>
          <w:b/>
          <w:color w:val="000000"/>
          <w:sz w:val="22"/>
          <w:szCs w:val="22"/>
        </w:rPr>
        <w:t>auxiliares</w:t>
      </w:r>
      <w:r w:rsidRPr="00A0134B">
        <w:rPr>
          <w:rFonts w:ascii="Arial" w:hAnsi="Arial" w:cs="Arial"/>
          <w:color w:val="000000"/>
          <w:sz w:val="22"/>
          <w:szCs w:val="22"/>
        </w:rPr>
        <w:t xml:space="preserve"> de contabilidad contienen los registros contables indispensables para el control detallado de las transacciones y operaciones de la ECP, con base en los comprobantes de contabilidad.</w:t>
      </w:r>
    </w:p>
    <w:p w14:paraId="5A574392" w14:textId="77777777" w:rsidR="00D72AE2" w:rsidRPr="00A0134B" w:rsidRDefault="00D72AE2" w:rsidP="00CA76B9">
      <w:pPr>
        <w:pStyle w:val="unico"/>
        <w:spacing w:before="0" w:beforeAutospacing="0" w:after="0" w:afterAutospacing="0" w:line="288" w:lineRule="auto"/>
        <w:jc w:val="both"/>
        <w:rPr>
          <w:rFonts w:ascii="Arial" w:hAnsi="Arial" w:cs="Arial"/>
          <w:color w:val="000000"/>
          <w:sz w:val="22"/>
          <w:szCs w:val="22"/>
        </w:rPr>
      </w:pPr>
    </w:p>
    <w:p w14:paraId="60C823DC"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Para el caso de los libros manejados a través del procesamiento electrónico de datos, el sistema prevé que se puedan consultar e imprimir. Por tanto, es procedente conservarlos en medio magnético, sin que exista la obligación de que sean impresos y en caso de solicitud de exhibirlos, estos pueden ser consultados directamente en el sistema.</w:t>
      </w:r>
    </w:p>
    <w:p w14:paraId="7914975E" w14:textId="77777777" w:rsidR="00D72AE2" w:rsidRPr="00A0134B" w:rsidRDefault="00D72AE2" w:rsidP="00CA76B9">
      <w:pPr>
        <w:pStyle w:val="Ttulo2"/>
        <w:spacing w:line="288" w:lineRule="auto"/>
        <w:rPr>
          <w:rFonts w:ascii="Arial" w:hAnsi="Arial" w:cs="Arial"/>
          <w:color w:val="000000"/>
          <w:sz w:val="22"/>
          <w:szCs w:val="22"/>
        </w:rPr>
      </w:pPr>
    </w:p>
    <w:p w14:paraId="25FFF94C"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Libro diario</w:t>
      </w:r>
    </w:p>
    <w:p w14:paraId="680B8DBB" w14:textId="77777777" w:rsidR="00D72AE2" w:rsidRPr="00A0134B" w:rsidRDefault="00D72AE2" w:rsidP="00CA76B9">
      <w:pPr>
        <w:pStyle w:val="unico"/>
        <w:spacing w:before="0" w:beforeAutospacing="0" w:after="0" w:afterAutospacing="0" w:line="288" w:lineRule="auto"/>
        <w:jc w:val="both"/>
        <w:rPr>
          <w:rFonts w:ascii="Arial" w:hAnsi="Arial" w:cs="Arial"/>
          <w:color w:val="000000"/>
          <w:sz w:val="22"/>
          <w:szCs w:val="22"/>
        </w:rPr>
      </w:pPr>
    </w:p>
    <w:p w14:paraId="1E4936D2"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En el libro diario se presentan los movimientos débitos y crédito de las cuentas, el registro cronológico y preciso de las operaciones diarias efectuadas, con base en los comprobantes de contabilidad. De igual manera, se presenta la sumatoria de los movimientos débito y crédito de cada una de las cuentas, y las sumas iguales. El sistema permite generar el libro diario a nivel de ECP.</w:t>
      </w:r>
    </w:p>
    <w:p w14:paraId="79C8E1BD"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w:t>
      </w:r>
    </w:p>
    <w:p w14:paraId="2A890C7E"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Libro mayor</w:t>
      </w:r>
    </w:p>
    <w:p w14:paraId="66B108ED" w14:textId="77777777" w:rsidR="00AD3CA1" w:rsidRPr="00A0134B" w:rsidRDefault="00AD3CA1" w:rsidP="00CA76B9">
      <w:pPr>
        <w:spacing w:line="288" w:lineRule="auto"/>
        <w:rPr>
          <w:rFonts w:ascii="Arial" w:hAnsi="Arial" w:cs="Arial"/>
          <w:sz w:val="22"/>
          <w:szCs w:val="22"/>
        </w:rPr>
      </w:pPr>
    </w:p>
    <w:p w14:paraId="30B04D0E"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Contiene los saldos de las cuentas del mes anterior, clasificadas de manera nomi</w:t>
      </w:r>
      <w:r w:rsidR="00AD3CA1" w:rsidRPr="00A0134B">
        <w:rPr>
          <w:rFonts w:ascii="Arial" w:hAnsi="Arial" w:cs="Arial"/>
          <w:color w:val="000000"/>
          <w:sz w:val="22"/>
          <w:szCs w:val="22"/>
        </w:rPr>
        <w:t>nativa según la estructura del C</w:t>
      </w:r>
      <w:r w:rsidRPr="00A0134B">
        <w:rPr>
          <w:rFonts w:ascii="Arial" w:hAnsi="Arial" w:cs="Arial"/>
          <w:color w:val="000000"/>
          <w:sz w:val="22"/>
          <w:szCs w:val="22"/>
        </w:rPr>
        <w:t xml:space="preserve">atálogo </w:t>
      </w:r>
      <w:r w:rsidR="00AD3CA1" w:rsidRPr="00A0134B">
        <w:rPr>
          <w:rFonts w:ascii="Arial" w:hAnsi="Arial" w:cs="Arial"/>
          <w:color w:val="000000"/>
          <w:sz w:val="22"/>
          <w:szCs w:val="22"/>
        </w:rPr>
        <w:t>General de C</w:t>
      </w:r>
      <w:r w:rsidRPr="00A0134B">
        <w:rPr>
          <w:rFonts w:ascii="Arial" w:hAnsi="Arial" w:cs="Arial"/>
          <w:color w:val="000000"/>
          <w:sz w:val="22"/>
          <w:szCs w:val="22"/>
        </w:rPr>
        <w:t>uentas; las sumas de los movimientos débito y crédito de cada una de las cuentas del respectivo mes, que han sido tomadas del libro diario; y el saldo final del mismo m</w:t>
      </w:r>
      <w:r w:rsidR="00AD3CA1" w:rsidRPr="00A0134B">
        <w:rPr>
          <w:rFonts w:ascii="Arial" w:hAnsi="Arial" w:cs="Arial"/>
          <w:color w:val="000000"/>
          <w:sz w:val="22"/>
          <w:szCs w:val="22"/>
        </w:rPr>
        <w:t>es. En el sistema se denomina “Libro M</w:t>
      </w:r>
      <w:r w:rsidRPr="00A0134B">
        <w:rPr>
          <w:rFonts w:ascii="Arial" w:hAnsi="Arial" w:cs="Arial"/>
          <w:color w:val="000000"/>
          <w:sz w:val="22"/>
          <w:szCs w:val="22"/>
        </w:rPr>
        <w:t xml:space="preserve">ayor de </w:t>
      </w:r>
      <w:r w:rsidR="00AD3CA1" w:rsidRPr="00A0134B">
        <w:rPr>
          <w:rFonts w:ascii="Arial" w:hAnsi="Arial" w:cs="Arial"/>
          <w:color w:val="000000"/>
          <w:sz w:val="22"/>
          <w:szCs w:val="22"/>
        </w:rPr>
        <w:t>S</w:t>
      </w:r>
      <w:r w:rsidRPr="00A0134B">
        <w:rPr>
          <w:rFonts w:ascii="Arial" w:hAnsi="Arial" w:cs="Arial"/>
          <w:color w:val="000000"/>
          <w:sz w:val="22"/>
          <w:szCs w:val="22"/>
        </w:rPr>
        <w:t xml:space="preserve">aldos y </w:t>
      </w:r>
      <w:r w:rsidR="00AD3CA1" w:rsidRPr="00A0134B">
        <w:rPr>
          <w:rFonts w:ascii="Arial" w:hAnsi="Arial" w:cs="Arial"/>
          <w:color w:val="000000"/>
          <w:sz w:val="22"/>
          <w:szCs w:val="22"/>
        </w:rPr>
        <w:t>M</w:t>
      </w:r>
      <w:r w:rsidRPr="00A0134B">
        <w:rPr>
          <w:rFonts w:ascii="Arial" w:hAnsi="Arial" w:cs="Arial"/>
          <w:color w:val="000000"/>
          <w:sz w:val="22"/>
          <w:szCs w:val="22"/>
        </w:rPr>
        <w:t>ovimientos”.</w:t>
      </w:r>
    </w:p>
    <w:p w14:paraId="7688ED92"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7E0EF1EC"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Libros auxiliares</w:t>
      </w:r>
    </w:p>
    <w:p w14:paraId="1E63DC8E" w14:textId="77777777" w:rsidR="00AD3CA1" w:rsidRPr="00A0134B" w:rsidRDefault="00AD3CA1" w:rsidP="00CA76B9">
      <w:pPr>
        <w:spacing w:line="288" w:lineRule="auto"/>
        <w:rPr>
          <w:rFonts w:ascii="Arial" w:hAnsi="Arial" w:cs="Arial"/>
          <w:sz w:val="22"/>
          <w:szCs w:val="22"/>
        </w:rPr>
      </w:pPr>
    </w:p>
    <w:p w14:paraId="7810E3C3"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Los libros auxiliares de contabilidad contienen los registros contables indispensables para el control detallado de las transacciones y operaciones de la entidad contable pública, con base en los comprobantes de contabilidad y los documentos soporte.</w:t>
      </w:r>
    </w:p>
    <w:p w14:paraId="3AFEA82D" w14:textId="77777777" w:rsidR="004C6234" w:rsidRPr="00A0134B" w:rsidRDefault="004C6234" w:rsidP="00CA76B9">
      <w:pPr>
        <w:pStyle w:val="unico"/>
        <w:spacing w:before="0" w:beforeAutospacing="0" w:after="0" w:afterAutospacing="0" w:line="288" w:lineRule="auto"/>
        <w:jc w:val="both"/>
        <w:rPr>
          <w:rFonts w:ascii="Arial" w:hAnsi="Arial" w:cs="Arial"/>
          <w:color w:val="000000"/>
          <w:sz w:val="22"/>
          <w:szCs w:val="22"/>
        </w:rPr>
      </w:pPr>
    </w:p>
    <w:p w14:paraId="56869565"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El sistema cuenta con dos e</w:t>
      </w:r>
      <w:r w:rsidR="00AD3CA1" w:rsidRPr="00A0134B">
        <w:rPr>
          <w:rFonts w:ascii="Arial" w:hAnsi="Arial" w:cs="Arial"/>
          <w:color w:val="000000"/>
          <w:sz w:val="22"/>
          <w:szCs w:val="22"/>
        </w:rPr>
        <w:t xml:space="preserve">structuras de auxiliares, así: </w:t>
      </w:r>
      <w:r w:rsidR="00AD3CA1" w:rsidRPr="00A0134B">
        <w:rPr>
          <w:rFonts w:ascii="Arial" w:hAnsi="Arial" w:cs="Arial"/>
          <w:b/>
          <w:color w:val="000000"/>
          <w:sz w:val="22"/>
          <w:szCs w:val="22"/>
        </w:rPr>
        <w:t>A</w:t>
      </w:r>
      <w:r w:rsidRPr="00A0134B">
        <w:rPr>
          <w:rFonts w:ascii="Arial" w:hAnsi="Arial" w:cs="Arial"/>
          <w:b/>
          <w:color w:val="000000"/>
          <w:sz w:val="22"/>
          <w:szCs w:val="22"/>
        </w:rPr>
        <w:t xml:space="preserve">uxiliar </w:t>
      </w:r>
      <w:r w:rsidR="00AD3CA1" w:rsidRPr="00A0134B">
        <w:rPr>
          <w:rFonts w:ascii="Arial" w:hAnsi="Arial" w:cs="Arial"/>
          <w:b/>
          <w:color w:val="000000"/>
          <w:sz w:val="22"/>
          <w:szCs w:val="22"/>
        </w:rPr>
        <w:t>C</w:t>
      </w:r>
      <w:r w:rsidRPr="00A0134B">
        <w:rPr>
          <w:rFonts w:ascii="Arial" w:hAnsi="Arial" w:cs="Arial"/>
          <w:b/>
          <w:color w:val="000000"/>
          <w:sz w:val="22"/>
          <w:szCs w:val="22"/>
        </w:rPr>
        <w:t>ontable por PCI</w:t>
      </w:r>
      <w:r w:rsidRPr="00A0134B">
        <w:rPr>
          <w:rFonts w:ascii="Arial" w:hAnsi="Arial" w:cs="Arial"/>
          <w:color w:val="000000"/>
          <w:sz w:val="22"/>
          <w:szCs w:val="22"/>
        </w:rPr>
        <w:t xml:space="preserve"> y </w:t>
      </w:r>
      <w:r w:rsidR="00AD3CA1" w:rsidRPr="00A0134B">
        <w:rPr>
          <w:rFonts w:ascii="Arial" w:hAnsi="Arial" w:cs="Arial"/>
          <w:b/>
          <w:color w:val="000000"/>
          <w:sz w:val="22"/>
          <w:szCs w:val="22"/>
        </w:rPr>
        <w:t>A</w:t>
      </w:r>
      <w:r w:rsidRPr="00A0134B">
        <w:rPr>
          <w:rFonts w:ascii="Arial" w:hAnsi="Arial" w:cs="Arial"/>
          <w:b/>
          <w:color w:val="000000"/>
          <w:sz w:val="22"/>
          <w:szCs w:val="22"/>
        </w:rPr>
        <w:t xml:space="preserve">uxiliar </w:t>
      </w:r>
      <w:r w:rsidR="00AD3CA1" w:rsidRPr="00A0134B">
        <w:rPr>
          <w:rFonts w:ascii="Arial" w:hAnsi="Arial" w:cs="Arial"/>
          <w:b/>
          <w:color w:val="000000"/>
          <w:sz w:val="22"/>
          <w:szCs w:val="22"/>
        </w:rPr>
        <w:t>D</w:t>
      </w:r>
      <w:r w:rsidRPr="00A0134B">
        <w:rPr>
          <w:rFonts w:ascii="Arial" w:hAnsi="Arial" w:cs="Arial"/>
          <w:b/>
          <w:color w:val="000000"/>
          <w:sz w:val="22"/>
          <w:szCs w:val="22"/>
        </w:rPr>
        <w:t>etallado</w:t>
      </w:r>
      <w:r w:rsidRPr="00A0134B">
        <w:rPr>
          <w:rFonts w:ascii="Arial" w:hAnsi="Arial" w:cs="Arial"/>
          <w:color w:val="000000"/>
          <w:sz w:val="22"/>
          <w:szCs w:val="22"/>
        </w:rPr>
        <w:t>; la información a nivel auxiliar se estructura de conformidad con el tipo de auxili</w:t>
      </w:r>
      <w:r w:rsidR="00AD3CA1" w:rsidRPr="00A0134B">
        <w:rPr>
          <w:rFonts w:ascii="Arial" w:hAnsi="Arial" w:cs="Arial"/>
          <w:color w:val="000000"/>
          <w:sz w:val="22"/>
          <w:szCs w:val="22"/>
        </w:rPr>
        <w:t>ar definido en la tabla TCON06-R</w:t>
      </w:r>
      <w:r w:rsidRPr="00A0134B">
        <w:rPr>
          <w:rFonts w:ascii="Arial" w:hAnsi="Arial" w:cs="Arial"/>
          <w:color w:val="000000"/>
          <w:sz w:val="22"/>
          <w:szCs w:val="22"/>
        </w:rPr>
        <w:t>elación catálogo contable-</w:t>
      </w:r>
      <w:r w:rsidR="00AD3CA1" w:rsidRPr="00A0134B">
        <w:rPr>
          <w:rFonts w:ascii="Arial" w:hAnsi="Arial" w:cs="Arial"/>
          <w:color w:val="000000"/>
          <w:sz w:val="22"/>
          <w:szCs w:val="22"/>
        </w:rPr>
        <w:t>A</w:t>
      </w:r>
      <w:r w:rsidRPr="00A0134B">
        <w:rPr>
          <w:rFonts w:ascii="Arial" w:hAnsi="Arial" w:cs="Arial"/>
          <w:color w:val="000000"/>
          <w:sz w:val="22"/>
          <w:szCs w:val="22"/>
        </w:rPr>
        <w:t>uxiliar.</w:t>
      </w:r>
    </w:p>
    <w:p w14:paraId="041E35BC" w14:textId="77777777" w:rsidR="00AD3CA1" w:rsidRPr="00A0134B" w:rsidRDefault="00AD3CA1" w:rsidP="00CA76B9">
      <w:pPr>
        <w:pStyle w:val="unico"/>
        <w:spacing w:before="0" w:beforeAutospacing="0" w:after="0" w:afterAutospacing="0" w:line="288" w:lineRule="auto"/>
        <w:jc w:val="both"/>
        <w:rPr>
          <w:rFonts w:ascii="Arial" w:hAnsi="Arial" w:cs="Arial"/>
          <w:color w:val="000000"/>
          <w:sz w:val="22"/>
          <w:szCs w:val="22"/>
        </w:rPr>
      </w:pPr>
    </w:p>
    <w:p w14:paraId="1600324F"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Los dos reportes de auxiliar contable por PCI y el auxiliar detallado, son complementarios: en uno se presenta la información acumulada y en el otro, el detalle de la misma. Esto permite realizar un proceso de seguimiento y control al registro de las operaciones frente a los hechos y soportes.</w:t>
      </w:r>
    </w:p>
    <w:p w14:paraId="2096BF57" w14:textId="77777777" w:rsidR="00AD3CA1" w:rsidRPr="00A0134B" w:rsidRDefault="00AD3CA1" w:rsidP="00CA76B9">
      <w:pPr>
        <w:pStyle w:val="Ttulo2"/>
        <w:spacing w:line="288" w:lineRule="auto"/>
        <w:rPr>
          <w:rFonts w:ascii="Arial" w:hAnsi="Arial" w:cs="Arial"/>
          <w:color w:val="000000"/>
          <w:sz w:val="22"/>
          <w:szCs w:val="22"/>
        </w:rPr>
      </w:pPr>
    </w:p>
    <w:p w14:paraId="523740C0"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Auxiliar contable por PCI</w:t>
      </w:r>
    </w:p>
    <w:p w14:paraId="2CBBDEEB" w14:textId="77777777" w:rsidR="00AD3CA1" w:rsidRPr="00A0134B" w:rsidRDefault="00AD3CA1" w:rsidP="00CA76B9">
      <w:pPr>
        <w:pStyle w:val="unico"/>
        <w:spacing w:before="0" w:beforeAutospacing="0" w:after="0" w:afterAutospacing="0" w:line="288" w:lineRule="auto"/>
        <w:jc w:val="both"/>
        <w:rPr>
          <w:rFonts w:ascii="Arial" w:hAnsi="Arial" w:cs="Arial"/>
          <w:color w:val="000000"/>
          <w:sz w:val="22"/>
          <w:szCs w:val="22"/>
        </w:rPr>
      </w:pPr>
    </w:p>
    <w:p w14:paraId="3E6396B1"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Permite ser generado para la ECP, PCI o grupo de PCI, y depende del nivel de agregación dentro de cada dato específico seleccionado. El sistema presenta la información por el tipo de auxiliar y los códigos contables seleccionados.</w:t>
      </w:r>
    </w:p>
    <w:p w14:paraId="0D98DC6B"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3C4CBFBA"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Cada tipo de auxiliar contiene la información del saldo anterior, movimiento débito y crédito, y el saldo final, correspondiente al periodo seleccionado y por la PCI, ECP o grupo de </w:t>
      </w:r>
      <w:proofErr w:type="spellStart"/>
      <w:r w:rsidRPr="00A0134B">
        <w:rPr>
          <w:rFonts w:ascii="Arial" w:hAnsi="Arial" w:cs="Arial"/>
          <w:color w:val="000000"/>
          <w:sz w:val="22"/>
          <w:szCs w:val="22"/>
        </w:rPr>
        <w:t>PCI</w:t>
      </w:r>
      <w:r w:rsidR="00DD1E0C" w:rsidRPr="00A0134B">
        <w:rPr>
          <w:rFonts w:ascii="Arial" w:hAnsi="Arial" w:cs="Arial"/>
          <w:color w:val="000000"/>
          <w:sz w:val="22"/>
          <w:szCs w:val="22"/>
        </w:rPr>
        <w:t>’s</w:t>
      </w:r>
      <w:proofErr w:type="spellEnd"/>
      <w:r w:rsidRPr="00A0134B">
        <w:rPr>
          <w:rFonts w:ascii="Arial" w:hAnsi="Arial" w:cs="Arial"/>
          <w:color w:val="000000"/>
          <w:sz w:val="22"/>
          <w:szCs w:val="22"/>
        </w:rPr>
        <w:t>.</w:t>
      </w:r>
    </w:p>
    <w:p w14:paraId="676407A7" w14:textId="77777777" w:rsidR="00AD3CA1" w:rsidRPr="00A0134B" w:rsidRDefault="00AD3CA1" w:rsidP="00CA76B9">
      <w:pPr>
        <w:pStyle w:val="unico"/>
        <w:spacing w:before="0" w:beforeAutospacing="0" w:after="0" w:afterAutospacing="0" w:line="288" w:lineRule="auto"/>
        <w:jc w:val="both"/>
        <w:rPr>
          <w:rFonts w:ascii="Arial" w:hAnsi="Arial" w:cs="Arial"/>
          <w:color w:val="000000"/>
          <w:sz w:val="22"/>
          <w:szCs w:val="22"/>
        </w:rPr>
      </w:pPr>
    </w:p>
    <w:p w14:paraId="03867DA5"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Auxiliar detallado</w:t>
      </w:r>
    </w:p>
    <w:p w14:paraId="598ECC9A" w14:textId="77777777" w:rsidR="00AD3CA1" w:rsidRPr="00A0134B" w:rsidRDefault="00AD3CA1" w:rsidP="00CA76B9">
      <w:pPr>
        <w:spacing w:line="288" w:lineRule="auto"/>
        <w:rPr>
          <w:rFonts w:ascii="Arial" w:hAnsi="Arial" w:cs="Arial"/>
          <w:sz w:val="22"/>
          <w:szCs w:val="22"/>
        </w:rPr>
      </w:pPr>
    </w:p>
    <w:p w14:paraId="564C097C"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Permite ser generado para la ECP o para una PCI y depende del nivel de detalle del código contable (clase, grupo, cuenta, subcuenta o auxiliar directo), por cada tipo auxiliar seleccionado.</w:t>
      </w:r>
    </w:p>
    <w:p w14:paraId="3E14B636"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p>
    <w:p w14:paraId="3B9EF921"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Para un código contable y el auxiliar seleccionado en un rango de fechas, presenta los datos del comprobante (fecha, tipo, número de transacción y del comprobante), del documento fuente (transacción y número), </w:t>
      </w:r>
      <w:proofErr w:type="gramStart"/>
      <w:r w:rsidRPr="00A0134B">
        <w:rPr>
          <w:rFonts w:ascii="Arial" w:hAnsi="Arial" w:cs="Arial"/>
          <w:color w:val="000000"/>
          <w:sz w:val="22"/>
          <w:szCs w:val="22"/>
        </w:rPr>
        <w:t>los movimientos debe</w:t>
      </w:r>
      <w:proofErr w:type="gramEnd"/>
      <w:r w:rsidRPr="00A0134B">
        <w:rPr>
          <w:rFonts w:ascii="Arial" w:hAnsi="Arial" w:cs="Arial"/>
          <w:color w:val="000000"/>
          <w:sz w:val="22"/>
          <w:szCs w:val="22"/>
        </w:rPr>
        <w:t xml:space="preserve"> y haber y el total.</w:t>
      </w:r>
    </w:p>
    <w:p w14:paraId="5CC833B7" w14:textId="3A121EDD" w:rsidR="00DD1E0C" w:rsidRDefault="00DD1E0C" w:rsidP="00CA76B9">
      <w:pPr>
        <w:pStyle w:val="Ttulo2"/>
        <w:spacing w:line="288" w:lineRule="auto"/>
        <w:rPr>
          <w:rFonts w:ascii="Arial" w:hAnsi="Arial" w:cs="Arial"/>
          <w:color w:val="000000"/>
          <w:sz w:val="22"/>
          <w:szCs w:val="22"/>
        </w:rPr>
      </w:pPr>
    </w:p>
    <w:p w14:paraId="6436D249" w14:textId="262E17BB" w:rsidR="00DB6F34" w:rsidRDefault="00DB6F34" w:rsidP="00DB6F34"/>
    <w:p w14:paraId="51513946" w14:textId="59E9CD69" w:rsidR="00DB6F34" w:rsidRDefault="00DB6F34" w:rsidP="00DB6F34"/>
    <w:p w14:paraId="797A20F7" w14:textId="528956ED" w:rsidR="00DB6F34" w:rsidRDefault="00DB6F34" w:rsidP="00DB6F34"/>
    <w:p w14:paraId="79D8AAC5" w14:textId="4511CF6F" w:rsidR="00DB6F34" w:rsidRDefault="00DB6F34" w:rsidP="00DB6F34"/>
    <w:p w14:paraId="574FC0B2" w14:textId="26F3C6DF" w:rsidR="00DB6F34" w:rsidRDefault="00DB6F34" w:rsidP="00DB6F34"/>
    <w:p w14:paraId="71211254" w14:textId="77777777" w:rsidR="00DB6F34" w:rsidRPr="00DB6F34" w:rsidRDefault="00DB6F34" w:rsidP="00DB6F34"/>
    <w:p w14:paraId="0774CD53" w14:textId="77777777" w:rsidR="0050531D" w:rsidRPr="00852A89" w:rsidRDefault="0050531D" w:rsidP="00343ECE">
      <w:pPr>
        <w:pStyle w:val="Ttulo3"/>
        <w:numPr>
          <w:ilvl w:val="2"/>
          <w:numId w:val="15"/>
        </w:numPr>
        <w:spacing w:line="288" w:lineRule="auto"/>
        <w:rPr>
          <w:rFonts w:ascii="Arial" w:hAnsi="Arial" w:cs="Arial"/>
          <w:b/>
          <w:color w:val="000000"/>
          <w:sz w:val="22"/>
          <w:szCs w:val="22"/>
        </w:rPr>
      </w:pPr>
      <w:bookmarkStart w:id="157" w:name="_Toc59377842"/>
      <w:r w:rsidRPr="00852A89">
        <w:rPr>
          <w:rFonts w:ascii="Arial" w:hAnsi="Arial" w:cs="Arial"/>
          <w:b/>
          <w:color w:val="000000"/>
          <w:sz w:val="22"/>
          <w:szCs w:val="22"/>
        </w:rPr>
        <w:lastRenderedPageBreak/>
        <w:t>Reportes formularios contables</w:t>
      </w:r>
      <w:bookmarkEnd w:id="157"/>
    </w:p>
    <w:p w14:paraId="26F59476" w14:textId="77777777" w:rsidR="00852A89" w:rsidRPr="00852A89" w:rsidRDefault="00852A89" w:rsidP="00CA76B9">
      <w:pPr>
        <w:spacing w:line="288" w:lineRule="auto"/>
        <w:ind w:left="720"/>
      </w:pPr>
    </w:p>
    <w:p w14:paraId="364D4C42" w14:textId="77777777" w:rsidR="0050531D" w:rsidRPr="006D07D3" w:rsidRDefault="0050531D" w:rsidP="00CA76B9">
      <w:pPr>
        <w:spacing w:line="288" w:lineRule="auto"/>
        <w:rPr>
          <w:rFonts w:ascii="Arial" w:hAnsi="Arial" w:cs="Arial"/>
          <w:b/>
          <w:color w:val="000000"/>
          <w:sz w:val="22"/>
          <w:szCs w:val="22"/>
        </w:rPr>
      </w:pPr>
      <w:r w:rsidRPr="006D07D3">
        <w:rPr>
          <w:rFonts w:ascii="Arial" w:hAnsi="Arial" w:cs="Arial"/>
          <w:b/>
          <w:color w:val="000000"/>
          <w:sz w:val="22"/>
          <w:szCs w:val="22"/>
        </w:rPr>
        <w:t>Formulario CGN20</w:t>
      </w:r>
      <w:r w:rsidR="00DD1E0C" w:rsidRPr="006D07D3">
        <w:rPr>
          <w:rFonts w:ascii="Arial" w:hAnsi="Arial" w:cs="Arial"/>
          <w:b/>
          <w:color w:val="000000"/>
          <w:sz w:val="22"/>
          <w:szCs w:val="22"/>
        </w:rPr>
        <w:t>15.001 Saldos y M</w:t>
      </w:r>
      <w:r w:rsidRPr="006D07D3">
        <w:rPr>
          <w:rFonts w:ascii="Arial" w:hAnsi="Arial" w:cs="Arial"/>
          <w:b/>
          <w:color w:val="000000"/>
          <w:sz w:val="22"/>
          <w:szCs w:val="22"/>
        </w:rPr>
        <w:t>ovimientos</w:t>
      </w:r>
      <w:r w:rsidR="00091E6E" w:rsidRPr="006D07D3">
        <w:rPr>
          <w:rFonts w:ascii="Arial" w:hAnsi="Arial" w:cs="Arial"/>
          <w:b/>
          <w:color w:val="000000"/>
          <w:sz w:val="22"/>
          <w:szCs w:val="22"/>
        </w:rPr>
        <w:t xml:space="preserve"> Convergencia </w:t>
      </w:r>
    </w:p>
    <w:p w14:paraId="4E734E33" w14:textId="77777777" w:rsidR="00DD1E0C" w:rsidRPr="00A0134B" w:rsidRDefault="00DD1E0C" w:rsidP="00CA76B9">
      <w:pPr>
        <w:spacing w:line="288" w:lineRule="auto"/>
        <w:rPr>
          <w:rFonts w:ascii="Arial" w:hAnsi="Arial" w:cs="Arial"/>
          <w:sz w:val="22"/>
          <w:szCs w:val="22"/>
        </w:rPr>
      </w:pPr>
    </w:p>
    <w:p w14:paraId="388BECA5" w14:textId="77777777" w:rsidR="0050531D" w:rsidRPr="00A0134B" w:rsidRDefault="0050531D" w:rsidP="00CA76B9">
      <w:pPr>
        <w:pStyle w:val="unico"/>
        <w:spacing w:before="0" w:beforeAutospacing="0" w:after="0" w:afterAutospacing="0" w:line="288" w:lineRule="auto"/>
        <w:jc w:val="both"/>
        <w:rPr>
          <w:rFonts w:ascii="Arial" w:hAnsi="Arial" w:cs="Arial"/>
          <w:color w:val="000000"/>
          <w:sz w:val="22"/>
          <w:szCs w:val="22"/>
        </w:rPr>
      </w:pPr>
      <w:r w:rsidRPr="00A0134B">
        <w:rPr>
          <w:rFonts w:ascii="Arial" w:hAnsi="Arial" w:cs="Arial"/>
          <w:color w:val="000000"/>
          <w:sz w:val="22"/>
          <w:szCs w:val="22"/>
        </w:rPr>
        <w:t xml:space="preserve">Una vez se haya cumplido la fecha límite para hacer registros en el macroproceso contable, se procede a la distribución del saldo en corriente y no corriente, de aquellos códigos </w:t>
      </w:r>
      <w:proofErr w:type="gramStart"/>
      <w:r w:rsidRPr="00A0134B">
        <w:rPr>
          <w:rFonts w:ascii="Arial" w:hAnsi="Arial" w:cs="Arial"/>
          <w:color w:val="000000"/>
          <w:sz w:val="22"/>
          <w:szCs w:val="22"/>
        </w:rPr>
        <w:t>que</w:t>
      </w:r>
      <w:proofErr w:type="gramEnd"/>
      <w:r w:rsidRPr="00A0134B">
        <w:rPr>
          <w:rFonts w:ascii="Arial" w:hAnsi="Arial" w:cs="Arial"/>
          <w:color w:val="000000"/>
          <w:sz w:val="22"/>
          <w:szCs w:val="22"/>
        </w:rPr>
        <w:t xml:space="preserve"> en el catálogo contable, tienen definida la clasificación “ambos”, lo que significa que el saldo está conformado por una porción corriente y/o no corriente.</w:t>
      </w:r>
    </w:p>
    <w:p w14:paraId="6B0241EB" w14:textId="77777777" w:rsidR="0050531D" w:rsidRDefault="0050531D" w:rsidP="0050531D">
      <w:pPr>
        <w:pStyle w:val="unico"/>
        <w:spacing w:before="0" w:beforeAutospacing="0" w:after="0" w:afterAutospacing="0"/>
        <w:jc w:val="both"/>
        <w:rPr>
          <w:rFonts w:ascii="Arial" w:hAnsi="Arial" w:cs="Arial"/>
          <w:color w:val="000000"/>
          <w:sz w:val="27"/>
          <w:szCs w:val="27"/>
        </w:rPr>
      </w:pPr>
      <w:r>
        <w:rPr>
          <w:rFonts w:ascii="Arial" w:hAnsi="Arial" w:cs="Arial"/>
          <w:color w:val="000000"/>
          <w:sz w:val="27"/>
          <w:szCs w:val="27"/>
        </w:rPr>
        <w:t> </w:t>
      </w:r>
    </w:p>
    <w:p w14:paraId="50A7B541" w14:textId="77777777" w:rsidR="00091E6E" w:rsidRDefault="00E56F22" w:rsidP="00091E6E">
      <w:pPr>
        <w:pStyle w:val="unico"/>
        <w:spacing w:before="0" w:beforeAutospacing="0" w:after="0" w:afterAutospacing="0"/>
        <w:jc w:val="center"/>
        <w:rPr>
          <w:rFonts w:ascii="Arial" w:hAnsi="Arial" w:cs="Arial"/>
          <w:color w:val="000000"/>
          <w:sz w:val="27"/>
          <w:szCs w:val="27"/>
        </w:rPr>
      </w:pPr>
      <w:r w:rsidRPr="006D4060">
        <w:rPr>
          <w:noProof/>
        </w:rPr>
        <w:drawing>
          <wp:inline distT="0" distB="0" distL="0" distR="0" wp14:anchorId="595E8656" wp14:editId="1A54646A">
            <wp:extent cx="5715000" cy="338137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t="16100" r="24910" b="5095"/>
                    <a:stretch>
                      <a:fillRect/>
                    </a:stretch>
                  </pic:blipFill>
                  <pic:spPr bwMode="auto">
                    <a:xfrm>
                      <a:off x="0" y="0"/>
                      <a:ext cx="5715000" cy="3381375"/>
                    </a:xfrm>
                    <a:prstGeom prst="rect">
                      <a:avLst/>
                    </a:prstGeom>
                    <a:noFill/>
                    <a:ln>
                      <a:noFill/>
                    </a:ln>
                  </pic:spPr>
                </pic:pic>
              </a:graphicData>
            </a:graphic>
          </wp:inline>
        </w:drawing>
      </w:r>
    </w:p>
    <w:p w14:paraId="4CE15335" w14:textId="77777777" w:rsidR="00091E6E" w:rsidRDefault="00091E6E" w:rsidP="0050531D">
      <w:pPr>
        <w:pStyle w:val="unico"/>
        <w:spacing w:before="0" w:beforeAutospacing="0" w:after="0" w:afterAutospacing="0"/>
        <w:jc w:val="both"/>
        <w:rPr>
          <w:rFonts w:ascii="Arial" w:hAnsi="Arial" w:cs="Arial"/>
          <w:color w:val="000000"/>
          <w:sz w:val="27"/>
          <w:szCs w:val="27"/>
        </w:rPr>
      </w:pPr>
    </w:p>
    <w:p w14:paraId="5BAF5714" w14:textId="77777777" w:rsidR="00124856" w:rsidRDefault="00124856" w:rsidP="00A0134B">
      <w:pPr>
        <w:pStyle w:val="unico"/>
        <w:spacing w:before="0" w:beforeAutospacing="0" w:after="0" w:afterAutospacing="0" w:line="288" w:lineRule="auto"/>
        <w:jc w:val="both"/>
        <w:rPr>
          <w:rFonts w:ascii="Arial" w:hAnsi="Arial" w:cs="Arial"/>
          <w:color w:val="000000"/>
          <w:sz w:val="22"/>
          <w:szCs w:val="22"/>
        </w:rPr>
      </w:pPr>
    </w:p>
    <w:p w14:paraId="7B41F4DD" w14:textId="70AC8449" w:rsidR="0050531D" w:rsidRDefault="0050531D" w:rsidP="00A0134B">
      <w:pPr>
        <w:pStyle w:val="unico"/>
        <w:spacing w:before="0" w:beforeAutospacing="0" w:after="0" w:afterAutospacing="0" w:line="288" w:lineRule="auto"/>
        <w:jc w:val="both"/>
        <w:rPr>
          <w:rFonts w:ascii="Arial" w:hAnsi="Arial" w:cs="Arial"/>
          <w:color w:val="000000"/>
          <w:sz w:val="22"/>
          <w:szCs w:val="22"/>
        </w:rPr>
      </w:pPr>
      <w:r w:rsidRPr="00091E6E">
        <w:rPr>
          <w:rFonts w:ascii="Arial" w:hAnsi="Arial" w:cs="Arial"/>
          <w:color w:val="000000"/>
          <w:sz w:val="22"/>
          <w:szCs w:val="22"/>
        </w:rPr>
        <w:t>El proceso de distribución de saldos en corriente y no corriente se realiza en cada trimestre, de acuerdo con las fechas establecidas para el reporte de la categoría contable a la Contaduría General de la Nación, CGN a través del CHIP.</w:t>
      </w:r>
    </w:p>
    <w:p w14:paraId="2C5BAF9B" w14:textId="05DB91DC" w:rsidR="00091E6E" w:rsidRDefault="00091E6E" w:rsidP="004F1786">
      <w:pPr>
        <w:pStyle w:val="unico"/>
        <w:spacing w:before="0" w:beforeAutospacing="0" w:after="0" w:afterAutospacing="0" w:line="288" w:lineRule="auto"/>
        <w:jc w:val="both"/>
        <w:rPr>
          <w:rFonts w:ascii="Arial" w:hAnsi="Arial" w:cs="Arial"/>
          <w:color w:val="000000"/>
          <w:sz w:val="22"/>
          <w:szCs w:val="22"/>
        </w:rPr>
      </w:pPr>
    </w:p>
    <w:p w14:paraId="53776A88" w14:textId="76C776A9"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5D201B44" w14:textId="33C2F2DE"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58EC0F74" w14:textId="7319C90D"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3F42F7DA" w14:textId="072B310D"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1F0584CF" w14:textId="31C4BECF"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63D8DB39" w14:textId="115EF340"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02A6940D" w14:textId="4B8A7A3C"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1A801C87" w14:textId="77777777" w:rsidR="00DB6F34" w:rsidRDefault="00DB6F34" w:rsidP="004F1786">
      <w:pPr>
        <w:pStyle w:val="unico"/>
        <w:spacing w:before="0" w:beforeAutospacing="0" w:after="0" w:afterAutospacing="0" w:line="288" w:lineRule="auto"/>
        <w:jc w:val="both"/>
        <w:rPr>
          <w:rFonts w:ascii="Arial" w:hAnsi="Arial" w:cs="Arial"/>
          <w:color w:val="000000"/>
          <w:sz w:val="22"/>
          <w:szCs w:val="22"/>
        </w:rPr>
      </w:pPr>
    </w:p>
    <w:p w14:paraId="546CA7BF" w14:textId="77777777" w:rsidR="00091E6E" w:rsidRPr="00A736A0" w:rsidRDefault="00091E6E" w:rsidP="00A736A0">
      <w:pPr>
        <w:rPr>
          <w:rFonts w:ascii="Arial" w:hAnsi="Arial" w:cs="Arial"/>
          <w:b/>
          <w:color w:val="000000"/>
          <w:sz w:val="22"/>
          <w:szCs w:val="22"/>
        </w:rPr>
      </w:pPr>
      <w:r w:rsidRPr="00A736A0">
        <w:rPr>
          <w:rFonts w:ascii="Arial" w:hAnsi="Arial" w:cs="Arial"/>
          <w:b/>
          <w:color w:val="000000"/>
          <w:sz w:val="22"/>
          <w:szCs w:val="22"/>
        </w:rPr>
        <w:lastRenderedPageBreak/>
        <w:t xml:space="preserve">Formulario CGN2015.002 Operaciones Recíprocas Convergencia </w:t>
      </w:r>
    </w:p>
    <w:p w14:paraId="676C2D71" w14:textId="77777777" w:rsidR="00626C6A" w:rsidRPr="00626C6A" w:rsidRDefault="00626C6A" w:rsidP="00626C6A"/>
    <w:p w14:paraId="3C1826D6" w14:textId="77777777" w:rsidR="00626C6A" w:rsidRDefault="00E56F22" w:rsidP="00626C6A">
      <w:r w:rsidRPr="00626C6A">
        <w:rPr>
          <w:noProof/>
          <w:lang w:val="es-CO" w:eastAsia="es-CO"/>
        </w:rPr>
        <w:drawing>
          <wp:inline distT="0" distB="0" distL="0" distR="0" wp14:anchorId="329D01D0" wp14:editId="4C5B5118">
            <wp:extent cx="5610225"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noFill/>
                    <a:ln>
                      <a:noFill/>
                    </a:ln>
                  </pic:spPr>
                </pic:pic>
              </a:graphicData>
            </a:graphic>
          </wp:inline>
        </w:drawing>
      </w:r>
    </w:p>
    <w:p w14:paraId="0596B0F8" w14:textId="77777777" w:rsidR="00626C6A" w:rsidRPr="00626C6A" w:rsidRDefault="00626C6A" w:rsidP="00626C6A"/>
    <w:p w14:paraId="010FC9AD" w14:textId="5429F7B2" w:rsidR="00091E6E" w:rsidRPr="006C2EB4" w:rsidRDefault="005755B1" w:rsidP="00CA76B9">
      <w:pPr>
        <w:pStyle w:val="unico"/>
        <w:spacing w:before="0" w:beforeAutospacing="0" w:after="0" w:afterAutospacing="0" w:line="288" w:lineRule="auto"/>
        <w:jc w:val="both"/>
        <w:rPr>
          <w:rFonts w:ascii="Arial" w:hAnsi="Arial" w:cs="Arial"/>
          <w:i/>
          <w:iCs/>
          <w:color w:val="000000"/>
          <w:sz w:val="22"/>
          <w:szCs w:val="22"/>
        </w:rPr>
      </w:pPr>
      <w:r w:rsidRPr="00AD11B7">
        <w:rPr>
          <w:rFonts w:ascii="Arial" w:hAnsi="Arial" w:cs="Arial"/>
          <w:color w:val="000000"/>
          <w:sz w:val="22"/>
          <w:szCs w:val="22"/>
        </w:rPr>
        <w:t>Este formato tiene como prerrequisito haber generado el formato CGN.20</w:t>
      </w:r>
      <w:r w:rsidR="002649E3" w:rsidRPr="00AD11B7">
        <w:rPr>
          <w:rFonts w:ascii="Arial" w:hAnsi="Arial" w:cs="Arial"/>
          <w:color w:val="000000"/>
          <w:sz w:val="22"/>
          <w:szCs w:val="22"/>
        </w:rPr>
        <w:t>1</w:t>
      </w:r>
      <w:r w:rsidRPr="00AD11B7">
        <w:rPr>
          <w:rFonts w:ascii="Arial" w:hAnsi="Arial" w:cs="Arial"/>
          <w:color w:val="000000"/>
          <w:sz w:val="22"/>
          <w:szCs w:val="22"/>
        </w:rPr>
        <w:t>5.001; por cada código contable seleccionado se visualizan los saldos recíprocos, con cada uno de los códigos de consolidación de las ECP vinculadas como auxiliar de los códigos contables con</w:t>
      </w:r>
      <w:r w:rsidR="002649E3" w:rsidRPr="00AD11B7">
        <w:rPr>
          <w:rFonts w:ascii="Arial" w:hAnsi="Arial" w:cs="Arial"/>
          <w:color w:val="000000"/>
          <w:sz w:val="22"/>
          <w:szCs w:val="22"/>
        </w:rPr>
        <w:t xml:space="preserve"> valor “SÍ” en el concepto de </w:t>
      </w:r>
      <w:r w:rsidR="002649E3" w:rsidRPr="006C2EB4">
        <w:rPr>
          <w:rFonts w:ascii="Arial" w:hAnsi="Arial" w:cs="Arial"/>
          <w:i/>
          <w:iCs/>
          <w:color w:val="000000"/>
          <w:sz w:val="22"/>
          <w:szCs w:val="22"/>
        </w:rPr>
        <w:t>“R</w:t>
      </w:r>
      <w:r w:rsidRPr="006C2EB4">
        <w:rPr>
          <w:rFonts w:ascii="Arial" w:hAnsi="Arial" w:cs="Arial"/>
          <w:i/>
          <w:iCs/>
          <w:color w:val="000000"/>
          <w:sz w:val="22"/>
          <w:szCs w:val="22"/>
        </w:rPr>
        <w:t>ecíproca”</w:t>
      </w:r>
      <w:r w:rsidRPr="00AD11B7">
        <w:rPr>
          <w:rFonts w:ascii="Arial" w:hAnsi="Arial" w:cs="Arial"/>
          <w:color w:val="000000"/>
          <w:sz w:val="22"/>
          <w:szCs w:val="22"/>
        </w:rPr>
        <w:t xml:space="preserve"> de la tabl</w:t>
      </w:r>
      <w:r w:rsidR="002649E3" w:rsidRPr="00AD11B7">
        <w:rPr>
          <w:rFonts w:ascii="Arial" w:hAnsi="Arial" w:cs="Arial"/>
          <w:color w:val="000000"/>
          <w:sz w:val="22"/>
          <w:szCs w:val="22"/>
        </w:rPr>
        <w:t xml:space="preserve">a de eventos contables </w:t>
      </w:r>
      <w:r w:rsidR="002649E3" w:rsidRPr="006C2EB4">
        <w:rPr>
          <w:rFonts w:ascii="Arial" w:hAnsi="Arial" w:cs="Arial"/>
          <w:i/>
          <w:iCs/>
          <w:color w:val="000000"/>
          <w:sz w:val="22"/>
          <w:szCs w:val="22"/>
        </w:rPr>
        <w:t>“TCON01-Catálogo C</w:t>
      </w:r>
      <w:r w:rsidRPr="006C2EB4">
        <w:rPr>
          <w:rFonts w:ascii="Arial" w:hAnsi="Arial" w:cs="Arial"/>
          <w:i/>
          <w:iCs/>
          <w:color w:val="000000"/>
          <w:sz w:val="22"/>
          <w:szCs w:val="22"/>
        </w:rPr>
        <w:t>ontable”.</w:t>
      </w:r>
    </w:p>
    <w:p w14:paraId="69105C1A" w14:textId="77777777" w:rsidR="00CA77F2" w:rsidRPr="006C2EB4" w:rsidRDefault="00CA77F2" w:rsidP="00CA76B9">
      <w:pPr>
        <w:pStyle w:val="unico"/>
        <w:spacing w:before="0" w:beforeAutospacing="0" w:after="0" w:afterAutospacing="0" w:line="288" w:lineRule="auto"/>
        <w:jc w:val="both"/>
        <w:rPr>
          <w:rFonts w:ascii="Arial" w:hAnsi="Arial" w:cs="Arial"/>
          <w:i/>
          <w:iCs/>
          <w:color w:val="000000"/>
          <w:sz w:val="22"/>
          <w:szCs w:val="22"/>
        </w:rPr>
      </w:pPr>
    </w:p>
    <w:p w14:paraId="29A23C32" w14:textId="677E4137" w:rsidR="0046335B" w:rsidRPr="00CA77F2" w:rsidRDefault="00E72B79" w:rsidP="00343ECE">
      <w:pPr>
        <w:pStyle w:val="Ttulo2"/>
        <w:numPr>
          <w:ilvl w:val="1"/>
          <w:numId w:val="15"/>
        </w:numPr>
        <w:spacing w:line="288" w:lineRule="auto"/>
        <w:ind w:left="405"/>
        <w:rPr>
          <w:rFonts w:ascii="Arial" w:hAnsi="Arial" w:cs="Arial"/>
          <w:sz w:val="22"/>
          <w:szCs w:val="22"/>
        </w:rPr>
      </w:pPr>
      <w:bookmarkStart w:id="158" w:name="_Toc59377843"/>
      <w:bookmarkStart w:id="159" w:name="_Toc397936273"/>
      <w:bookmarkStart w:id="160" w:name="_Toc459991373"/>
      <w:bookmarkStart w:id="161" w:name="_Toc490726973"/>
      <w:bookmarkStart w:id="162" w:name="_Toc490727921"/>
      <w:r w:rsidRPr="00CA77F2">
        <w:rPr>
          <w:rFonts w:ascii="Arial" w:hAnsi="Arial" w:cs="Arial"/>
          <w:sz w:val="22"/>
          <w:szCs w:val="22"/>
        </w:rPr>
        <w:t>SISTEMA DOCUMENTAL CONTABLE</w:t>
      </w:r>
      <w:bookmarkEnd w:id="158"/>
      <w:r w:rsidRPr="00CA77F2">
        <w:rPr>
          <w:rFonts w:ascii="Arial" w:hAnsi="Arial" w:cs="Arial"/>
          <w:sz w:val="22"/>
          <w:szCs w:val="22"/>
        </w:rPr>
        <w:t xml:space="preserve"> </w:t>
      </w:r>
      <w:bookmarkEnd w:id="159"/>
      <w:bookmarkEnd w:id="160"/>
      <w:bookmarkEnd w:id="161"/>
      <w:bookmarkEnd w:id="162"/>
    </w:p>
    <w:p w14:paraId="4FEC105F" w14:textId="77777777" w:rsidR="008C6FA7" w:rsidRPr="005A21D2" w:rsidRDefault="008C6FA7" w:rsidP="00CA76B9">
      <w:pPr>
        <w:pStyle w:val="Ttulo2"/>
        <w:spacing w:line="288" w:lineRule="auto"/>
        <w:ind w:left="-75"/>
        <w:rPr>
          <w:rFonts w:ascii="Arial" w:hAnsi="Arial" w:cs="Arial"/>
          <w:sz w:val="22"/>
          <w:szCs w:val="22"/>
          <w:highlight w:val="yellow"/>
        </w:rPr>
      </w:pPr>
    </w:p>
    <w:p w14:paraId="6FEEBF75" w14:textId="32E4AB4A" w:rsidR="00E72B79" w:rsidRPr="005A21D2" w:rsidRDefault="00E72B79" w:rsidP="00CA76B9">
      <w:pPr>
        <w:spacing w:line="288" w:lineRule="auto"/>
        <w:jc w:val="both"/>
        <w:rPr>
          <w:rFonts w:ascii="Arial" w:hAnsi="Arial" w:cs="Arial"/>
          <w:sz w:val="22"/>
          <w:szCs w:val="22"/>
        </w:rPr>
      </w:pPr>
      <w:r w:rsidRPr="005A21D2">
        <w:rPr>
          <w:rFonts w:ascii="Arial" w:hAnsi="Arial" w:cs="Arial"/>
          <w:sz w:val="22"/>
          <w:szCs w:val="22"/>
        </w:rPr>
        <w:t xml:space="preserve">El sistema documental contable tiene como objetivo establecer los criterios para garantizar la inalterabilidad, integridad, verificabilidad, seguridad y conservación de la información financiera, regulando aspectos relativos a los documentos contables, los cuales corresponden a los </w:t>
      </w:r>
      <w:r w:rsidRPr="005A21D2">
        <w:rPr>
          <w:rFonts w:ascii="Arial" w:hAnsi="Arial" w:cs="Arial"/>
          <w:b/>
          <w:sz w:val="22"/>
          <w:szCs w:val="22"/>
        </w:rPr>
        <w:t xml:space="preserve">soportes, comprobantes </w:t>
      </w:r>
      <w:r w:rsidRPr="005A21D2">
        <w:rPr>
          <w:rFonts w:ascii="Arial" w:hAnsi="Arial" w:cs="Arial"/>
          <w:sz w:val="22"/>
          <w:szCs w:val="22"/>
        </w:rPr>
        <w:t xml:space="preserve">y </w:t>
      </w:r>
      <w:r w:rsidRPr="005A21D2">
        <w:rPr>
          <w:rFonts w:ascii="Arial" w:hAnsi="Arial" w:cs="Arial"/>
          <w:b/>
          <w:sz w:val="22"/>
          <w:szCs w:val="22"/>
        </w:rPr>
        <w:t>libros de contabilidad</w:t>
      </w:r>
      <w:r w:rsidRPr="005A21D2">
        <w:rPr>
          <w:rFonts w:ascii="Arial" w:hAnsi="Arial" w:cs="Arial"/>
          <w:sz w:val="22"/>
          <w:szCs w:val="22"/>
        </w:rPr>
        <w:t xml:space="preserve">. </w:t>
      </w:r>
    </w:p>
    <w:p w14:paraId="38CE1D69" w14:textId="77777777" w:rsidR="00E72B79" w:rsidRPr="005A21D2" w:rsidRDefault="00E72B79" w:rsidP="00CA76B9">
      <w:pPr>
        <w:spacing w:line="288" w:lineRule="auto"/>
        <w:jc w:val="both"/>
        <w:rPr>
          <w:sz w:val="22"/>
          <w:szCs w:val="22"/>
        </w:rPr>
      </w:pPr>
    </w:p>
    <w:p w14:paraId="009B159D" w14:textId="014DF61C" w:rsidR="00E72B79" w:rsidRPr="00DD1538" w:rsidRDefault="006F471B" w:rsidP="00CA76B9">
      <w:pPr>
        <w:spacing w:line="288" w:lineRule="auto"/>
        <w:jc w:val="both"/>
        <w:rPr>
          <w:rFonts w:ascii="Arial" w:hAnsi="Arial" w:cs="Arial"/>
          <w:sz w:val="22"/>
          <w:szCs w:val="22"/>
        </w:rPr>
      </w:pPr>
      <w:r w:rsidRPr="0020276A">
        <w:rPr>
          <w:rFonts w:ascii="Arial" w:hAnsi="Arial" w:cs="Arial"/>
          <w:sz w:val="22"/>
          <w:szCs w:val="22"/>
        </w:rPr>
        <w:t>De acuerdo con lo definido por la Contaduría General de la Nación, y t</w:t>
      </w:r>
      <w:r w:rsidR="00E72B79" w:rsidRPr="0020276A">
        <w:rPr>
          <w:rFonts w:ascii="Arial" w:hAnsi="Arial" w:cs="Arial"/>
          <w:sz w:val="22"/>
          <w:szCs w:val="22"/>
        </w:rPr>
        <w:t>eniendo en cuenta que el Ministerio de Hacienda y Crédito Público</w:t>
      </w:r>
      <w:r w:rsidR="00F24CB2">
        <w:rPr>
          <w:rFonts w:ascii="Arial" w:hAnsi="Arial" w:cs="Arial"/>
          <w:sz w:val="22"/>
          <w:szCs w:val="22"/>
        </w:rPr>
        <w:t xml:space="preserve"> se encuentra</w:t>
      </w:r>
      <w:r w:rsidR="00E72B79" w:rsidRPr="0020276A">
        <w:rPr>
          <w:rFonts w:ascii="Arial" w:hAnsi="Arial" w:cs="Arial"/>
          <w:sz w:val="22"/>
          <w:szCs w:val="22"/>
        </w:rPr>
        <w:t xml:space="preserve"> bajo el ámbito del Sistema Integrado de Información Financiera (SIIF Nación), la responsabilidad </w:t>
      </w:r>
      <w:r w:rsidRPr="0020276A">
        <w:rPr>
          <w:rFonts w:ascii="Arial" w:hAnsi="Arial" w:cs="Arial"/>
          <w:sz w:val="22"/>
          <w:szCs w:val="22"/>
        </w:rPr>
        <w:t xml:space="preserve">de la Entidad </w:t>
      </w:r>
      <w:r w:rsidR="00E72B79" w:rsidRPr="0020276A">
        <w:rPr>
          <w:rFonts w:ascii="Arial" w:hAnsi="Arial" w:cs="Arial"/>
          <w:sz w:val="22"/>
          <w:szCs w:val="22"/>
        </w:rPr>
        <w:t xml:space="preserve">frente a la administración del sistema documental contable </w:t>
      </w:r>
      <w:r w:rsidRPr="00621212">
        <w:rPr>
          <w:rFonts w:ascii="Arial" w:hAnsi="Arial" w:cs="Arial"/>
          <w:sz w:val="22"/>
          <w:szCs w:val="22"/>
        </w:rPr>
        <w:t xml:space="preserve">será la que establezcan las normas que regulan dicho sistema. </w:t>
      </w:r>
      <w:r w:rsidRPr="00DD1538">
        <w:rPr>
          <w:rFonts w:ascii="Arial" w:hAnsi="Arial" w:cs="Arial"/>
          <w:sz w:val="22"/>
          <w:szCs w:val="22"/>
        </w:rPr>
        <w:t xml:space="preserve"> </w:t>
      </w:r>
      <w:r w:rsidR="00E72B79" w:rsidRPr="00DD1538">
        <w:rPr>
          <w:rFonts w:ascii="Arial" w:hAnsi="Arial" w:cs="Arial"/>
          <w:sz w:val="22"/>
          <w:szCs w:val="22"/>
        </w:rPr>
        <w:t xml:space="preserve"> </w:t>
      </w:r>
    </w:p>
    <w:p w14:paraId="3B163C56" w14:textId="77777777" w:rsidR="00E72B79" w:rsidRPr="00DD1538" w:rsidRDefault="00E72B79" w:rsidP="00CA76B9">
      <w:pPr>
        <w:spacing w:line="288" w:lineRule="auto"/>
        <w:jc w:val="both"/>
        <w:rPr>
          <w:rFonts w:ascii="Arial" w:hAnsi="Arial" w:cs="Arial"/>
          <w:sz w:val="22"/>
          <w:szCs w:val="22"/>
        </w:rPr>
      </w:pPr>
    </w:p>
    <w:p w14:paraId="22F6F000" w14:textId="31A4A65E" w:rsidR="00261FFB" w:rsidRPr="005A21D2" w:rsidRDefault="00261FFB" w:rsidP="00CA76B9">
      <w:pPr>
        <w:spacing w:line="288" w:lineRule="auto"/>
        <w:jc w:val="both"/>
        <w:rPr>
          <w:rFonts w:ascii="Arial" w:hAnsi="Arial" w:cs="Arial"/>
          <w:sz w:val="22"/>
          <w:szCs w:val="22"/>
        </w:rPr>
      </w:pPr>
      <w:r w:rsidRPr="005A21D2">
        <w:rPr>
          <w:rFonts w:ascii="Arial" w:hAnsi="Arial" w:cs="Arial"/>
          <w:sz w:val="22"/>
          <w:szCs w:val="22"/>
        </w:rPr>
        <w:t xml:space="preserve">Ahora bien, considerando las etapas del </w:t>
      </w:r>
      <w:r w:rsidR="00F24CB2" w:rsidRPr="00F24CB2">
        <w:rPr>
          <w:rFonts w:ascii="Arial" w:hAnsi="Arial" w:cs="Arial"/>
          <w:sz w:val="22"/>
          <w:szCs w:val="22"/>
        </w:rPr>
        <w:t>proceso contable</w:t>
      </w:r>
      <w:r w:rsidR="0085762B" w:rsidRPr="005A21D2">
        <w:rPr>
          <w:rFonts w:ascii="Arial" w:hAnsi="Arial" w:cs="Arial"/>
          <w:sz w:val="22"/>
          <w:szCs w:val="22"/>
        </w:rPr>
        <w:t xml:space="preserve"> (reconocimiento, medición posterior y revelación)</w:t>
      </w:r>
      <w:r w:rsidR="00B4625E">
        <w:rPr>
          <w:rFonts w:ascii="Arial" w:hAnsi="Arial" w:cs="Arial"/>
          <w:sz w:val="22"/>
          <w:szCs w:val="22"/>
        </w:rPr>
        <w:t>,</w:t>
      </w:r>
      <w:r w:rsidR="0085762B" w:rsidRPr="005A21D2">
        <w:rPr>
          <w:rFonts w:ascii="Arial" w:hAnsi="Arial" w:cs="Arial"/>
          <w:sz w:val="22"/>
          <w:szCs w:val="22"/>
        </w:rPr>
        <w:t xml:space="preserve"> </w:t>
      </w:r>
      <w:r w:rsidRPr="005A21D2">
        <w:rPr>
          <w:rFonts w:ascii="Arial" w:hAnsi="Arial" w:cs="Arial"/>
          <w:sz w:val="22"/>
          <w:szCs w:val="22"/>
        </w:rPr>
        <w:t>e</w:t>
      </w:r>
      <w:r w:rsidR="00E72B79" w:rsidRPr="005A21D2">
        <w:rPr>
          <w:rFonts w:ascii="Arial" w:hAnsi="Arial" w:cs="Arial"/>
          <w:sz w:val="22"/>
          <w:szCs w:val="22"/>
        </w:rPr>
        <w:t>n el reconocimiento se afectan las cuentas con</w:t>
      </w:r>
      <w:r w:rsidR="00B4625E" w:rsidRPr="00B4625E">
        <w:rPr>
          <w:rFonts w:ascii="Arial" w:hAnsi="Arial" w:cs="Arial"/>
          <w:sz w:val="22"/>
          <w:szCs w:val="22"/>
        </w:rPr>
        <w:t xml:space="preserve">tables acorde con el hecho y </w:t>
      </w:r>
      <w:r w:rsidR="00E72B79" w:rsidRPr="005A21D2">
        <w:rPr>
          <w:rFonts w:ascii="Arial" w:hAnsi="Arial" w:cs="Arial"/>
          <w:sz w:val="22"/>
          <w:szCs w:val="22"/>
        </w:rPr>
        <w:t xml:space="preserve">con posterioridad al reconocimiento, </w:t>
      </w:r>
      <w:r w:rsidR="00A760D2" w:rsidRPr="005A21D2">
        <w:rPr>
          <w:rFonts w:ascii="Arial" w:hAnsi="Arial" w:cs="Arial"/>
          <w:sz w:val="22"/>
          <w:szCs w:val="22"/>
        </w:rPr>
        <w:t>el Ministerio de Hacienda y Crédito Público</w:t>
      </w:r>
      <w:r w:rsidR="00E72B79" w:rsidRPr="005A21D2">
        <w:rPr>
          <w:rFonts w:ascii="Arial" w:hAnsi="Arial" w:cs="Arial"/>
          <w:sz w:val="22"/>
          <w:szCs w:val="22"/>
        </w:rPr>
        <w:t xml:space="preserve"> ajusta las partidas inicialmente reconocidas siguiendo los criterios establecidos en</w:t>
      </w:r>
      <w:r w:rsidR="00A760D2" w:rsidRPr="005A21D2">
        <w:rPr>
          <w:rFonts w:ascii="Arial" w:hAnsi="Arial" w:cs="Arial"/>
          <w:sz w:val="22"/>
          <w:szCs w:val="22"/>
        </w:rPr>
        <w:t xml:space="preserve"> el Marco Normativo aplicable a Entidades de Gobierno. </w:t>
      </w:r>
      <w:r w:rsidR="00E72B79" w:rsidRPr="005A21D2">
        <w:rPr>
          <w:rFonts w:ascii="Arial" w:hAnsi="Arial" w:cs="Arial"/>
          <w:sz w:val="22"/>
          <w:szCs w:val="22"/>
        </w:rPr>
        <w:t xml:space="preserve">En cada una de las anteriores circunstancias, los hechos económicos que dan origen al </w:t>
      </w:r>
      <w:r w:rsidR="00E72B79" w:rsidRPr="005A21D2">
        <w:rPr>
          <w:rFonts w:ascii="Arial" w:hAnsi="Arial" w:cs="Arial"/>
          <w:b/>
          <w:sz w:val="22"/>
          <w:szCs w:val="22"/>
        </w:rPr>
        <w:t>reconocimiento,</w:t>
      </w:r>
      <w:r w:rsidR="00E72B79" w:rsidRPr="005A21D2">
        <w:rPr>
          <w:rFonts w:ascii="Arial" w:hAnsi="Arial" w:cs="Arial"/>
          <w:sz w:val="22"/>
          <w:szCs w:val="22"/>
        </w:rPr>
        <w:t xml:space="preserve"> a la </w:t>
      </w:r>
      <w:r w:rsidR="00E72B79" w:rsidRPr="005A21D2">
        <w:rPr>
          <w:rFonts w:ascii="Arial" w:hAnsi="Arial" w:cs="Arial"/>
          <w:b/>
          <w:sz w:val="22"/>
          <w:szCs w:val="22"/>
        </w:rPr>
        <w:t>medición posterior</w:t>
      </w:r>
      <w:r w:rsidR="00E72B79" w:rsidRPr="005A21D2">
        <w:rPr>
          <w:rFonts w:ascii="Arial" w:hAnsi="Arial" w:cs="Arial"/>
          <w:sz w:val="22"/>
          <w:szCs w:val="22"/>
        </w:rPr>
        <w:t xml:space="preserve"> y a las </w:t>
      </w:r>
      <w:r w:rsidR="00E72B79" w:rsidRPr="005A21D2">
        <w:rPr>
          <w:rFonts w:ascii="Arial" w:hAnsi="Arial" w:cs="Arial"/>
          <w:b/>
          <w:sz w:val="22"/>
          <w:szCs w:val="22"/>
        </w:rPr>
        <w:t>revelaciones</w:t>
      </w:r>
      <w:r w:rsidR="00E72B79" w:rsidRPr="005A21D2">
        <w:rPr>
          <w:rFonts w:ascii="Arial" w:hAnsi="Arial" w:cs="Arial"/>
          <w:sz w:val="22"/>
          <w:szCs w:val="22"/>
        </w:rPr>
        <w:t xml:space="preserve"> deben estar documentados para ser incorporados en los estados financieros. </w:t>
      </w:r>
    </w:p>
    <w:p w14:paraId="543E74A5" w14:textId="77777777" w:rsidR="00261FFB" w:rsidRPr="005A21D2" w:rsidRDefault="00261FFB" w:rsidP="00CA76B9">
      <w:pPr>
        <w:spacing w:line="288" w:lineRule="auto"/>
        <w:jc w:val="both"/>
      </w:pPr>
    </w:p>
    <w:p w14:paraId="617D3CB7" w14:textId="77777777" w:rsidR="00031A0B" w:rsidRPr="005A21D2" w:rsidRDefault="00E72B79" w:rsidP="00CA76B9">
      <w:pPr>
        <w:spacing w:line="288" w:lineRule="auto"/>
        <w:jc w:val="both"/>
        <w:rPr>
          <w:rFonts w:ascii="Arial" w:hAnsi="Arial" w:cs="Arial"/>
          <w:sz w:val="22"/>
          <w:szCs w:val="22"/>
        </w:rPr>
      </w:pPr>
      <w:r w:rsidRPr="005A21D2">
        <w:rPr>
          <w:rFonts w:ascii="Arial" w:hAnsi="Arial" w:cs="Arial"/>
          <w:sz w:val="22"/>
          <w:szCs w:val="22"/>
        </w:rPr>
        <w:lastRenderedPageBreak/>
        <w:t xml:space="preserve">Los hechos económicos se documentan a través de </w:t>
      </w:r>
      <w:r w:rsidRPr="005A21D2">
        <w:rPr>
          <w:rFonts w:ascii="Arial" w:hAnsi="Arial" w:cs="Arial"/>
          <w:b/>
          <w:sz w:val="22"/>
          <w:szCs w:val="22"/>
        </w:rPr>
        <w:t xml:space="preserve">soportes, comprobantes </w:t>
      </w:r>
      <w:r w:rsidRPr="005A21D2">
        <w:rPr>
          <w:rFonts w:ascii="Arial" w:hAnsi="Arial" w:cs="Arial"/>
          <w:sz w:val="22"/>
          <w:szCs w:val="22"/>
        </w:rPr>
        <w:t>y</w:t>
      </w:r>
      <w:r w:rsidRPr="005A21D2">
        <w:rPr>
          <w:rFonts w:ascii="Arial" w:hAnsi="Arial" w:cs="Arial"/>
          <w:b/>
          <w:sz w:val="22"/>
          <w:szCs w:val="22"/>
        </w:rPr>
        <w:t xml:space="preserve"> libros de contabilidad</w:t>
      </w:r>
      <w:r w:rsidRPr="005A21D2">
        <w:rPr>
          <w:rFonts w:ascii="Arial" w:hAnsi="Arial" w:cs="Arial"/>
          <w:sz w:val="22"/>
          <w:szCs w:val="22"/>
        </w:rPr>
        <w:t xml:space="preserve">; estos documentos deben cumplir con tres características: autenticidad, integridad y veracidad. Es auténtico un documento cuando existe certeza sobre la persona que lo ha elaborado, manuscrito o firmado. Un documento es íntegro cuando no se encuentra alterado, es decir, cuando no se ha eliminado o adicionado información a la inicialmente establecida en el documento, o cuando no se han modificado los archivos electrónicos. La veracidad de un documento está relacionada con el contenido del mismo, en este sentido, se considera que un documento cumple con esta característica cuando la declaración que contiene corresponde a la realidad. </w:t>
      </w:r>
    </w:p>
    <w:p w14:paraId="76198BCF" w14:textId="77777777" w:rsidR="00031A0B" w:rsidRPr="005A21D2" w:rsidRDefault="00031A0B" w:rsidP="00CA76B9">
      <w:pPr>
        <w:spacing w:line="288" w:lineRule="auto"/>
        <w:jc w:val="both"/>
        <w:rPr>
          <w:rFonts w:ascii="Arial" w:hAnsi="Arial" w:cs="Arial"/>
          <w:sz w:val="22"/>
          <w:szCs w:val="22"/>
        </w:rPr>
      </w:pPr>
    </w:p>
    <w:p w14:paraId="4E9E4AA7" w14:textId="54393F8D" w:rsidR="0085762B" w:rsidRPr="005A21D2" w:rsidRDefault="00E72B79" w:rsidP="00CA76B9">
      <w:pPr>
        <w:spacing w:line="288" w:lineRule="auto"/>
        <w:jc w:val="both"/>
        <w:rPr>
          <w:rFonts w:ascii="Arial" w:hAnsi="Arial" w:cs="Arial"/>
          <w:sz w:val="22"/>
          <w:szCs w:val="22"/>
        </w:rPr>
      </w:pPr>
      <w:r w:rsidRPr="005A21D2">
        <w:rPr>
          <w:rFonts w:ascii="Arial" w:hAnsi="Arial" w:cs="Arial"/>
          <w:sz w:val="22"/>
          <w:szCs w:val="22"/>
        </w:rPr>
        <w:t xml:space="preserve">Los documentos contables pueden encontrarse impresos o en archivos electrónicos. </w:t>
      </w:r>
      <w:r w:rsidR="008D6805" w:rsidRPr="005A21D2">
        <w:rPr>
          <w:rFonts w:ascii="Arial" w:hAnsi="Arial" w:cs="Arial"/>
          <w:sz w:val="22"/>
          <w:szCs w:val="22"/>
        </w:rPr>
        <w:t xml:space="preserve">Un archivo electrónico es un documento que contiene información recibida, generada, enviada y almacenada por medios electrónicos, ópticos o similares.  </w:t>
      </w:r>
    </w:p>
    <w:p w14:paraId="79A0DF15" w14:textId="77777777" w:rsidR="0085762B" w:rsidRPr="00624F4F" w:rsidRDefault="0085762B" w:rsidP="00CA76B9">
      <w:pPr>
        <w:spacing w:line="288" w:lineRule="auto"/>
        <w:jc w:val="both"/>
        <w:rPr>
          <w:rFonts w:ascii="Arial" w:hAnsi="Arial" w:cs="Arial"/>
          <w:b/>
          <w:sz w:val="22"/>
          <w:szCs w:val="22"/>
        </w:rPr>
      </w:pPr>
    </w:p>
    <w:p w14:paraId="2E4F81A9" w14:textId="5E39AE32" w:rsidR="0037464D" w:rsidRDefault="00E72B79" w:rsidP="00343ECE">
      <w:pPr>
        <w:pStyle w:val="Ttulo3"/>
        <w:numPr>
          <w:ilvl w:val="2"/>
          <w:numId w:val="15"/>
        </w:numPr>
        <w:spacing w:line="288" w:lineRule="auto"/>
        <w:rPr>
          <w:rFonts w:ascii="Arial" w:hAnsi="Arial" w:cs="Arial"/>
          <w:b/>
          <w:sz w:val="22"/>
          <w:szCs w:val="22"/>
        </w:rPr>
      </w:pPr>
      <w:bookmarkStart w:id="163" w:name="_Toc59377844"/>
      <w:r w:rsidRPr="00624F4F">
        <w:rPr>
          <w:rFonts w:ascii="Arial" w:hAnsi="Arial" w:cs="Arial"/>
          <w:b/>
          <w:sz w:val="22"/>
          <w:szCs w:val="22"/>
        </w:rPr>
        <w:t>Soportes de contabilidad</w:t>
      </w:r>
      <w:bookmarkEnd w:id="163"/>
      <w:r w:rsidRPr="00624F4F">
        <w:rPr>
          <w:rFonts w:ascii="Arial" w:hAnsi="Arial" w:cs="Arial"/>
          <w:b/>
          <w:sz w:val="22"/>
          <w:szCs w:val="22"/>
        </w:rPr>
        <w:t xml:space="preserve"> </w:t>
      </w:r>
    </w:p>
    <w:p w14:paraId="0674B2A0" w14:textId="77777777" w:rsidR="00031A0B" w:rsidRPr="00624F4F" w:rsidRDefault="00031A0B" w:rsidP="00CA76B9">
      <w:pPr>
        <w:spacing w:line="288" w:lineRule="auto"/>
        <w:ind w:left="720"/>
        <w:jc w:val="both"/>
        <w:rPr>
          <w:rFonts w:ascii="Arial" w:hAnsi="Arial" w:cs="Arial"/>
          <w:b/>
          <w:sz w:val="22"/>
          <w:szCs w:val="22"/>
          <w:highlight w:val="yellow"/>
        </w:rPr>
      </w:pPr>
    </w:p>
    <w:p w14:paraId="6732E68E" w14:textId="77777777" w:rsidR="0037464D"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soportes de contabilidad son documentos que contienen información sobre los hechos económicos. </w:t>
      </w:r>
    </w:p>
    <w:p w14:paraId="1E614DF8" w14:textId="77777777" w:rsidR="0037464D" w:rsidRPr="00624F4F" w:rsidRDefault="0037464D" w:rsidP="00CA76B9">
      <w:pPr>
        <w:spacing w:line="288" w:lineRule="auto"/>
        <w:jc w:val="both"/>
        <w:rPr>
          <w:rFonts w:ascii="Arial" w:hAnsi="Arial" w:cs="Arial"/>
          <w:sz w:val="22"/>
          <w:szCs w:val="22"/>
        </w:rPr>
      </w:pPr>
    </w:p>
    <w:p w14:paraId="2375AEFE" w14:textId="77777777" w:rsidR="00F561D2"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Las operaciones realizadas por</w:t>
      </w:r>
      <w:r w:rsidR="00031A0B" w:rsidRPr="00624F4F">
        <w:rPr>
          <w:rFonts w:ascii="Arial" w:hAnsi="Arial" w:cs="Arial"/>
          <w:sz w:val="22"/>
          <w:szCs w:val="22"/>
        </w:rPr>
        <w:t xml:space="preserve"> el Ministerio de Hacienda y Crédito Público </w:t>
      </w:r>
      <w:r w:rsidRPr="00624F4F">
        <w:rPr>
          <w:rFonts w:ascii="Arial" w:hAnsi="Arial" w:cs="Arial"/>
          <w:sz w:val="22"/>
          <w:szCs w:val="22"/>
        </w:rPr>
        <w:t>deberán estar respaldadas en documentos, de manera que la información registrada sea susceptible de verificación y comprobación exhaustiva o aleatoria, por lo cual, no podrán registrarse contablemente los hechos económicos que no se encuentren debidamente soportados.</w:t>
      </w:r>
    </w:p>
    <w:p w14:paraId="5D01200E" w14:textId="77777777" w:rsidR="00F561D2" w:rsidRPr="00624F4F" w:rsidRDefault="00F561D2" w:rsidP="00CA76B9">
      <w:pPr>
        <w:spacing w:line="288" w:lineRule="auto"/>
        <w:jc w:val="both"/>
        <w:rPr>
          <w:rFonts w:ascii="Arial" w:hAnsi="Arial" w:cs="Arial"/>
          <w:sz w:val="22"/>
          <w:szCs w:val="22"/>
        </w:rPr>
      </w:pPr>
    </w:p>
    <w:p w14:paraId="1EBEC8F0" w14:textId="002B6FA3" w:rsidR="00F561D2"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soportes de contabilidad pueden ser de origen externo o interno. Son documentos de origen externo los que provienen de terceros como consecuencia de las operaciones llevadas a cabo con la </w:t>
      </w:r>
      <w:r w:rsidR="00F561D2" w:rsidRPr="00624F4F">
        <w:rPr>
          <w:rFonts w:ascii="Arial" w:hAnsi="Arial" w:cs="Arial"/>
          <w:sz w:val="22"/>
          <w:szCs w:val="22"/>
        </w:rPr>
        <w:t>E</w:t>
      </w:r>
      <w:r w:rsidRPr="00624F4F">
        <w:rPr>
          <w:rFonts w:ascii="Arial" w:hAnsi="Arial" w:cs="Arial"/>
          <w:sz w:val="22"/>
          <w:szCs w:val="22"/>
        </w:rPr>
        <w:t xml:space="preserve">ntidad, tales como, escritos, contratos, facturas de compra, títulos valores, cuentas de cobro, extractos bancarios, escrituras y matrículas inmobiliarias. Los documentos de origen interno son los elaborados por </w:t>
      </w:r>
      <w:r w:rsidR="00F561D2" w:rsidRPr="00624F4F">
        <w:rPr>
          <w:rFonts w:ascii="Arial" w:hAnsi="Arial" w:cs="Arial"/>
          <w:sz w:val="22"/>
          <w:szCs w:val="22"/>
        </w:rPr>
        <w:t>el MHCP</w:t>
      </w:r>
      <w:r w:rsidRPr="00624F4F">
        <w:rPr>
          <w:rFonts w:ascii="Arial" w:hAnsi="Arial" w:cs="Arial"/>
          <w:sz w:val="22"/>
          <w:szCs w:val="22"/>
        </w:rPr>
        <w:t xml:space="preserve">, como conciliaciones, nóminas, resúmenes, estadísticas y cuadros comparativos. </w:t>
      </w:r>
    </w:p>
    <w:p w14:paraId="2EFA4B4C" w14:textId="77777777" w:rsidR="00F561D2" w:rsidRPr="00624F4F" w:rsidRDefault="00F561D2" w:rsidP="00CA76B9">
      <w:pPr>
        <w:spacing w:line="288" w:lineRule="auto"/>
        <w:jc w:val="both"/>
        <w:rPr>
          <w:rFonts w:ascii="Arial" w:hAnsi="Arial" w:cs="Arial"/>
          <w:sz w:val="22"/>
          <w:szCs w:val="22"/>
        </w:rPr>
      </w:pPr>
    </w:p>
    <w:p w14:paraId="33891F38" w14:textId="33583FD7" w:rsidR="00F561D2"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soportes de contabilidad pueden ser producto de eventos transaccionales o no transaccionales. Un evento transaccional surge de una operación con un tercero y el soporte de contabilidad (por ejemplo, entradas y salidas de almacén y consignaciones), prueba la ocurrencia del hecho. Un evento no transaccional surge de nueva información sobre la condición de un recurso que conlleva a un ajuste en la medición por conceptos tales como depreciaciones, amortizaciones, agotamiento, deterioro y provisiones y el soporte de contabilidad corresponde a los documentos de origen interno que son elaborados por </w:t>
      </w:r>
      <w:r w:rsidR="00F561D2" w:rsidRPr="00624F4F">
        <w:rPr>
          <w:rFonts w:ascii="Arial" w:hAnsi="Arial" w:cs="Arial"/>
          <w:sz w:val="22"/>
          <w:szCs w:val="22"/>
        </w:rPr>
        <w:t>el Ministerio</w:t>
      </w:r>
      <w:r w:rsidRPr="00624F4F">
        <w:rPr>
          <w:rFonts w:ascii="Arial" w:hAnsi="Arial" w:cs="Arial"/>
          <w:sz w:val="22"/>
          <w:szCs w:val="22"/>
        </w:rPr>
        <w:t xml:space="preserve">. </w:t>
      </w:r>
    </w:p>
    <w:p w14:paraId="4C1EBB5B" w14:textId="77777777" w:rsidR="00F561D2" w:rsidRPr="00624F4F" w:rsidRDefault="00F561D2" w:rsidP="00CA76B9">
      <w:pPr>
        <w:spacing w:line="288" w:lineRule="auto"/>
        <w:jc w:val="both"/>
        <w:rPr>
          <w:rFonts w:ascii="Arial" w:hAnsi="Arial" w:cs="Arial"/>
          <w:sz w:val="22"/>
          <w:szCs w:val="22"/>
        </w:rPr>
      </w:pPr>
    </w:p>
    <w:p w14:paraId="58C0ABD8" w14:textId="20EBB966" w:rsidR="00E72B79"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lastRenderedPageBreak/>
        <w:t xml:space="preserve">Los soportes de contabilidad de origen externo, que surgen de eventos transaccionales, deben contener como mínimo la fecha, la cuantía, la descripción de la transacción y los datos básicos que permitan identificar el tercero con quien </w:t>
      </w:r>
      <w:r w:rsidR="00203B28" w:rsidRPr="00624F4F">
        <w:rPr>
          <w:rFonts w:ascii="Arial" w:hAnsi="Arial" w:cs="Arial"/>
          <w:sz w:val="22"/>
          <w:szCs w:val="22"/>
        </w:rPr>
        <w:t xml:space="preserve">el Ministerio de Hacienda y Crédito Público </w:t>
      </w:r>
      <w:r w:rsidRPr="00624F4F">
        <w:rPr>
          <w:rFonts w:ascii="Arial" w:hAnsi="Arial" w:cs="Arial"/>
          <w:sz w:val="22"/>
          <w:szCs w:val="22"/>
        </w:rPr>
        <w:t xml:space="preserve">llevó a cabo la operación; adicionalmente, </w:t>
      </w:r>
      <w:r w:rsidR="00F561D2" w:rsidRPr="00624F4F">
        <w:rPr>
          <w:rFonts w:ascii="Arial" w:hAnsi="Arial" w:cs="Arial"/>
          <w:sz w:val="22"/>
          <w:szCs w:val="22"/>
        </w:rPr>
        <w:t xml:space="preserve">y cuando a ello hubiere lugar, </w:t>
      </w:r>
      <w:r w:rsidRPr="00624F4F">
        <w:rPr>
          <w:rFonts w:ascii="Arial" w:hAnsi="Arial" w:cs="Arial"/>
          <w:sz w:val="22"/>
          <w:szCs w:val="22"/>
        </w:rPr>
        <w:t>los soportes deberán cumplir con los requisitos establecidos por las autoridades competentes.</w:t>
      </w:r>
    </w:p>
    <w:p w14:paraId="7962D231" w14:textId="7BF5159A" w:rsidR="00E72B79" w:rsidRPr="00624F4F" w:rsidRDefault="00E72B79" w:rsidP="00CA76B9">
      <w:pPr>
        <w:spacing w:line="288" w:lineRule="auto"/>
        <w:jc w:val="both"/>
        <w:rPr>
          <w:rFonts w:ascii="Arial" w:hAnsi="Arial" w:cs="Arial"/>
          <w:sz w:val="22"/>
          <w:szCs w:val="22"/>
        </w:rPr>
      </w:pPr>
    </w:p>
    <w:p w14:paraId="1B643577" w14:textId="17B8CCC3" w:rsidR="00F561D2"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soportes de contabilidad de origen interno, producto de eventos no transaccionales, deben contener como mínimo la fecha, la cuantía y el concepto; así </w:t>
      </w:r>
      <w:r w:rsidR="00203B28" w:rsidRPr="00624F4F">
        <w:rPr>
          <w:rFonts w:ascii="Arial" w:hAnsi="Arial" w:cs="Arial"/>
          <w:sz w:val="22"/>
          <w:szCs w:val="22"/>
        </w:rPr>
        <w:t>como la información que permita identificar q</w:t>
      </w:r>
      <w:r w:rsidRPr="00624F4F">
        <w:rPr>
          <w:rFonts w:ascii="Arial" w:hAnsi="Arial" w:cs="Arial"/>
          <w:sz w:val="22"/>
          <w:szCs w:val="22"/>
        </w:rPr>
        <w:t xml:space="preserve">uién lo elaboró y aprobó. </w:t>
      </w:r>
    </w:p>
    <w:p w14:paraId="2794144E" w14:textId="65088ED0" w:rsidR="00777FB9" w:rsidRDefault="00777FB9" w:rsidP="00CA76B9">
      <w:pPr>
        <w:spacing w:line="288" w:lineRule="auto"/>
        <w:jc w:val="both"/>
        <w:rPr>
          <w:rFonts w:ascii="Arial" w:hAnsi="Arial" w:cs="Arial"/>
          <w:sz w:val="22"/>
          <w:szCs w:val="22"/>
        </w:rPr>
      </w:pPr>
    </w:p>
    <w:p w14:paraId="62728979" w14:textId="360E0521" w:rsidR="00777FB9" w:rsidRPr="00982753" w:rsidRDefault="00777FB9" w:rsidP="00CA76B9">
      <w:pPr>
        <w:spacing w:line="288" w:lineRule="auto"/>
        <w:jc w:val="both"/>
        <w:rPr>
          <w:rFonts w:ascii="Arial" w:hAnsi="Arial" w:cs="Arial"/>
          <w:sz w:val="22"/>
          <w:szCs w:val="22"/>
        </w:rPr>
      </w:pPr>
      <w:r>
        <w:rPr>
          <w:rFonts w:ascii="Arial" w:hAnsi="Arial" w:cs="Arial"/>
          <w:sz w:val="22"/>
          <w:szCs w:val="22"/>
        </w:rPr>
        <w:t xml:space="preserve">Finalmente, cabe señalar que los soportes de contabilidad </w:t>
      </w:r>
      <w:r w:rsidRPr="00982753">
        <w:rPr>
          <w:rFonts w:ascii="Arial" w:hAnsi="Arial" w:cs="Arial"/>
          <w:sz w:val="22"/>
          <w:szCs w:val="22"/>
        </w:rPr>
        <w:t xml:space="preserve">se organizan y archivan en la Subdirección Financiera de la Dirección Administrativa con cada comprobante contable. </w:t>
      </w:r>
    </w:p>
    <w:p w14:paraId="145BA991" w14:textId="77777777" w:rsidR="00777FB9" w:rsidRPr="00624F4F" w:rsidRDefault="00777FB9" w:rsidP="00CA76B9">
      <w:pPr>
        <w:spacing w:line="288" w:lineRule="auto"/>
        <w:jc w:val="both"/>
        <w:rPr>
          <w:rFonts w:ascii="Arial" w:hAnsi="Arial" w:cs="Arial"/>
          <w:sz w:val="22"/>
          <w:szCs w:val="22"/>
        </w:rPr>
      </w:pPr>
    </w:p>
    <w:p w14:paraId="4E7A2B52" w14:textId="5B4A52B2" w:rsidR="00607775" w:rsidRDefault="00607775" w:rsidP="00343ECE">
      <w:pPr>
        <w:pStyle w:val="Ttulo3"/>
        <w:numPr>
          <w:ilvl w:val="2"/>
          <w:numId w:val="15"/>
        </w:numPr>
        <w:spacing w:line="288" w:lineRule="auto"/>
        <w:rPr>
          <w:rFonts w:ascii="Arial" w:hAnsi="Arial" w:cs="Arial"/>
          <w:b/>
          <w:sz w:val="22"/>
          <w:szCs w:val="22"/>
        </w:rPr>
      </w:pPr>
      <w:bookmarkStart w:id="164" w:name="_Toc59377845"/>
      <w:r w:rsidRPr="00624F4F">
        <w:rPr>
          <w:rFonts w:ascii="Arial" w:hAnsi="Arial" w:cs="Arial"/>
          <w:b/>
          <w:sz w:val="22"/>
          <w:szCs w:val="22"/>
        </w:rPr>
        <w:t>Comprobantes de contabilidad</w:t>
      </w:r>
      <w:bookmarkEnd w:id="164"/>
      <w:r w:rsidRPr="00624F4F">
        <w:rPr>
          <w:rFonts w:ascii="Arial" w:hAnsi="Arial" w:cs="Arial"/>
          <w:b/>
          <w:sz w:val="22"/>
          <w:szCs w:val="22"/>
        </w:rPr>
        <w:t xml:space="preserve"> </w:t>
      </w:r>
    </w:p>
    <w:p w14:paraId="33C2A12F" w14:textId="77777777" w:rsidR="00607775" w:rsidRPr="00624F4F" w:rsidRDefault="00607775" w:rsidP="00CA76B9">
      <w:pPr>
        <w:spacing w:line="288" w:lineRule="auto"/>
        <w:jc w:val="both"/>
        <w:rPr>
          <w:rFonts w:ascii="Arial" w:hAnsi="Arial" w:cs="Arial"/>
          <w:sz w:val="22"/>
          <w:szCs w:val="22"/>
        </w:rPr>
      </w:pPr>
    </w:p>
    <w:p w14:paraId="3A9E0937" w14:textId="77777777" w:rsidR="00CF384A"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comprobantes de contabilidad son los documentos en los cuales se registran los hechos económicos y sirven de fuente para registrar los movimientos en el libro correspondiente. </w:t>
      </w:r>
    </w:p>
    <w:p w14:paraId="78AA9D68" w14:textId="7C7DBBC2" w:rsidR="00CF384A" w:rsidRPr="00624F4F" w:rsidRDefault="00CF384A" w:rsidP="00CA76B9">
      <w:pPr>
        <w:spacing w:line="288" w:lineRule="auto"/>
        <w:jc w:val="both"/>
        <w:rPr>
          <w:rFonts w:ascii="Arial" w:hAnsi="Arial" w:cs="Arial"/>
          <w:sz w:val="22"/>
          <w:szCs w:val="22"/>
          <w:highlight w:val="yellow"/>
        </w:rPr>
      </w:pPr>
    </w:p>
    <w:p w14:paraId="7E990ECA" w14:textId="18AE8A29" w:rsidR="003055BF" w:rsidRPr="00624F4F" w:rsidRDefault="003055BF" w:rsidP="00CA76B9">
      <w:pPr>
        <w:spacing w:line="288" w:lineRule="auto"/>
        <w:jc w:val="both"/>
        <w:rPr>
          <w:rFonts w:ascii="Arial" w:hAnsi="Arial" w:cs="Arial"/>
          <w:b/>
          <w:i/>
          <w:sz w:val="22"/>
          <w:szCs w:val="22"/>
        </w:rPr>
      </w:pPr>
      <w:r w:rsidRPr="00624F4F">
        <w:rPr>
          <w:rFonts w:ascii="Arial" w:hAnsi="Arial" w:cs="Arial"/>
          <w:sz w:val="22"/>
          <w:szCs w:val="22"/>
        </w:rPr>
        <w:t xml:space="preserve">Teniendo en cuenta que el Ministerio de Hacienda y Crédito Público es una entidad que se encuentra bajo el ámbito de aplicación del Sistema Integrado de Información Financiera (SIIF Nación), lo relativo a los comprobantes de contabilidad se desarrolla en el numeral </w:t>
      </w:r>
      <w:r w:rsidRPr="00624F4F">
        <w:rPr>
          <w:rFonts w:ascii="Arial" w:hAnsi="Arial" w:cs="Arial"/>
          <w:b/>
          <w:i/>
          <w:sz w:val="22"/>
          <w:szCs w:val="22"/>
        </w:rPr>
        <w:t>6.5.10 Registro de las transacciones</w:t>
      </w:r>
      <w:r w:rsidRPr="00624F4F">
        <w:rPr>
          <w:rFonts w:ascii="Arial" w:hAnsi="Arial" w:cs="Arial"/>
          <w:sz w:val="22"/>
          <w:szCs w:val="22"/>
        </w:rPr>
        <w:t xml:space="preserve"> y </w:t>
      </w:r>
      <w:r w:rsidRPr="00624F4F">
        <w:rPr>
          <w:rFonts w:ascii="Arial" w:hAnsi="Arial" w:cs="Arial"/>
          <w:b/>
          <w:i/>
          <w:sz w:val="22"/>
          <w:szCs w:val="22"/>
        </w:rPr>
        <w:t>6.5.11 Consulta de comprobantes</w:t>
      </w:r>
      <w:r w:rsidR="00DC07D5" w:rsidRPr="00624F4F">
        <w:rPr>
          <w:rFonts w:ascii="Arial" w:hAnsi="Arial" w:cs="Arial"/>
          <w:b/>
          <w:i/>
          <w:sz w:val="22"/>
          <w:szCs w:val="22"/>
        </w:rPr>
        <w:t>.</w:t>
      </w:r>
      <w:r w:rsidRPr="00624F4F">
        <w:rPr>
          <w:rFonts w:ascii="Arial" w:hAnsi="Arial" w:cs="Arial"/>
          <w:b/>
          <w:i/>
          <w:sz w:val="22"/>
          <w:szCs w:val="22"/>
        </w:rPr>
        <w:t xml:space="preserve"> </w:t>
      </w:r>
    </w:p>
    <w:p w14:paraId="5D4F14A4" w14:textId="60FDD4B6" w:rsidR="003055BF" w:rsidRDefault="003055BF" w:rsidP="00CA76B9">
      <w:pPr>
        <w:spacing w:line="288" w:lineRule="auto"/>
        <w:jc w:val="both"/>
        <w:rPr>
          <w:highlight w:val="yellow"/>
        </w:rPr>
      </w:pPr>
    </w:p>
    <w:p w14:paraId="6E93787F" w14:textId="1F54A4F3" w:rsidR="00777FB9" w:rsidRPr="00982753" w:rsidRDefault="00777FB9" w:rsidP="00CA76B9">
      <w:pPr>
        <w:spacing w:line="288" w:lineRule="auto"/>
        <w:jc w:val="both"/>
        <w:rPr>
          <w:rFonts w:ascii="Arial" w:hAnsi="Arial" w:cs="Arial"/>
          <w:sz w:val="22"/>
          <w:szCs w:val="22"/>
        </w:rPr>
      </w:pPr>
      <w:r w:rsidRPr="00140BBA">
        <w:rPr>
          <w:rFonts w:ascii="Arial" w:hAnsi="Arial" w:cs="Arial"/>
          <w:sz w:val="22"/>
          <w:szCs w:val="22"/>
        </w:rPr>
        <w:t xml:space="preserve">Los soportes de contabilidad se adjuntan, relacionan y/o identifican en los comprobantes contables, y se archivan y </w:t>
      </w:r>
      <w:r w:rsidR="00D53C44" w:rsidRPr="00140BBA">
        <w:rPr>
          <w:rFonts w:ascii="Arial" w:hAnsi="Arial" w:cs="Arial"/>
          <w:sz w:val="22"/>
          <w:szCs w:val="22"/>
        </w:rPr>
        <w:t>conservan según</w:t>
      </w:r>
      <w:r w:rsidR="00D13F22" w:rsidRPr="00140BBA">
        <w:rPr>
          <w:rFonts w:ascii="Arial" w:hAnsi="Arial" w:cs="Arial"/>
          <w:sz w:val="22"/>
          <w:szCs w:val="22"/>
        </w:rPr>
        <w:t xml:space="preserve"> lo establecido en las tablas de retención documental de la Entidad</w:t>
      </w:r>
      <w:r w:rsidR="004E7509" w:rsidRPr="00140BBA">
        <w:rPr>
          <w:rStyle w:val="Refdenotaalpie"/>
          <w:rFonts w:ascii="Arial" w:hAnsi="Arial" w:cs="Arial"/>
          <w:sz w:val="22"/>
          <w:szCs w:val="22"/>
        </w:rPr>
        <w:footnoteReference w:id="8"/>
      </w:r>
      <w:r w:rsidR="00D13F22" w:rsidRPr="00140BBA">
        <w:rPr>
          <w:rFonts w:ascii="Arial" w:hAnsi="Arial" w:cs="Arial"/>
          <w:sz w:val="22"/>
          <w:szCs w:val="22"/>
        </w:rPr>
        <w:t xml:space="preserve"> y en las normas que regulan la materia</w:t>
      </w:r>
      <w:r w:rsidR="00B055BB" w:rsidRPr="00140BBA">
        <w:rPr>
          <w:rFonts w:ascii="Arial" w:hAnsi="Arial" w:cs="Arial"/>
          <w:sz w:val="22"/>
          <w:szCs w:val="22"/>
        </w:rPr>
        <w:t>.</w:t>
      </w:r>
      <w:r w:rsidR="00B055BB">
        <w:rPr>
          <w:rFonts w:ascii="Arial" w:hAnsi="Arial" w:cs="Arial"/>
          <w:sz w:val="22"/>
          <w:szCs w:val="22"/>
        </w:rPr>
        <w:t xml:space="preserve"> </w:t>
      </w:r>
    </w:p>
    <w:p w14:paraId="4C2EC14C" w14:textId="77777777" w:rsidR="00777FB9" w:rsidRDefault="00777FB9" w:rsidP="00CA76B9">
      <w:pPr>
        <w:spacing w:line="288" w:lineRule="auto"/>
        <w:jc w:val="both"/>
        <w:rPr>
          <w:highlight w:val="yellow"/>
        </w:rPr>
      </w:pPr>
    </w:p>
    <w:p w14:paraId="7EA3FF41" w14:textId="1B07FA79" w:rsidR="00CD237B" w:rsidRDefault="00CD237B" w:rsidP="00343ECE">
      <w:pPr>
        <w:pStyle w:val="Ttulo3"/>
        <w:numPr>
          <w:ilvl w:val="2"/>
          <w:numId w:val="15"/>
        </w:numPr>
        <w:spacing w:line="288" w:lineRule="auto"/>
        <w:rPr>
          <w:rFonts w:ascii="Arial" w:hAnsi="Arial" w:cs="Arial"/>
          <w:b/>
          <w:sz w:val="22"/>
          <w:szCs w:val="22"/>
        </w:rPr>
      </w:pPr>
      <w:bookmarkStart w:id="165" w:name="_Toc59377846"/>
      <w:r w:rsidRPr="00624F4F">
        <w:rPr>
          <w:rFonts w:ascii="Arial" w:hAnsi="Arial" w:cs="Arial"/>
          <w:b/>
          <w:sz w:val="22"/>
          <w:szCs w:val="22"/>
        </w:rPr>
        <w:t>Libros de contabilidad</w:t>
      </w:r>
      <w:bookmarkEnd w:id="165"/>
    </w:p>
    <w:p w14:paraId="1868E9DA" w14:textId="77777777" w:rsidR="00CD237B" w:rsidRPr="00624F4F" w:rsidRDefault="00CD237B" w:rsidP="00CA76B9">
      <w:pPr>
        <w:spacing w:line="288" w:lineRule="auto"/>
        <w:ind w:left="720"/>
        <w:jc w:val="both"/>
      </w:pPr>
    </w:p>
    <w:p w14:paraId="044AB095" w14:textId="4019BBF7" w:rsidR="00E72B79"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Los libros de contabilidad son los documentos que sistematizan cronológicamente los hechos económicos que afectan las partidas de los estados financieros. Los asientos que se realizan en los libros de contabilidad deben estar respaldados en comprobantes de contabilidad.</w:t>
      </w:r>
    </w:p>
    <w:p w14:paraId="2A9DCF44" w14:textId="5CC61FE8" w:rsidR="00E72B79" w:rsidRPr="00624F4F" w:rsidRDefault="00E72B79" w:rsidP="00CA76B9">
      <w:pPr>
        <w:spacing w:line="288" w:lineRule="auto"/>
        <w:jc w:val="both"/>
        <w:rPr>
          <w:rFonts w:ascii="Arial" w:hAnsi="Arial" w:cs="Arial"/>
          <w:sz w:val="22"/>
          <w:szCs w:val="22"/>
        </w:rPr>
      </w:pPr>
    </w:p>
    <w:p w14:paraId="476ED483" w14:textId="35F5960F" w:rsidR="005E6139"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Los libros de contabilidad </w:t>
      </w:r>
      <w:r w:rsidR="00601C55" w:rsidRPr="00624F4F">
        <w:rPr>
          <w:rFonts w:ascii="Arial" w:hAnsi="Arial" w:cs="Arial"/>
          <w:sz w:val="22"/>
          <w:szCs w:val="22"/>
        </w:rPr>
        <w:t xml:space="preserve">se </w:t>
      </w:r>
      <w:r w:rsidRPr="00624F4F">
        <w:rPr>
          <w:rFonts w:ascii="Arial" w:hAnsi="Arial" w:cs="Arial"/>
          <w:sz w:val="22"/>
          <w:szCs w:val="22"/>
        </w:rPr>
        <w:t>deben llevar</w:t>
      </w:r>
      <w:r w:rsidR="00601C55" w:rsidRPr="00624F4F">
        <w:rPr>
          <w:rFonts w:ascii="Arial" w:hAnsi="Arial" w:cs="Arial"/>
          <w:sz w:val="22"/>
          <w:szCs w:val="22"/>
        </w:rPr>
        <w:t xml:space="preserve"> </w:t>
      </w:r>
      <w:r w:rsidRPr="00624F4F">
        <w:rPr>
          <w:rFonts w:ascii="Arial" w:hAnsi="Arial" w:cs="Arial"/>
          <w:sz w:val="22"/>
          <w:szCs w:val="22"/>
        </w:rPr>
        <w:t>en español</w:t>
      </w:r>
      <w:r w:rsidR="00601C55" w:rsidRPr="00624F4F">
        <w:rPr>
          <w:rFonts w:ascii="Arial" w:hAnsi="Arial" w:cs="Arial"/>
          <w:sz w:val="22"/>
          <w:szCs w:val="22"/>
        </w:rPr>
        <w:t xml:space="preserve"> y </w:t>
      </w:r>
      <w:r w:rsidRPr="00624F4F">
        <w:rPr>
          <w:rFonts w:ascii="Arial" w:hAnsi="Arial" w:cs="Arial"/>
          <w:sz w:val="22"/>
          <w:szCs w:val="22"/>
        </w:rPr>
        <w:t xml:space="preserve">se clasifican en libros principales y auxiliares. </w:t>
      </w:r>
    </w:p>
    <w:p w14:paraId="1084DF74" w14:textId="18E25AF1" w:rsidR="003D5E53" w:rsidRPr="00624F4F" w:rsidRDefault="003D5E53" w:rsidP="00CA76B9">
      <w:pPr>
        <w:spacing w:line="288" w:lineRule="auto"/>
        <w:jc w:val="both"/>
        <w:rPr>
          <w:rFonts w:ascii="Arial" w:hAnsi="Arial" w:cs="Arial"/>
          <w:sz w:val="22"/>
          <w:szCs w:val="22"/>
        </w:rPr>
      </w:pPr>
    </w:p>
    <w:p w14:paraId="3EC797A2" w14:textId="4E0C03EC" w:rsidR="003D5E53" w:rsidRPr="00624F4F" w:rsidRDefault="003D5E53" w:rsidP="00CA76B9">
      <w:pPr>
        <w:spacing w:line="288" w:lineRule="auto"/>
        <w:jc w:val="both"/>
        <w:rPr>
          <w:rFonts w:ascii="Arial" w:hAnsi="Arial" w:cs="Arial"/>
          <w:sz w:val="22"/>
          <w:szCs w:val="22"/>
        </w:rPr>
      </w:pPr>
      <w:r w:rsidRPr="00624F4F">
        <w:rPr>
          <w:rFonts w:ascii="Arial" w:hAnsi="Arial" w:cs="Arial"/>
          <w:sz w:val="22"/>
          <w:szCs w:val="22"/>
        </w:rPr>
        <w:lastRenderedPageBreak/>
        <w:t xml:space="preserve">Teniendo en cuenta que el Ministerio de Hacienda y Crédito Público es una entidad que se encuentra bajo el ámbito de aplicación del Sistema Integrado de Información Financiera (SIIF Nación), lo relativo a los libros de contabilidad se desarrolla en el numeral </w:t>
      </w:r>
      <w:r w:rsidRPr="00624F4F">
        <w:rPr>
          <w:rFonts w:ascii="Arial" w:hAnsi="Arial" w:cs="Arial"/>
          <w:b/>
          <w:i/>
          <w:sz w:val="22"/>
          <w:szCs w:val="22"/>
        </w:rPr>
        <w:t>6.5.12 Libros de contabilidad principales y auxiliares.</w:t>
      </w:r>
    </w:p>
    <w:p w14:paraId="073F98AC" w14:textId="77777777" w:rsidR="005E6139" w:rsidRPr="00624F4F" w:rsidRDefault="005E6139" w:rsidP="00CA76B9">
      <w:pPr>
        <w:spacing w:line="288" w:lineRule="auto"/>
        <w:jc w:val="both"/>
        <w:rPr>
          <w:rFonts w:ascii="Arial" w:hAnsi="Arial" w:cs="Arial"/>
          <w:sz w:val="22"/>
          <w:szCs w:val="22"/>
        </w:rPr>
      </w:pPr>
    </w:p>
    <w:p w14:paraId="4D7F6D8A" w14:textId="50037C98" w:rsidR="005E6139" w:rsidRPr="00624F4F" w:rsidRDefault="005E6139" w:rsidP="00CA76B9">
      <w:pPr>
        <w:spacing w:line="288" w:lineRule="auto"/>
        <w:jc w:val="both"/>
        <w:rPr>
          <w:rFonts w:ascii="Arial" w:hAnsi="Arial" w:cs="Arial"/>
          <w:sz w:val="22"/>
          <w:szCs w:val="22"/>
        </w:rPr>
      </w:pPr>
      <w:r w:rsidRPr="00624F4F">
        <w:rPr>
          <w:rFonts w:ascii="Arial" w:hAnsi="Arial" w:cs="Arial"/>
          <w:sz w:val="22"/>
          <w:szCs w:val="22"/>
        </w:rPr>
        <w:t xml:space="preserve">Finalmente, es conveniente precisar que </w:t>
      </w:r>
      <w:r w:rsidR="00E72B79" w:rsidRPr="00624F4F">
        <w:rPr>
          <w:rFonts w:ascii="Arial" w:hAnsi="Arial" w:cs="Arial"/>
          <w:sz w:val="22"/>
          <w:szCs w:val="22"/>
        </w:rPr>
        <w:t>cuando existan bases de datos administradas por diferentes áreas de la entidad, estas se asimilarán a los auxiliares de las cuentas y</w:t>
      </w:r>
      <w:r w:rsidRPr="00624F4F">
        <w:rPr>
          <w:rFonts w:ascii="Arial" w:hAnsi="Arial" w:cs="Arial"/>
          <w:sz w:val="22"/>
          <w:szCs w:val="22"/>
        </w:rPr>
        <w:t xml:space="preserve"> </w:t>
      </w:r>
      <w:r w:rsidR="00E72B79" w:rsidRPr="00624F4F">
        <w:rPr>
          <w:rFonts w:ascii="Arial" w:hAnsi="Arial" w:cs="Arial"/>
          <w:sz w:val="22"/>
          <w:szCs w:val="22"/>
        </w:rPr>
        <w:t>subcuentas que conforman los estados financieros, por lo que, en aras de la eficiencia operativa de</w:t>
      </w:r>
      <w:r w:rsidRPr="00624F4F">
        <w:rPr>
          <w:rFonts w:ascii="Arial" w:hAnsi="Arial" w:cs="Arial"/>
          <w:sz w:val="22"/>
          <w:szCs w:val="22"/>
        </w:rPr>
        <w:t>l Ministerio de Hacienda y Crédito Público</w:t>
      </w:r>
      <w:r w:rsidR="00E72B79" w:rsidRPr="00624F4F">
        <w:rPr>
          <w:rFonts w:ascii="Arial" w:hAnsi="Arial" w:cs="Arial"/>
          <w:sz w:val="22"/>
          <w:szCs w:val="22"/>
        </w:rPr>
        <w:t xml:space="preserve">, no se requerirá que el detalle de la información que administre una determinada dependencia se encuentre registrado en la contabilidad. </w:t>
      </w:r>
    </w:p>
    <w:p w14:paraId="15B8799A" w14:textId="4AFCD266" w:rsidR="005E6139" w:rsidRPr="00624F4F" w:rsidRDefault="005E6139" w:rsidP="00CA76B9">
      <w:pPr>
        <w:spacing w:line="288" w:lineRule="auto"/>
        <w:jc w:val="both"/>
      </w:pPr>
    </w:p>
    <w:p w14:paraId="455DA27D" w14:textId="6BA7E6BE" w:rsidR="00F861A2" w:rsidRDefault="00F861A2" w:rsidP="00343ECE">
      <w:pPr>
        <w:pStyle w:val="Ttulo3"/>
        <w:numPr>
          <w:ilvl w:val="2"/>
          <w:numId w:val="15"/>
        </w:numPr>
        <w:spacing w:line="288" w:lineRule="auto"/>
        <w:rPr>
          <w:rFonts w:ascii="Arial" w:hAnsi="Arial" w:cs="Arial"/>
          <w:b/>
          <w:sz w:val="22"/>
          <w:szCs w:val="22"/>
        </w:rPr>
      </w:pPr>
      <w:bookmarkStart w:id="166" w:name="_Toc59377847"/>
      <w:r w:rsidRPr="00624F4F">
        <w:rPr>
          <w:rFonts w:ascii="Arial" w:hAnsi="Arial" w:cs="Arial"/>
          <w:b/>
          <w:sz w:val="22"/>
          <w:szCs w:val="22"/>
        </w:rPr>
        <w:t>Prohibiciones relacionadas con los documentos contables</w:t>
      </w:r>
      <w:bookmarkEnd w:id="166"/>
    </w:p>
    <w:p w14:paraId="252B0E47" w14:textId="77777777" w:rsidR="005E6139" w:rsidRDefault="005E6139" w:rsidP="00CA76B9">
      <w:pPr>
        <w:spacing w:line="288" w:lineRule="auto"/>
        <w:jc w:val="both"/>
        <w:rPr>
          <w:highlight w:val="yellow"/>
        </w:rPr>
      </w:pPr>
    </w:p>
    <w:p w14:paraId="23E9DC62" w14:textId="77777777" w:rsidR="004E5328"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En los documentos contables no se puede tachar, mutilar, enmendar, eliminar, alterar las denominaciones y cuantías ni adicionar información a la inicialmente establecida en el documento. </w:t>
      </w:r>
    </w:p>
    <w:p w14:paraId="4EEF9847" w14:textId="77777777" w:rsidR="004E5328" w:rsidRPr="00624F4F" w:rsidRDefault="004E5328" w:rsidP="00CA76B9">
      <w:pPr>
        <w:spacing w:line="288" w:lineRule="auto"/>
        <w:jc w:val="both"/>
        <w:rPr>
          <w:rFonts w:ascii="Arial" w:hAnsi="Arial" w:cs="Arial"/>
          <w:sz w:val="22"/>
          <w:szCs w:val="22"/>
        </w:rPr>
      </w:pPr>
    </w:p>
    <w:p w14:paraId="1E2F7774" w14:textId="2DD07648" w:rsidR="004E5328" w:rsidRDefault="00E72B79" w:rsidP="00CA76B9">
      <w:pPr>
        <w:spacing w:line="288" w:lineRule="auto"/>
        <w:jc w:val="both"/>
        <w:rPr>
          <w:rFonts w:ascii="Arial" w:hAnsi="Arial" w:cs="Arial"/>
          <w:sz w:val="22"/>
          <w:szCs w:val="22"/>
          <w:highlight w:val="yellow"/>
        </w:rPr>
      </w:pPr>
      <w:r w:rsidRPr="00624F4F">
        <w:rPr>
          <w:rFonts w:ascii="Arial" w:hAnsi="Arial" w:cs="Arial"/>
          <w:sz w:val="22"/>
          <w:szCs w:val="22"/>
        </w:rPr>
        <w:t xml:space="preserve">Si un soporte de contabilidad debe ser corregido, </w:t>
      </w:r>
      <w:r w:rsidR="006B2710">
        <w:rPr>
          <w:rFonts w:ascii="Arial" w:hAnsi="Arial" w:cs="Arial"/>
          <w:sz w:val="22"/>
          <w:szCs w:val="22"/>
        </w:rPr>
        <w:t>se</w:t>
      </w:r>
      <w:r w:rsidRPr="00624F4F">
        <w:rPr>
          <w:rFonts w:ascii="Arial" w:hAnsi="Arial" w:cs="Arial"/>
          <w:sz w:val="22"/>
          <w:szCs w:val="22"/>
        </w:rPr>
        <w:t xml:space="preserve"> debe anular el documento inicial y solicitar al tercero que lo expidió uno nuevo o, en el evento en que sea originado internamente, deberá ser reproducido </w:t>
      </w:r>
      <w:r w:rsidR="004E5328" w:rsidRPr="00624F4F">
        <w:rPr>
          <w:rFonts w:ascii="Arial" w:hAnsi="Arial" w:cs="Arial"/>
          <w:sz w:val="22"/>
          <w:szCs w:val="22"/>
        </w:rPr>
        <w:t xml:space="preserve">por el funcionario a cuyo cargo se encuentre el registro de la operación. </w:t>
      </w:r>
    </w:p>
    <w:p w14:paraId="471A3D26" w14:textId="77777777" w:rsidR="004E5328" w:rsidRDefault="004E5328" w:rsidP="00CA76B9">
      <w:pPr>
        <w:spacing w:line="288" w:lineRule="auto"/>
        <w:jc w:val="both"/>
        <w:rPr>
          <w:rFonts w:ascii="Arial" w:hAnsi="Arial" w:cs="Arial"/>
          <w:sz w:val="22"/>
          <w:szCs w:val="22"/>
          <w:highlight w:val="yellow"/>
        </w:rPr>
      </w:pPr>
    </w:p>
    <w:p w14:paraId="0744F509" w14:textId="77777777" w:rsidR="004E5328"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Tratándose de comprobantes y libros de contabilidad, está prohibido alterar el orden cronológico en que se presentan los hechos económicos. En los comprobantes de contabilidad, los errores se corrigen por medio de un nuevo comprobante, ajustando las partidas afectadas; en este caso, los asientos contables que se realicen en los libros auxiliares deben reflejar los movimientos correspondientes producto del ajuste efectuado. </w:t>
      </w:r>
    </w:p>
    <w:p w14:paraId="41AF2E12" w14:textId="77777777" w:rsidR="004E5328" w:rsidRDefault="004E5328" w:rsidP="00CA76B9">
      <w:pPr>
        <w:spacing w:line="288" w:lineRule="auto"/>
        <w:jc w:val="both"/>
        <w:rPr>
          <w:rFonts w:ascii="Arial" w:hAnsi="Arial" w:cs="Arial"/>
          <w:sz w:val="22"/>
          <w:szCs w:val="22"/>
          <w:highlight w:val="yellow"/>
        </w:rPr>
      </w:pPr>
    </w:p>
    <w:p w14:paraId="7E778009" w14:textId="1642F3EA" w:rsidR="004E5328" w:rsidRPr="00624F4F" w:rsidRDefault="004E5328" w:rsidP="00343ECE">
      <w:pPr>
        <w:pStyle w:val="Ttulo3"/>
        <w:numPr>
          <w:ilvl w:val="2"/>
          <w:numId w:val="15"/>
        </w:numPr>
        <w:spacing w:line="288" w:lineRule="auto"/>
        <w:rPr>
          <w:rFonts w:ascii="Arial" w:hAnsi="Arial" w:cs="Arial"/>
          <w:b/>
          <w:sz w:val="22"/>
          <w:szCs w:val="22"/>
        </w:rPr>
      </w:pPr>
      <w:bookmarkStart w:id="167" w:name="_Toc59377848"/>
      <w:r w:rsidRPr="00624F4F">
        <w:rPr>
          <w:rFonts w:ascii="Arial" w:hAnsi="Arial" w:cs="Arial"/>
          <w:b/>
          <w:sz w:val="22"/>
          <w:szCs w:val="22"/>
        </w:rPr>
        <w:t>Conservación de los documentos contables</w:t>
      </w:r>
      <w:bookmarkEnd w:id="167"/>
      <w:r w:rsidRPr="00624F4F">
        <w:rPr>
          <w:rFonts w:ascii="Arial" w:hAnsi="Arial" w:cs="Arial"/>
          <w:b/>
          <w:sz w:val="22"/>
          <w:szCs w:val="22"/>
        </w:rPr>
        <w:t xml:space="preserve"> </w:t>
      </w:r>
    </w:p>
    <w:p w14:paraId="293305AF" w14:textId="77777777" w:rsidR="00621212" w:rsidRPr="00624F4F" w:rsidRDefault="00621212" w:rsidP="00CA76B9">
      <w:pPr>
        <w:spacing w:line="288" w:lineRule="auto"/>
        <w:rPr>
          <w:rFonts w:ascii="Arial" w:hAnsi="Arial" w:cs="Arial"/>
          <w:sz w:val="22"/>
          <w:szCs w:val="22"/>
        </w:rPr>
      </w:pPr>
    </w:p>
    <w:p w14:paraId="565B986D" w14:textId="66C8D93D" w:rsidR="00AA21A5"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La tenencia, conservación y custodia de los soportes, comprobantes y libros de contabilidad tiene como finalidad la consulta y verificación de la información financiera, así como su reproducción de acuerdo con las necesidades de información. </w:t>
      </w:r>
    </w:p>
    <w:p w14:paraId="4242E86E" w14:textId="4A54CE6D" w:rsidR="00720DEA" w:rsidRDefault="00720DEA" w:rsidP="00CA76B9">
      <w:pPr>
        <w:spacing w:line="288" w:lineRule="auto"/>
        <w:jc w:val="both"/>
        <w:rPr>
          <w:rFonts w:ascii="Arial" w:hAnsi="Arial" w:cs="Arial"/>
          <w:sz w:val="22"/>
          <w:szCs w:val="22"/>
          <w:highlight w:val="yellow"/>
        </w:rPr>
      </w:pPr>
    </w:p>
    <w:p w14:paraId="0EAC4A96" w14:textId="77777777" w:rsidR="00D605F9" w:rsidRPr="00624F4F" w:rsidRDefault="00D605F9" w:rsidP="00343ECE">
      <w:pPr>
        <w:numPr>
          <w:ilvl w:val="3"/>
          <w:numId w:val="15"/>
        </w:numPr>
        <w:spacing w:line="288" w:lineRule="auto"/>
        <w:jc w:val="both"/>
        <w:rPr>
          <w:rFonts w:ascii="Arial" w:hAnsi="Arial" w:cs="Arial"/>
          <w:b/>
          <w:sz w:val="22"/>
          <w:szCs w:val="22"/>
        </w:rPr>
      </w:pPr>
      <w:r w:rsidRPr="00624F4F">
        <w:rPr>
          <w:rFonts w:ascii="Arial" w:hAnsi="Arial" w:cs="Arial"/>
          <w:b/>
          <w:sz w:val="22"/>
          <w:szCs w:val="22"/>
        </w:rPr>
        <w:t>Medios y tiempo de conservación</w:t>
      </w:r>
    </w:p>
    <w:p w14:paraId="4A6C870D" w14:textId="2F00BA6A" w:rsidR="00D605F9" w:rsidRDefault="00D605F9" w:rsidP="00CA76B9">
      <w:pPr>
        <w:spacing w:line="288" w:lineRule="auto"/>
        <w:jc w:val="both"/>
        <w:rPr>
          <w:rFonts w:ascii="Arial" w:hAnsi="Arial" w:cs="Arial"/>
          <w:sz w:val="22"/>
          <w:szCs w:val="22"/>
        </w:rPr>
      </w:pPr>
    </w:p>
    <w:p w14:paraId="2FC486FE" w14:textId="09459C7C" w:rsidR="00D605F9" w:rsidRPr="00624F4F" w:rsidRDefault="00D605F9" w:rsidP="00CA76B9">
      <w:pPr>
        <w:spacing w:line="288" w:lineRule="auto"/>
        <w:jc w:val="both"/>
        <w:rPr>
          <w:rFonts w:ascii="Arial" w:hAnsi="Arial" w:cs="Arial"/>
          <w:sz w:val="22"/>
          <w:szCs w:val="22"/>
        </w:rPr>
      </w:pPr>
      <w:r w:rsidRPr="00624F4F">
        <w:rPr>
          <w:rFonts w:ascii="Arial" w:hAnsi="Arial" w:cs="Arial"/>
          <w:sz w:val="22"/>
          <w:szCs w:val="22"/>
        </w:rPr>
        <w:t>Toda la documentación que constituya evidencia de los hechos económicos debe estar a disposición de l</w:t>
      </w:r>
      <w:r w:rsidR="006B2710" w:rsidRPr="006B2710">
        <w:rPr>
          <w:rFonts w:ascii="Arial" w:hAnsi="Arial" w:cs="Arial"/>
          <w:sz w:val="22"/>
          <w:szCs w:val="22"/>
        </w:rPr>
        <w:t xml:space="preserve">os usuarios de la información, </w:t>
      </w:r>
      <w:r w:rsidRPr="00624F4F">
        <w:rPr>
          <w:rFonts w:ascii="Arial" w:hAnsi="Arial" w:cs="Arial"/>
          <w:sz w:val="22"/>
          <w:szCs w:val="22"/>
        </w:rPr>
        <w:t xml:space="preserve">siempre que se cumpla la normatividad vigente sobre la materia. </w:t>
      </w:r>
    </w:p>
    <w:p w14:paraId="49FC3FA9" w14:textId="77777777" w:rsidR="00D605F9" w:rsidRPr="00C10724" w:rsidRDefault="00D605F9" w:rsidP="00CA76B9">
      <w:pPr>
        <w:spacing w:line="288" w:lineRule="auto"/>
        <w:jc w:val="both"/>
        <w:rPr>
          <w:rFonts w:ascii="Arial" w:hAnsi="Arial" w:cs="Arial"/>
          <w:sz w:val="22"/>
          <w:szCs w:val="22"/>
        </w:rPr>
      </w:pPr>
    </w:p>
    <w:p w14:paraId="1DC04C92" w14:textId="77777777" w:rsidR="00D605F9" w:rsidRPr="00BF4B6C" w:rsidRDefault="00D605F9" w:rsidP="00CA76B9">
      <w:pPr>
        <w:spacing w:line="288" w:lineRule="auto"/>
        <w:jc w:val="both"/>
        <w:rPr>
          <w:rFonts w:ascii="Arial" w:hAnsi="Arial" w:cs="Arial"/>
          <w:b/>
          <w:i/>
          <w:sz w:val="22"/>
          <w:szCs w:val="22"/>
        </w:rPr>
      </w:pPr>
      <w:r w:rsidRPr="00BF4B6C">
        <w:rPr>
          <w:rFonts w:ascii="Arial" w:hAnsi="Arial" w:cs="Arial"/>
          <w:sz w:val="22"/>
          <w:szCs w:val="22"/>
        </w:rPr>
        <w:t xml:space="preserve">Teniendo en cuenta que el Ministerio de Hacienda y Crédito Público es una entidad que se encuentra bajo el ámbito de aplicación del Sistema Integrado de Información Financiera (SIIF Nación), </w:t>
      </w:r>
      <w:r>
        <w:rPr>
          <w:rFonts w:ascii="Arial" w:hAnsi="Arial" w:cs="Arial"/>
          <w:sz w:val="22"/>
          <w:szCs w:val="22"/>
        </w:rPr>
        <w:t xml:space="preserve">la responsabilidad de la Entidad por la conservación y reproducción de la documentación contable, será la que se establezca de acuerdo con las normas que regulan el referido sistema. </w:t>
      </w:r>
    </w:p>
    <w:p w14:paraId="754636BC" w14:textId="77777777" w:rsidR="00D605F9" w:rsidRDefault="00D605F9" w:rsidP="00CA76B9">
      <w:pPr>
        <w:spacing w:line="288" w:lineRule="auto"/>
        <w:jc w:val="both"/>
        <w:rPr>
          <w:rFonts w:ascii="Arial" w:hAnsi="Arial" w:cs="Arial"/>
          <w:sz w:val="22"/>
          <w:szCs w:val="22"/>
        </w:rPr>
      </w:pPr>
    </w:p>
    <w:p w14:paraId="21AEB5E5" w14:textId="2E7C8CA0" w:rsidR="00D605F9" w:rsidRPr="00924F1A" w:rsidRDefault="006B2710" w:rsidP="00CA76B9">
      <w:pPr>
        <w:spacing w:line="288" w:lineRule="auto"/>
        <w:jc w:val="both"/>
        <w:rPr>
          <w:rFonts w:ascii="Arial" w:hAnsi="Arial" w:cs="Arial"/>
          <w:sz w:val="22"/>
          <w:szCs w:val="22"/>
          <w:lang w:eastAsia="en-US"/>
        </w:rPr>
      </w:pPr>
      <w:r w:rsidRPr="00624F4F">
        <w:rPr>
          <w:rFonts w:ascii="Arial" w:hAnsi="Arial" w:cs="Arial"/>
          <w:sz w:val="22"/>
          <w:szCs w:val="22"/>
          <w:lang w:eastAsia="en-US"/>
        </w:rPr>
        <w:t xml:space="preserve">Como </w:t>
      </w:r>
      <w:r w:rsidR="00D605F9" w:rsidRPr="00624F4F">
        <w:rPr>
          <w:rFonts w:ascii="Arial" w:hAnsi="Arial" w:cs="Arial"/>
          <w:sz w:val="22"/>
          <w:szCs w:val="22"/>
          <w:lang w:eastAsia="en-US"/>
        </w:rPr>
        <w:t xml:space="preserve">estrategia para restablecer la información contable, </w:t>
      </w:r>
      <w:r w:rsidRPr="00624F4F">
        <w:rPr>
          <w:rFonts w:ascii="Arial" w:hAnsi="Arial" w:cs="Arial"/>
          <w:sz w:val="22"/>
          <w:szCs w:val="22"/>
          <w:lang w:eastAsia="en-US"/>
        </w:rPr>
        <w:t xml:space="preserve">se ha definido la creación de </w:t>
      </w:r>
      <w:r w:rsidR="00D605F9" w:rsidRPr="00624F4F">
        <w:rPr>
          <w:rFonts w:ascii="Arial" w:hAnsi="Arial" w:cs="Arial"/>
          <w:sz w:val="22"/>
          <w:szCs w:val="22"/>
          <w:lang w:eastAsia="en-US"/>
        </w:rPr>
        <w:t xml:space="preserve">copias periódicas (por lo menos una vez al mes) de los reportes de </w:t>
      </w:r>
      <w:r w:rsidR="00D605F9" w:rsidRPr="00624F4F">
        <w:rPr>
          <w:rFonts w:ascii="Arial" w:hAnsi="Arial" w:cs="Arial"/>
          <w:i/>
          <w:sz w:val="22"/>
          <w:szCs w:val="22"/>
          <w:lang w:eastAsia="en-US"/>
        </w:rPr>
        <w:t>comprobantes contables</w:t>
      </w:r>
      <w:r w:rsidR="00D605F9" w:rsidRPr="00624F4F">
        <w:rPr>
          <w:rFonts w:ascii="Arial" w:hAnsi="Arial" w:cs="Arial"/>
          <w:sz w:val="22"/>
          <w:szCs w:val="22"/>
          <w:lang w:eastAsia="en-US"/>
        </w:rPr>
        <w:t xml:space="preserve"> y de </w:t>
      </w:r>
      <w:r w:rsidR="00D605F9" w:rsidRPr="00624F4F">
        <w:rPr>
          <w:rFonts w:ascii="Arial" w:hAnsi="Arial" w:cs="Arial"/>
          <w:i/>
          <w:sz w:val="22"/>
          <w:szCs w:val="22"/>
          <w:lang w:eastAsia="en-US"/>
        </w:rPr>
        <w:t>auxiliares contables por terceros</w:t>
      </w:r>
      <w:r w:rsidR="00D605F9" w:rsidRPr="00624F4F">
        <w:rPr>
          <w:rFonts w:ascii="Arial" w:hAnsi="Arial" w:cs="Arial"/>
          <w:sz w:val="22"/>
          <w:szCs w:val="22"/>
          <w:lang w:eastAsia="en-US"/>
        </w:rPr>
        <w:t xml:space="preserve"> generados por el SIIF, así como del </w:t>
      </w:r>
      <w:r w:rsidR="00D605F9" w:rsidRPr="00624F4F">
        <w:rPr>
          <w:rFonts w:ascii="Arial" w:hAnsi="Arial" w:cs="Arial"/>
          <w:i/>
          <w:sz w:val="22"/>
          <w:szCs w:val="22"/>
          <w:lang w:eastAsia="en-US"/>
        </w:rPr>
        <w:t>reporte provisional de operaciones recíprocas</w:t>
      </w:r>
      <w:r w:rsidR="00D605F9" w:rsidRPr="00624F4F">
        <w:rPr>
          <w:rFonts w:ascii="Arial" w:hAnsi="Arial" w:cs="Arial"/>
          <w:sz w:val="22"/>
          <w:szCs w:val="22"/>
          <w:lang w:eastAsia="en-US"/>
        </w:rPr>
        <w:t>, los cuales se mantendrán en el servidor dispuesto para el efecto por la Dirección de Tecnología del Ministerio de Hacienda y Crédito Público. De igual forma, como complemento de lo anterior, se dispondrá de copias de la información transmitida a la Contaduría General de la Nación a través del CHIP</w:t>
      </w:r>
      <w:r w:rsidR="007A5078" w:rsidRPr="00624F4F">
        <w:rPr>
          <w:rFonts w:ascii="Arial" w:hAnsi="Arial" w:cs="Arial"/>
          <w:sz w:val="22"/>
          <w:szCs w:val="22"/>
          <w:lang w:eastAsia="en-US"/>
        </w:rPr>
        <w:t>, y de la información publicada en la página web www.minhacienda.gov.co</w:t>
      </w:r>
      <w:r w:rsidR="00D605F9" w:rsidRPr="00624F4F">
        <w:rPr>
          <w:rFonts w:ascii="Arial" w:hAnsi="Arial" w:cs="Arial"/>
          <w:sz w:val="22"/>
          <w:szCs w:val="22"/>
          <w:lang w:eastAsia="en-US"/>
        </w:rPr>
        <w:t>.</w:t>
      </w:r>
      <w:r w:rsidR="00D605F9" w:rsidRPr="00924F1A">
        <w:rPr>
          <w:rFonts w:ascii="Arial" w:hAnsi="Arial" w:cs="Arial"/>
          <w:sz w:val="22"/>
          <w:szCs w:val="22"/>
          <w:lang w:eastAsia="en-US"/>
        </w:rPr>
        <w:t xml:space="preserve"> </w:t>
      </w:r>
    </w:p>
    <w:p w14:paraId="32801566" w14:textId="77777777" w:rsidR="00D605F9" w:rsidRDefault="00D605F9" w:rsidP="00CA76B9">
      <w:pPr>
        <w:spacing w:line="288" w:lineRule="auto"/>
        <w:jc w:val="both"/>
        <w:rPr>
          <w:rFonts w:ascii="Arial" w:hAnsi="Arial" w:cs="Arial"/>
          <w:sz w:val="22"/>
          <w:szCs w:val="22"/>
          <w:highlight w:val="yellow"/>
        </w:rPr>
      </w:pPr>
    </w:p>
    <w:p w14:paraId="23D5F4B0" w14:textId="77777777" w:rsidR="006640A8" w:rsidRPr="00624F4F" w:rsidRDefault="00720DEA" w:rsidP="00CA76B9">
      <w:pPr>
        <w:spacing w:line="288" w:lineRule="auto"/>
        <w:jc w:val="both"/>
        <w:rPr>
          <w:rFonts w:ascii="Arial" w:hAnsi="Arial" w:cs="Arial"/>
          <w:sz w:val="22"/>
          <w:szCs w:val="22"/>
        </w:rPr>
      </w:pPr>
      <w:r w:rsidRPr="00624F4F">
        <w:rPr>
          <w:rFonts w:ascii="Arial" w:hAnsi="Arial" w:cs="Arial"/>
          <w:sz w:val="22"/>
          <w:szCs w:val="22"/>
        </w:rPr>
        <w:t xml:space="preserve">Los soportes, comprobantes y libros de contabilidad pueden conservarse impresos o en cualquier otro medio electrónico, magnético, óptico o similar, siempre y cuando: </w:t>
      </w:r>
    </w:p>
    <w:p w14:paraId="21B7BF96" w14:textId="77777777" w:rsidR="006640A8" w:rsidRPr="00624F4F" w:rsidRDefault="006640A8" w:rsidP="00CA76B9">
      <w:pPr>
        <w:spacing w:line="288" w:lineRule="auto"/>
        <w:jc w:val="both"/>
        <w:rPr>
          <w:rFonts w:ascii="Arial" w:hAnsi="Arial" w:cs="Arial"/>
          <w:sz w:val="22"/>
          <w:szCs w:val="22"/>
        </w:rPr>
      </w:pPr>
    </w:p>
    <w:p w14:paraId="1A904497" w14:textId="1610ECBD" w:rsidR="006640A8" w:rsidRPr="00403231" w:rsidRDefault="006640A8" w:rsidP="00343ECE">
      <w:pPr>
        <w:pStyle w:val="Prrafodelista"/>
        <w:numPr>
          <w:ilvl w:val="1"/>
          <w:numId w:val="37"/>
        </w:numPr>
        <w:spacing w:line="288" w:lineRule="auto"/>
        <w:ind w:left="284" w:hanging="284"/>
        <w:jc w:val="both"/>
        <w:rPr>
          <w:rFonts w:ascii="Arial" w:hAnsi="Arial" w:cs="Arial"/>
          <w:sz w:val="22"/>
          <w:szCs w:val="22"/>
        </w:rPr>
      </w:pPr>
      <w:r w:rsidRPr="00403231">
        <w:rPr>
          <w:rFonts w:ascii="Arial" w:hAnsi="Arial" w:cs="Arial"/>
          <w:sz w:val="22"/>
          <w:szCs w:val="22"/>
        </w:rPr>
        <w:t xml:space="preserve">Se garantice su reproducción exacta; </w:t>
      </w:r>
    </w:p>
    <w:p w14:paraId="5EE708F4" w14:textId="4F2FFC1D" w:rsidR="006640A8" w:rsidRPr="00403231" w:rsidRDefault="006640A8" w:rsidP="00343ECE">
      <w:pPr>
        <w:pStyle w:val="Prrafodelista"/>
        <w:numPr>
          <w:ilvl w:val="1"/>
          <w:numId w:val="37"/>
        </w:numPr>
        <w:spacing w:line="288" w:lineRule="auto"/>
        <w:ind w:left="284" w:hanging="284"/>
        <w:jc w:val="both"/>
        <w:rPr>
          <w:rFonts w:ascii="Arial" w:hAnsi="Arial" w:cs="Arial"/>
          <w:sz w:val="22"/>
          <w:szCs w:val="22"/>
        </w:rPr>
      </w:pPr>
      <w:r w:rsidRPr="00403231">
        <w:rPr>
          <w:rFonts w:ascii="Arial" w:hAnsi="Arial" w:cs="Arial"/>
          <w:sz w:val="22"/>
          <w:szCs w:val="22"/>
        </w:rPr>
        <w:t xml:space="preserve">Sean accesibles para su posterior consulta; </w:t>
      </w:r>
    </w:p>
    <w:p w14:paraId="47DE93AC" w14:textId="6FD2DCEB" w:rsidR="00B430E6" w:rsidRPr="00403231" w:rsidRDefault="006640A8" w:rsidP="00343ECE">
      <w:pPr>
        <w:pStyle w:val="Prrafodelista"/>
        <w:numPr>
          <w:ilvl w:val="1"/>
          <w:numId w:val="37"/>
        </w:numPr>
        <w:spacing w:line="288" w:lineRule="auto"/>
        <w:ind w:left="284" w:hanging="284"/>
        <w:jc w:val="both"/>
        <w:rPr>
          <w:rFonts w:ascii="Arial" w:hAnsi="Arial" w:cs="Arial"/>
          <w:sz w:val="22"/>
          <w:szCs w:val="22"/>
        </w:rPr>
      </w:pPr>
      <w:r w:rsidRPr="00403231">
        <w:rPr>
          <w:rFonts w:ascii="Arial" w:hAnsi="Arial" w:cs="Arial"/>
          <w:sz w:val="22"/>
          <w:szCs w:val="22"/>
        </w:rPr>
        <w:t>Sean conservados en el formato en que se hayan generado, o algún formato que permita demostrar que la información generada se reproduce con ex</w:t>
      </w:r>
      <w:r w:rsidR="00B430E6" w:rsidRPr="00403231">
        <w:rPr>
          <w:rFonts w:ascii="Arial" w:hAnsi="Arial" w:cs="Arial"/>
          <w:sz w:val="22"/>
          <w:szCs w:val="22"/>
        </w:rPr>
        <w:t xml:space="preserve">actitud; y </w:t>
      </w:r>
    </w:p>
    <w:p w14:paraId="1F895C5E" w14:textId="65745328" w:rsidR="00720DEA" w:rsidRPr="00403231" w:rsidRDefault="006B15B4" w:rsidP="00343ECE">
      <w:pPr>
        <w:pStyle w:val="Prrafodelista"/>
        <w:numPr>
          <w:ilvl w:val="1"/>
          <w:numId w:val="37"/>
        </w:numPr>
        <w:spacing w:line="288" w:lineRule="auto"/>
        <w:ind w:left="284" w:hanging="284"/>
        <w:jc w:val="both"/>
        <w:rPr>
          <w:rFonts w:ascii="Arial" w:hAnsi="Arial" w:cs="Arial"/>
          <w:sz w:val="22"/>
          <w:szCs w:val="22"/>
        </w:rPr>
      </w:pPr>
      <w:r w:rsidRPr="00403231">
        <w:rPr>
          <w:rFonts w:ascii="Arial" w:hAnsi="Arial" w:cs="Arial"/>
          <w:sz w:val="22"/>
          <w:szCs w:val="22"/>
        </w:rPr>
        <w:t xml:space="preserve">Se conserve toda la información que permita determinar el origen, la fecha y la hora en que fue reproducido el documento. </w:t>
      </w:r>
      <w:r w:rsidR="006640A8" w:rsidRPr="00403231">
        <w:rPr>
          <w:rFonts w:ascii="Arial" w:hAnsi="Arial" w:cs="Arial"/>
          <w:sz w:val="22"/>
          <w:szCs w:val="22"/>
        </w:rPr>
        <w:t xml:space="preserve">    </w:t>
      </w:r>
      <w:r w:rsidR="00720DEA" w:rsidRPr="00403231">
        <w:rPr>
          <w:rFonts w:ascii="Arial" w:hAnsi="Arial" w:cs="Arial"/>
          <w:sz w:val="22"/>
          <w:szCs w:val="22"/>
        </w:rPr>
        <w:t xml:space="preserve">  </w:t>
      </w:r>
    </w:p>
    <w:p w14:paraId="73AF2C4A" w14:textId="4E329B09" w:rsidR="00AA21A5" w:rsidRPr="00624F4F" w:rsidRDefault="00AA21A5" w:rsidP="00CA76B9">
      <w:pPr>
        <w:spacing w:line="288" w:lineRule="auto"/>
        <w:jc w:val="both"/>
      </w:pPr>
    </w:p>
    <w:p w14:paraId="12DAA740" w14:textId="700771EE" w:rsidR="00D66C0C" w:rsidRPr="00624F4F" w:rsidRDefault="00D66C0C" w:rsidP="00CA76B9">
      <w:pPr>
        <w:spacing w:line="288" w:lineRule="auto"/>
        <w:jc w:val="both"/>
        <w:rPr>
          <w:rFonts w:ascii="Arial" w:hAnsi="Arial" w:cs="Arial"/>
          <w:sz w:val="22"/>
          <w:szCs w:val="22"/>
        </w:rPr>
      </w:pPr>
      <w:r w:rsidRPr="00624F4F">
        <w:rPr>
          <w:rFonts w:ascii="Arial" w:hAnsi="Arial" w:cs="Arial"/>
          <w:sz w:val="22"/>
          <w:szCs w:val="22"/>
        </w:rPr>
        <w:t xml:space="preserve">Tratándose de los documentos impresos, </w:t>
      </w:r>
      <w:r w:rsidR="00A737EA" w:rsidRPr="00624F4F">
        <w:rPr>
          <w:rFonts w:ascii="Arial" w:hAnsi="Arial" w:cs="Arial"/>
          <w:sz w:val="22"/>
          <w:szCs w:val="22"/>
        </w:rPr>
        <w:t xml:space="preserve">especialmente los soportes y comprobantes contables, </w:t>
      </w:r>
      <w:r w:rsidRPr="00624F4F">
        <w:rPr>
          <w:rFonts w:ascii="Arial" w:hAnsi="Arial" w:cs="Arial"/>
          <w:sz w:val="22"/>
          <w:szCs w:val="22"/>
        </w:rPr>
        <w:t>el Ministerio de Hacienda y Crédito Público deberá conservar</w:t>
      </w:r>
      <w:r w:rsidR="00A737EA" w:rsidRPr="00624F4F">
        <w:rPr>
          <w:rFonts w:ascii="Arial" w:hAnsi="Arial" w:cs="Arial"/>
          <w:sz w:val="22"/>
          <w:szCs w:val="22"/>
        </w:rPr>
        <w:t xml:space="preserve">los de manera ordenada, teniendo en cuenta las tablas de retención documental establecidas en desarrollo del sistema de gestión documental. </w:t>
      </w:r>
    </w:p>
    <w:p w14:paraId="6C1F5836" w14:textId="7896C9F5" w:rsidR="00A737EA" w:rsidRDefault="00A737EA" w:rsidP="00CA76B9">
      <w:pPr>
        <w:spacing w:line="288" w:lineRule="auto"/>
        <w:jc w:val="both"/>
        <w:rPr>
          <w:rFonts w:ascii="Arial" w:hAnsi="Arial" w:cs="Arial"/>
          <w:sz w:val="22"/>
          <w:szCs w:val="22"/>
          <w:highlight w:val="yellow"/>
        </w:rPr>
      </w:pPr>
    </w:p>
    <w:p w14:paraId="1BA45257" w14:textId="08A1CFD0" w:rsidR="00A737EA" w:rsidRPr="00A0134B" w:rsidRDefault="00D31B33" w:rsidP="00CA76B9">
      <w:pPr>
        <w:pStyle w:val="unico"/>
        <w:spacing w:before="0" w:beforeAutospacing="0" w:after="0" w:afterAutospacing="0" w:line="288" w:lineRule="auto"/>
        <w:jc w:val="both"/>
        <w:rPr>
          <w:rFonts w:ascii="Arial" w:hAnsi="Arial" w:cs="Arial"/>
          <w:color w:val="000000"/>
          <w:sz w:val="22"/>
          <w:szCs w:val="22"/>
        </w:rPr>
      </w:pPr>
      <w:r w:rsidRPr="00FC0D25">
        <w:rPr>
          <w:rFonts w:ascii="Arial" w:hAnsi="Arial" w:cs="Arial"/>
          <w:color w:val="000000"/>
          <w:sz w:val="22"/>
          <w:szCs w:val="22"/>
        </w:rPr>
        <w:t xml:space="preserve">Con relación a los libros de contabilidad, la administración del sistema SIIF Nación ha </w:t>
      </w:r>
      <w:r w:rsidRPr="00666DC1">
        <w:rPr>
          <w:rFonts w:ascii="Arial" w:hAnsi="Arial" w:cs="Arial"/>
          <w:color w:val="000000"/>
          <w:sz w:val="22"/>
          <w:szCs w:val="22"/>
        </w:rPr>
        <w:t>previsto que l</w:t>
      </w:r>
      <w:r w:rsidR="00A737EA" w:rsidRPr="00666DC1">
        <w:rPr>
          <w:rFonts w:ascii="Arial" w:hAnsi="Arial" w:cs="Arial"/>
          <w:color w:val="000000"/>
          <w:sz w:val="22"/>
          <w:szCs w:val="22"/>
        </w:rPr>
        <w:t>os libros manejados a través del procesamiento electrónico de datos</w:t>
      </w:r>
      <w:r w:rsidRPr="00666DC1">
        <w:rPr>
          <w:rFonts w:ascii="Arial" w:hAnsi="Arial" w:cs="Arial"/>
          <w:color w:val="000000"/>
          <w:sz w:val="22"/>
          <w:szCs w:val="22"/>
        </w:rPr>
        <w:t xml:space="preserve"> se </w:t>
      </w:r>
      <w:r w:rsidR="00A737EA" w:rsidRPr="00FC0D25">
        <w:rPr>
          <w:rFonts w:ascii="Arial" w:hAnsi="Arial" w:cs="Arial"/>
          <w:color w:val="000000"/>
          <w:sz w:val="22"/>
          <w:szCs w:val="22"/>
        </w:rPr>
        <w:t>puedan consultar e imprimir. Por</w:t>
      </w:r>
      <w:r w:rsidR="007E04A2" w:rsidRPr="00FC0D25">
        <w:rPr>
          <w:rFonts w:ascii="Arial" w:hAnsi="Arial" w:cs="Arial"/>
          <w:color w:val="000000"/>
          <w:sz w:val="22"/>
          <w:szCs w:val="22"/>
        </w:rPr>
        <w:t xml:space="preserve"> lo anterior, </w:t>
      </w:r>
      <w:r w:rsidR="00A737EA" w:rsidRPr="00FC0D25">
        <w:rPr>
          <w:rFonts w:ascii="Arial" w:hAnsi="Arial" w:cs="Arial"/>
          <w:color w:val="000000"/>
          <w:sz w:val="22"/>
          <w:szCs w:val="22"/>
        </w:rPr>
        <w:t>es procedente conservarlos en medio magnético, sin que exista la obligación de que sean impresos y en caso de soli</w:t>
      </w:r>
      <w:r w:rsidR="007E04A2" w:rsidRPr="00FC0D25">
        <w:rPr>
          <w:rFonts w:ascii="Arial" w:hAnsi="Arial" w:cs="Arial"/>
          <w:color w:val="000000"/>
          <w:sz w:val="22"/>
          <w:szCs w:val="22"/>
        </w:rPr>
        <w:t>citud de exhibirlos, estos pueda</w:t>
      </w:r>
      <w:r w:rsidR="00A737EA" w:rsidRPr="00FC0D25">
        <w:rPr>
          <w:rFonts w:ascii="Arial" w:hAnsi="Arial" w:cs="Arial"/>
          <w:color w:val="000000"/>
          <w:sz w:val="22"/>
          <w:szCs w:val="22"/>
        </w:rPr>
        <w:t>n ser consultados directamente en el sistema.</w:t>
      </w:r>
    </w:p>
    <w:p w14:paraId="4BCEB2FD" w14:textId="77777777" w:rsidR="00A737EA" w:rsidRDefault="00A737EA" w:rsidP="00CA76B9">
      <w:pPr>
        <w:spacing w:line="288" w:lineRule="auto"/>
        <w:jc w:val="both"/>
        <w:rPr>
          <w:rFonts w:ascii="Arial" w:hAnsi="Arial" w:cs="Arial"/>
          <w:sz w:val="22"/>
          <w:szCs w:val="22"/>
          <w:highlight w:val="yellow"/>
        </w:rPr>
      </w:pPr>
    </w:p>
    <w:p w14:paraId="6976DA42" w14:textId="7FDE12A1" w:rsidR="00D23200"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El término de conservación de los soportes, comprobantes y libros de contabilidad es de diez (10) años</w:t>
      </w:r>
      <w:r w:rsidR="00881AF7" w:rsidRPr="00624F4F">
        <w:rPr>
          <w:rFonts w:ascii="Arial" w:hAnsi="Arial" w:cs="Arial"/>
          <w:sz w:val="22"/>
          <w:szCs w:val="22"/>
        </w:rPr>
        <w:t xml:space="preserve">, </w:t>
      </w:r>
      <w:r w:rsidRPr="00624F4F">
        <w:rPr>
          <w:rFonts w:ascii="Arial" w:hAnsi="Arial" w:cs="Arial"/>
          <w:sz w:val="22"/>
          <w:szCs w:val="22"/>
        </w:rPr>
        <w:t xml:space="preserve">contados a partir </w:t>
      </w:r>
      <w:r w:rsidR="008A169D">
        <w:rPr>
          <w:rFonts w:ascii="Arial" w:hAnsi="Arial" w:cs="Arial"/>
          <w:sz w:val="22"/>
          <w:szCs w:val="22"/>
        </w:rPr>
        <w:t xml:space="preserve">de la fecha del último </w:t>
      </w:r>
      <w:r w:rsidRPr="00624F4F">
        <w:rPr>
          <w:rFonts w:ascii="Arial" w:hAnsi="Arial" w:cs="Arial"/>
          <w:sz w:val="22"/>
          <w:szCs w:val="22"/>
        </w:rPr>
        <w:t>asiento, documento o comprobante</w:t>
      </w:r>
      <w:r w:rsidR="00881AF7" w:rsidRPr="00624F4F">
        <w:rPr>
          <w:rFonts w:ascii="Arial" w:hAnsi="Arial" w:cs="Arial"/>
          <w:sz w:val="22"/>
          <w:szCs w:val="22"/>
        </w:rPr>
        <w:t xml:space="preserve"> contable</w:t>
      </w:r>
      <w:r w:rsidR="008A169D">
        <w:rPr>
          <w:rFonts w:ascii="Arial" w:hAnsi="Arial" w:cs="Arial"/>
          <w:sz w:val="22"/>
          <w:szCs w:val="22"/>
        </w:rPr>
        <w:t xml:space="preserve"> de la respectiva vigencia</w:t>
      </w:r>
      <w:r w:rsidR="00881AF7" w:rsidRPr="00624F4F">
        <w:rPr>
          <w:rFonts w:ascii="Arial" w:hAnsi="Arial" w:cs="Arial"/>
          <w:sz w:val="22"/>
          <w:szCs w:val="22"/>
        </w:rPr>
        <w:t xml:space="preserve">. </w:t>
      </w:r>
      <w:r w:rsidR="00D23200" w:rsidRPr="00624F4F">
        <w:rPr>
          <w:rFonts w:ascii="Arial" w:hAnsi="Arial" w:cs="Arial"/>
          <w:sz w:val="22"/>
          <w:szCs w:val="22"/>
        </w:rPr>
        <w:t xml:space="preserve">Lo anterior, conforme a lo </w:t>
      </w:r>
      <w:r w:rsidR="00BD1E04" w:rsidRPr="00624F4F">
        <w:rPr>
          <w:rFonts w:ascii="Arial" w:hAnsi="Arial" w:cs="Arial"/>
          <w:sz w:val="22"/>
          <w:szCs w:val="22"/>
        </w:rPr>
        <w:t>definido</w:t>
      </w:r>
      <w:r w:rsidR="00D23200" w:rsidRPr="00624F4F">
        <w:rPr>
          <w:rFonts w:ascii="Arial" w:hAnsi="Arial" w:cs="Arial"/>
          <w:sz w:val="22"/>
          <w:szCs w:val="22"/>
        </w:rPr>
        <w:t xml:space="preserve"> en las tablas de </w:t>
      </w:r>
      <w:r w:rsidR="00D23200" w:rsidRPr="00624F4F">
        <w:rPr>
          <w:rFonts w:ascii="Arial" w:hAnsi="Arial" w:cs="Arial"/>
          <w:sz w:val="22"/>
          <w:szCs w:val="22"/>
        </w:rPr>
        <w:lastRenderedPageBreak/>
        <w:t xml:space="preserve">retención documental y en las directrices del sistema de gestión documental del MHCP, y sin perjuicio de las disposiciones establecidas o adoptadas para el manejo y conservación </w:t>
      </w:r>
      <w:r w:rsidR="006B4FA6" w:rsidRPr="00624F4F">
        <w:rPr>
          <w:rFonts w:ascii="Arial" w:hAnsi="Arial" w:cs="Arial"/>
          <w:sz w:val="22"/>
          <w:szCs w:val="22"/>
        </w:rPr>
        <w:t xml:space="preserve">de documentos históricos. </w:t>
      </w:r>
      <w:r w:rsidR="00D23200" w:rsidRPr="00624F4F">
        <w:rPr>
          <w:rFonts w:ascii="Arial" w:hAnsi="Arial" w:cs="Arial"/>
          <w:sz w:val="22"/>
          <w:szCs w:val="22"/>
        </w:rPr>
        <w:t xml:space="preserve">  </w:t>
      </w:r>
    </w:p>
    <w:p w14:paraId="0B98C703" w14:textId="77777777" w:rsidR="00D23200" w:rsidRPr="00624F4F" w:rsidRDefault="00D23200" w:rsidP="00CA76B9">
      <w:pPr>
        <w:spacing w:line="288" w:lineRule="auto"/>
        <w:jc w:val="both"/>
        <w:rPr>
          <w:rFonts w:ascii="Arial" w:hAnsi="Arial" w:cs="Arial"/>
          <w:b/>
          <w:sz w:val="22"/>
          <w:szCs w:val="22"/>
          <w:highlight w:val="yellow"/>
        </w:rPr>
      </w:pPr>
    </w:p>
    <w:p w14:paraId="33F16AEF" w14:textId="5A5B07A1" w:rsidR="00187999" w:rsidRPr="00624F4F" w:rsidRDefault="00D605F9" w:rsidP="00CA76B9">
      <w:pPr>
        <w:spacing w:line="288" w:lineRule="auto"/>
        <w:jc w:val="both"/>
        <w:rPr>
          <w:rFonts w:ascii="Arial" w:hAnsi="Arial" w:cs="Arial"/>
          <w:b/>
          <w:sz w:val="22"/>
          <w:szCs w:val="22"/>
        </w:rPr>
      </w:pPr>
      <w:r w:rsidRPr="00624F4F">
        <w:rPr>
          <w:rFonts w:ascii="Arial" w:hAnsi="Arial" w:cs="Arial"/>
          <w:b/>
          <w:sz w:val="22"/>
          <w:szCs w:val="22"/>
        </w:rPr>
        <w:t>6.6.</w:t>
      </w:r>
      <w:r w:rsidR="00187999" w:rsidRPr="00624F4F">
        <w:rPr>
          <w:rFonts w:ascii="Arial" w:hAnsi="Arial" w:cs="Arial"/>
          <w:b/>
          <w:sz w:val="22"/>
          <w:szCs w:val="22"/>
        </w:rPr>
        <w:t>5.2</w:t>
      </w:r>
      <w:r w:rsidR="00E72B79" w:rsidRPr="00624F4F">
        <w:rPr>
          <w:rFonts w:ascii="Arial" w:hAnsi="Arial" w:cs="Arial"/>
          <w:b/>
          <w:sz w:val="22"/>
          <w:szCs w:val="22"/>
        </w:rPr>
        <w:t xml:space="preserve"> Pérdida y reconstrucción de documentos </w:t>
      </w:r>
    </w:p>
    <w:p w14:paraId="6935010B" w14:textId="77777777" w:rsidR="00187999" w:rsidRPr="00624F4F" w:rsidRDefault="00187999" w:rsidP="00CA76B9">
      <w:pPr>
        <w:spacing w:line="288" w:lineRule="auto"/>
        <w:jc w:val="both"/>
        <w:rPr>
          <w:rFonts w:ascii="Arial" w:hAnsi="Arial" w:cs="Arial"/>
          <w:sz w:val="22"/>
          <w:szCs w:val="22"/>
        </w:rPr>
      </w:pPr>
    </w:p>
    <w:p w14:paraId="02339E06" w14:textId="0E42018A" w:rsidR="00187999" w:rsidRPr="00624F4F" w:rsidRDefault="00E72B79" w:rsidP="00CA76B9">
      <w:pPr>
        <w:spacing w:line="288" w:lineRule="auto"/>
        <w:jc w:val="both"/>
        <w:rPr>
          <w:rFonts w:ascii="Arial" w:hAnsi="Arial" w:cs="Arial"/>
          <w:sz w:val="22"/>
          <w:szCs w:val="22"/>
        </w:rPr>
      </w:pPr>
      <w:r w:rsidRPr="00624F4F">
        <w:rPr>
          <w:rFonts w:ascii="Arial" w:hAnsi="Arial" w:cs="Arial"/>
          <w:sz w:val="22"/>
          <w:szCs w:val="22"/>
        </w:rPr>
        <w:t xml:space="preserve">Cuando se presente la pérdida </w:t>
      </w:r>
      <w:r w:rsidR="00EA20D3" w:rsidRPr="00624F4F">
        <w:rPr>
          <w:rFonts w:ascii="Arial" w:hAnsi="Arial" w:cs="Arial"/>
          <w:sz w:val="22"/>
          <w:szCs w:val="22"/>
        </w:rPr>
        <w:t xml:space="preserve">o destrucción </w:t>
      </w:r>
      <w:r w:rsidRPr="00624F4F">
        <w:rPr>
          <w:rFonts w:ascii="Arial" w:hAnsi="Arial" w:cs="Arial"/>
          <w:sz w:val="22"/>
          <w:szCs w:val="22"/>
        </w:rPr>
        <w:t xml:space="preserve">de soportes, comprobantes o libros de contabilidad, </w:t>
      </w:r>
      <w:r w:rsidR="00EA20D3" w:rsidRPr="00624F4F">
        <w:rPr>
          <w:rFonts w:ascii="Arial" w:hAnsi="Arial" w:cs="Arial"/>
          <w:sz w:val="22"/>
          <w:szCs w:val="22"/>
        </w:rPr>
        <w:t xml:space="preserve">el funcionario responsable de la tenencia, conservación y custodia iniciará las acciones administrativas y legales que se deban adelantar como consecuencia de este hecho. </w:t>
      </w:r>
    </w:p>
    <w:p w14:paraId="1541B8C5" w14:textId="2334D8A0" w:rsidR="00EA20D3" w:rsidRPr="00624F4F" w:rsidRDefault="00EA20D3" w:rsidP="00CA76B9">
      <w:pPr>
        <w:spacing w:line="288" w:lineRule="auto"/>
        <w:jc w:val="both"/>
        <w:rPr>
          <w:rFonts w:ascii="Arial" w:hAnsi="Arial" w:cs="Arial"/>
          <w:sz w:val="22"/>
          <w:szCs w:val="22"/>
        </w:rPr>
      </w:pPr>
    </w:p>
    <w:p w14:paraId="25B82920" w14:textId="7443BE24" w:rsidR="00E72B79" w:rsidRPr="00624F4F" w:rsidRDefault="00B37A68" w:rsidP="00CA76B9">
      <w:pPr>
        <w:spacing w:line="288" w:lineRule="auto"/>
        <w:jc w:val="both"/>
        <w:rPr>
          <w:rFonts w:ascii="Arial" w:hAnsi="Arial" w:cs="Arial"/>
          <w:sz w:val="22"/>
          <w:szCs w:val="22"/>
        </w:rPr>
      </w:pPr>
      <w:r w:rsidRPr="00624F4F">
        <w:rPr>
          <w:rFonts w:ascii="Arial" w:hAnsi="Arial" w:cs="Arial"/>
          <w:sz w:val="22"/>
          <w:szCs w:val="22"/>
        </w:rPr>
        <w:t xml:space="preserve">No </w:t>
      </w:r>
      <w:proofErr w:type="gramStart"/>
      <w:r w:rsidRPr="00624F4F">
        <w:rPr>
          <w:rFonts w:ascii="Arial" w:hAnsi="Arial" w:cs="Arial"/>
          <w:sz w:val="22"/>
          <w:szCs w:val="22"/>
        </w:rPr>
        <w:t>obstante</w:t>
      </w:r>
      <w:proofErr w:type="gramEnd"/>
      <w:r w:rsidRPr="00624F4F">
        <w:rPr>
          <w:rFonts w:ascii="Arial" w:hAnsi="Arial" w:cs="Arial"/>
          <w:sz w:val="22"/>
          <w:szCs w:val="22"/>
        </w:rPr>
        <w:t xml:space="preserve"> lo anterior, deberá ordenarse de inmediato </w:t>
      </w:r>
      <w:r w:rsidR="00E72B79" w:rsidRPr="00624F4F">
        <w:rPr>
          <w:rFonts w:ascii="Arial" w:hAnsi="Arial" w:cs="Arial"/>
          <w:sz w:val="22"/>
          <w:szCs w:val="22"/>
        </w:rPr>
        <w:t>la reconstrucción de la información, partiendo de los estados financieros más recientes reportados a las diferentes instancias, los informes de terceros, la información archivada en medios electrónicos, magnéticos, ópticos o similares, y demás información que se considere pertinente.</w:t>
      </w:r>
    </w:p>
    <w:p w14:paraId="4D76BDC7" w14:textId="77777777" w:rsidR="00854101" w:rsidRPr="00AD11B7" w:rsidRDefault="00854101" w:rsidP="00CA76B9">
      <w:pPr>
        <w:spacing w:line="288" w:lineRule="auto"/>
        <w:jc w:val="both"/>
        <w:rPr>
          <w:rFonts w:ascii="Arial" w:hAnsi="Arial" w:cs="Arial"/>
          <w:sz w:val="22"/>
          <w:szCs w:val="22"/>
        </w:rPr>
      </w:pPr>
    </w:p>
    <w:p w14:paraId="66754C2F" w14:textId="77777777" w:rsidR="0046335B" w:rsidRPr="00AD11B7" w:rsidRDefault="008C6FA7" w:rsidP="00343ECE">
      <w:pPr>
        <w:pStyle w:val="Ttulo2"/>
        <w:numPr>
          <w:ilvl w:val="1"/>
          <w:numId w:val="15"/>
        </w:numPr>
        <w:spacing w:line="288" w:lineRule="auto"/>
        <w:rPr>
          <w:rFonts w:ascii="Arial" w:hAnsi="Arial" w:cs="Arial"/>
          <w:sz w:val="22"/>
          <w:szCs w:val="22"/>
        </w:rPr>
      </w:pPr>
      <w:bookmarkStart w:id="168" w:name="_Toc397936274"/>
      <w:bookmarkStart w:id="169" w:name="_Toc459991374"/>
      <w:bookmarkStart w:id="170" w:name="_Toc490726974"/>
      <w:bookmarkStart w:id="171" w:name="_Toc490727922"/>
      <w:bookmarkStart w:id="172" w:name="_Toc59377849"/>
      <w:r w:rsidRPr="00AD11B7">
        <w:rPr>
          <w:rFonts w:ascii="Arial" w:hAnsi="Arial" w:cs="Arial"/>
          <w:sz w:val="22"/>
          <w:szCs w:val="22"/>
        </w:rPr>
        <w:t>C</w:t>
      </w:r>
      <w:r w:rsidR="0046335B" w:rsidRPr="00AD11B7">
        <w:rPr>
          <w:rFonts w:ascii="Arial" w:hAnsi="Arial" w:cs="Arial"/>
          <w:sz w:val="22"/>
          <w:szCs w:val="22"/>
        </w:rPr>
        <w:t>ONTROLES APLICABLES A LA ELABORACIÓN DE LOS ESTADOS CONTABLES</w:t>
      </w:r>
      <w:bookmarkEnd w:id="168"/>
      <w:bookmarkEnd w:id="169"/>
      <w:bookmarkEnd w:id="170"/>
      <w:bookmarkEnd w:id="171"/>
      <w:bookmarkEnd w:id="172"/>
    </w:p>
    <w:p w14:paraId="3CF887A8" w14:textId="77777777" w:rsidR="00533E1C" w:rsidRPr="00AD11B7" w:rsidRDefault="00533E1C" w:rsidP="00CA76B9">
      <w:pPr>
        <w:spacing w:line="288" w:lineRule="auto"/>
        <w:rPr>
          <w:rFonts w:ascii="Arial" w:hAnsi="Arial" w:cs="Arial"/>
          <w:sz w:val="22"/>
          <w:szCs w:val="22"/>
        </w:rPr>
      </w:pPr>
    </w:p>
    <w:p w14:paraId="2579170B" w14:textId="77777777" w:rsidR="0046335B" w:rsidRPr="00AD11B7" w:rsidRDefault="0046335B" w:rsidP="00343ECE">
      <w:pPr>
        <w:pStyle w:val="Ttulo3"/>
        <w:numPr>
          <w:ilvl w:val="2"/>
          <w:numId w:val="14"/>
        </w:numPr>
        <w:spacing w:line="288" w:lineRule="auto"/>
        <w:jc w:val="both"/>
        <w:rPr>
          <w:rFonts w:ascii="Arial" w:hAnsi="Arial" w:cs="Arial"/>
          <w:b/>
          <w:sz w:val="22"/>
          <w:szCs w:val="22"/>
        </w:rPr>
      </w:pPr>
      <w:bookmarkStart w:id="173" w:name="_Toc397936275"/>
      <w:bookmarkStart w:id="174" w:name="_Toc459991375"/>
      <w:bookmarkStart w:id="175" w:name="_Toc490726975"/>
      <w:bookmarkStart w:id="176" w:name="_Toc490727923"/>
      <w:bookmarkStart w:id="177" w:name="_Toc59377850"/>
      <w:r w:rsidRPr="00AD11B7">
        <w:rPr>
          <w:rFonts w:ascii="Arial" w:hAnsi="Arial" w:cs="Arial"/>
          <w:b/>
          <w:sz w:val="22"/>
          <w:szCs w:val="22"/>
        </w:rPr>
        <w:t>Solicitudes a las áreas del MHCP y organismos externos para el suministro oportuno de información</w:t>
      </w:r>
      <w:bookmarkEnd w:id="173"/>
      <w:bookmarkEnd w:id="174"/>
      <w:bookmarkEnd w:id="175"/>
      <w:bookmarkEnd w:id="176"/>
      <w:bookmarkEnd w:id="177"/>
    </w:p>
    <w:p w14:paraId="3175C0C3" w14:textId="77777777" w:rsidR="0046335B" w:rsidRPr="00AD11B7" w:rsidRDefault="0046335B" w:rsidP="00CA76B9">
      <w:pPr>
        <w:spacing w:line="288" w:lineRule="auto"/>
        <w:ind w:left="360"/>
        <w:jc w:val="both"/>
        <w:rPr>
          <w:rFonts w:ascii="Arial" w:hAnsi="Arial" w:cs="Arial"/>
          <w:b/>
          <w:sz w:val="22"/>
          <w:szCs w:val="22"/>
        </w:rPr>
      </w:pPr>
    </w:p>
    <w:p w14:paraId="0D70C26C" w14:textId="77777777" w:rsidR="000A3A79" w:rsidRPr="00AD11B7" w:rsidRDefault="0046335B" w:rsidP="00CA76B9">
      <w:pPr>
        <w:spacing w:line="288" w:lineRule="auto"/>
        <w:jc w:val="both"/>
        <w:rPr>
          <w:rFonts w:ascii="Arial" w:hAnsi="Arial" w:cs="Arial"/>
          <w:sz w:val="22"/>
          <w:szCs w:val="22"/>
          <w:lang w:val="es-CO" w:eastAsia="es-CO"/>
        </w:rPr>
      </w:pPr>
      <w:r w:rsidRPr="00AD11B7">
        <w:rPr>
          <w:rFonts w:ascii="Arial" w:hAnsi="Arial" w:cs="Arial"/>
          <w:sz w:val="22"/>
          <w:szCs w:val="22"/>
          <w:lang w:val="es-CO" w:eastAsia="es-CO"/>
        </w:rPr>
        <w:t>El Grupo de Contabilidad revisará permanentemente los requerimientos mínimos y fechas de reporte de la información que deben remitir las dependencias del Ministerio, así como la que deben suministrar los organismos externos, para la preparación y entrega oportuna de los estados financieros del Ministerio de Hacienda y Crédito público</w:t>
      </w:r>
      <w:r w:rsidR="000B1854" w:rsidRPr="00AD11B7">
        <w:rPr>
          <w:rFonts w:ascii="Arial" w:hAnsi="Arial" w:cs="Arial"/>
          <w:sz w:val="22"/>
          <w:szCs w:val="22"/>
          <w:lang w:val="es-CO" w:eastAsia="es-CO"/>
        </w:rPr>
        <w:t>- Gestión General</w:t>
      </w:r>
      <w:r w:rsidRPr="00AD11B7">
        <w:rPr>
          <w:rFonts w:ascii="Arial" w:hAnsi="Arial" w:cs="Arial"/>
          <w:sz w:val="22"/>
          <w:szCs w:val="22"/>
          <w:lang w:val="es-CO" w:eastAsia="es-CO"/>
        </w:rPr>
        <w:t xml:space="preserve">. </w:t>
      </w:r>
    </w:p>
    <w:p w14:paraId="39DF6AF2" w14:textId="77777777" w:rsidR="000A3A79" w:rsidRPr="00AD11B7" w:rsidRDefault="000A3A79" w:rsidP="00CA76B9">
      <w:pPr>
        <w:spacing w:line="288" w:lineRule="auto"/>
        <w:jc w:val="both"/>
        <w:rPr>
          <w:rFonts w:ascii="Arial" w:hAnsi="Arial" w:cs="Arial"/>
          <w:sz w:val="22"/>
          <w:szCs w:val="22"/>
          <w:lang w:val="es-CO" w:eastAsia="es-CO"/>
        </w:rPr>
      </w:pPr>
    </w:p>
    <w:p w14:paraId="4B16AB37" w14:textId="7BF65844" w:rsidR="0046335B" w:rsidRPr="00AD11B7" w:rsidRDefault="0046335B" w:rsidP="00CA76B9">
      <w:pPr>
        <w:spacing w:line="288" w:lineRule="auto"/>
        <w:jc w:val="both"/>
        <w:rPr>
          <w:rFonts w:ascii="Arial" w:hAnsi="Arial" w:cs="Arial"/>
          <w:sz w:val="22"/>
          <w:szCs w:val="22"/>
          <w:lang w:val="es-CO" w:eastAsia="es-CO"/>
        </w:rPr>
      </w:pPr>
      <w:r w:rsidRPr="00AD11B7">
        <w:rPr>
          <w:rFonts w:ascii="Arial" w:hAnsi="Arial" w:cs="Arial"/>
          <w:sz w:val="22"/>
          <w:szCs w:val="22"/>
          <w:lang w:val="es-CO" w:eastAsia="es-CO"/>
        </w:rPr>
        <w:t>Si como resultado de la evaluación</w:t>
      </w:r>
      <w:r w:rsidR="00375D61" w:rsidRPr="00AD11B7">
        <w:rPr>
          <w:rFonts w:ascii="Arial" w:hAnsi="Arial" w:cs="Arial"/>
          <w:sz w:val="22"/>
          <w:szCs w:val="22"/>
          <w:lang w:val="es-CO" w:eastAsia="es-CO"/>
        </w:rPr>
        <w:t>,</w:t>
      </w:r>
      <w:r w:rsidRPr="00AD11B7">
        <w:rPr>
          <w:rFonts w:ascii="Arial" w:hAnsi="Arial" w:cs="Arial"/>
          <w:sz w:val="22"/>
          <w:szCs w:val="22"/>
          <w:lang w:val="es-CO" w:eastAsia="es-CO"/>
        </w:rPr>
        <w:t xml:space="preserve"> se determina que se deben actualizar las dependencias y/o entidades, requerimientos y fechas para el reporte de información, el Grupo de Contabilidad, mediante comunicaciones internas o externas (</w:t>
      </w:r>
      <w:r w:rsidR="00403231">
        <w:rPr>
          <w:rFonts w:ascii="Arial" w:hAnsi="Arial" w:cs="Arial"/>
          <w:sz w:val="22"/>
          <w:szCs w:val="22"/>
          <w:lang w:val="es-CO" w:eastAsia="es-CO"/>
        </w:rPr>
        <w:t>memorandos y/</w:t>
      </w:r>
      <w:proofErr w:type="spellStart"/>
      <w:r w:rsidR="00403231">
        <w:rPr>
          <w:rFonts w:ascii="Arial" w:hAnsi="Arial" w:cs="Arial"/>
          <w:sz w:val="22"/>
          <w:szCs w:val="22"/>
          <w:lang w:val="es-CO" w:eastAsia="es-CO"/>
        </w:rPr>
        <w:t>o</w:t>
      </w:r>
      <w:proofErr w:type="spellEnd"/>
      <w:r w:rsidR="00403231">
        <w:rPr>
          <w:rFonts w:ascii="Arial" w:hAnsi="Arial" w:cs="Arial"/>
          <w:sz w:val="22"/>
          <w:szCs w:val="22"/>
          <w:lang w:val="es-CO" w:eastAsia="es-CO"/>
        </w:rPr>
        <w:t xml:space="preserve"> oficios</w:t>
      </w:r>
      <w:r w:rsidRPr="00AD11B7">
        <w:rPr>
          <w:rFonts w:ascii="Arial" w:hAnsi="Arial" w:cs="Arial"/>
          <w:sz w:val="22"/>
          <w:szCs w:val="22"/>
          <w:lang w:val="es-CO" w:eastAsia="es-CO"/>
        </w:rPr>
        <w:t xml:space="preserve"> y/o Correo</w:t>
      </w:r>
      <w:r w:rsidR="00403231">
        <w:rPr>
          <w:rFonts w:ascii="Arial" w:hAnsi="Arial" w:cs="Arial"/>
          <w:sz w:val="22"/>
          <w:szCs w:val="22"/>
          <w:lang w:val="es-CO" w:eastAsia="es-CO"/>
        </w:rPr>
        <w:t>s</w:t>
      </w:r>
      <w:r w:rsidRPr="00AD11B7">
        <w:rPr>
          <w:rFonts w:ascii="Arial" w:hAnsi="Arial" w:cs="Arial"/>
          <w:sz w:val="22"/>
          <w:szCs w:val="22"/>
          <w:lang w:val="es-CO" w:eastAsia="es-CO"/>
        </w:rPr>
        <w:t xml:space="preserve"> Electrónico</w:t>
      </w:r>
      <w:r w:rsidR="00403231">
        <w:rPr>
          <w:rFonts w:ascii="Arial" w:hAnsi="Arial" w:cs="Arial"/>
          <w:sz w:val="22"/>
          <w:szCs w:val="22"/>
          <w:lang w:val="es-CO" w:eastAsia="es-CO"/>
        </w:rPr>
        <w:t>s</w:t>
      </w:r>
      <w:r w:rsidRPr="00AD11B7">
        <w:rPr>
          <w:rFonts w:ascii="Arial" w:hAnsi="Arial" w:cs="Arial"/>
          <w:sz w:val="22"/>
          <w:szCs w:val="22"/>
          <w:lang w:val="es-CO" w:eastAsia="es-CO"/>
        </w:rPr>
        <w:t>), informa</w:t>
      </w:r>
      <w:r w:rsidR="00375D61" w:rsidRPr="00AD11B7">
        <w:rPr>
          <w:rFonts w:ascii="Arial" w:hAnsi="Arial" w:cs="Arial"/>
          <w:sz w:val="22"/>
          <w:szCs w:val="22"/>
          <w:lang w:val="es-CO" w:eastAsia="es-CO"/>
        </w:rPr>
        <w:t>rá</w:t>
      </w:r>
      <w:r w:rsidRPr="00AD11B7">
        <w:rPr>
          <w:rFonts w:ascii="Arial" w:hAnsi="Arial" w:cs="Arial"/>
          <w:sz w:val="22"/>
          <w:szCs w:val="22"/>
          <w:lang w:val="es-CO" w:eastAsia="es-CO"/>
        </w:rPr>
        <w:t xml:space="preserve"> y solicita</w:t>
      </w:r>
      <w:r w:rsidR="00375D61" w:rsidRPr="00AD11B7">
        <w:rPr>
          <w:rFonts w:ascii="Arial" w:hAnsi="Arial" w:cs="Arial"/>
          <w:sz w:val="22"/>
          <w:szCs w:val="22"/>
          <w:lang w:val="es-CO" w:eastAsia="es-CO"/>
        </w:rPr>
        <w:t>rá</w:t>
      </w:r>
      <w:r w:rsidRPr="00AD11B7">
        <w:rPr>
          <w:rFonts w:ascii="Arial" w:hAnsi="Arial" w:cs="Arial"/>
          <w:sz w:val="22"/>
          <w:szCs w:val="22"/>
          <w:lang w:val="es-CO" w:eastAsia="es-CO"/>
        </w:rPr>
        <w:t xml:space="preserve"> a los responsables de las dependencias internas u organismos externos los nuevos requisitos que debe cumplir la información contable para la elaboración y presentación de los estados financieros.</w:t>
      </w:r>
    </w:p>
    <w:p w14:paraId="3FB34D00" w14:textId="77777777" w:rsidR="0046335B" w:rsidRPr="00AD11B7" w:rsidRDefault="0046335B" w:rsidP="00CA76B9">
      <w:pPr>
        <w:spacing w:line="288" w:lineRule="auto"/>
        <w:jc w:val="both"/>
        <w:rPr>
          <w:rFonts w:ascii="Arial" w:hAnsi="Arial" w:cs="Arial"/>
          <w:sz w:val="22"/>
          <w:szCs w:val="22"/>
          <w:lang w:val="es-CO" w:eastAsia="es-CO"/>
        </w:rPr>
      </w:pPr>
    </w:p>
    <w:p w14:paraId="5C9DC1AE" w14:textId="37F6D4D7" w:rsidR="0046335B" w:rsidRPr="00AD11B7" w:rsidRDefault="0046335B" w:rsidP="00CA76B9">
      <w:pPr>
        <w:spacing w:line="288" w:lineRule="auto"/>
        <w:jc w:val="both"/>
        <w:rPr>
          <w:rFonts w:ascii="Arial" w:hAnsi="Arial" w:cs="Arial"/>
          <w:sz w:val="22"/>
          <w:szCs w:val="22"/>
          <w:lang w:val="es-CO" w:eastAsia="es-CO"/>
        </w:rPr>
      </w:pPr>
      <w:r w:rsidRPr="00AD11B7">
        <w:rPr>
          <w:rFonts w:ascii="Arial" w:hAnsi="Arial" w:cs="Arial"/>
          <w:sz w:val="22"/>
          <w:szCs w:val="22"/>
          <w:lang w:val="es-CO" w:eastAsia="es-CO"/>
        </w:rPr>
        <w:t>Los requisitos de información contable detallan aspectos tales como: responsables del reporte, fecha de entrega, periodo al que corresponde, y los documentos, listados reportes, informes y características de contenido y calidad</w:t>
      </w:r>
      <w:r w:rsidR="00E33943">
        <w:rPr>
          <w:rFonts w:ascii="Arial" w:hAnsi="Arial" w:cs="Arial"/>
          <w:sz w:val="22"/>
          <w:szCs w:val="22"/>
          <w:lang w:val="es-CO" w:eastAsia="es-CO"/>
        </w:rPr>
        <w:t xml:space="preserve">. </w:t>
      </w:r>
    </w:p>
    <w:p w14:paraId="2B1C1165" w14:textId="77777777" w:rsidR="000B1854" w:rsidRPr="00AD11B7" w:rsidRDefault="000B1854" w:rsidP="00CA76B9">
      <w:pPr>
        <w:spacing w:line="288" w:lineRule="auto"/>
        <w:jc w:val="both"/>
        <w:rPr>
          <w:rFonts w:ascii="Arial" w:hAnsi="Arial" w:cs="Arial"/>
          <w:b/>
          <w:sz w:val="22"/>
          <w:szCs w:val="22"/>
        </w:rPr>
      </w:pPr>
    </w:p>
    <w:p w14:paraId="6ED419B8" w14:textId="77777777" w:rsidR="0046335B" w:rsidRPr="00AD11B7" w:rsidRDefault="0046335B" w:rsidP="00343ECE">
      <w:pPr>
        <w:pStyle w:val="Ttulo3"/>
        <w:numPr>
          <w:ilvl w:val="2"/>
          <w:numId w:val="14"/>
        </w:numPr>
        <w:spacing w:line="288" w:lineRule="auto"/>
        <w:rPr>
          <w:rFonts w:ascii="Arial" w:hAnsi="Arial" w:cs="Arial"/>
          <w:b/>
          <w:sz w:val="22"/>
          <w:szCs w:val="22"/>
        </w:rPr>
      </w:pPr>
      <w:bookmarkStart w:id="178" w:name="_Toc397936276"/>
      <w:bookmarkStart w:id="179" w:name="_Toc459991376"/>
      <w:bookmarkStart w:id="180" w:name="_Toc490726976"/>
      <w:bookmarkStart w:id="181" w:name="_Toc490727924"/>
      <w:bookmarkStart w:id="182" w:name="_Toc59377851"/>
      <w:r w:rsidRPr="00AD11B7">
        <w:rPr>
          <w:rFonts w:ascii="Arial" w:hAnsi="Arial" w:cs="Arial"/>
          <w:b/>
          <w:sz w:val="22"/>
          <w:szCs w:val="22"/>
        </w:rPr>
        <w:t>Verificación de la entrega oportuna y adecuada de la información</w:t>
      </w:r>
      <w:bookmarkEnd w:id="178"/>
      <w:bookmarkEnd w:id="179"/>
      <w:bookmarkEnd w:id="180"/>
      <w:bookmarkEnd w:id="181"/>
      <w:bookmarkEnd w:id="182"/>
      <w:r w:rsidRPr="00AD11B7">
        <w:rPr>
          <w:rFonts w:ascii="Arial" w:hAnsi="Arial" w:cs="Arial"/>
          <w:b/>
          <w:sz w:val="22"/>
          <w:szCs w:val="22"/>
        </w:rPr>
        <w:t xml:space="preserve"> </w:t>
      </w:r>
    </w:p>
    <w:p w14:paraId="59EB935D" w14:textId="77777777" w:rsidR="0046335B" w:rsidRPr="00AD11B7" w:rsidRDefault="0046335B" w:rsidP="00CA76B9">
      <w:pPr>
        <w:spacing w:line="288" w:lineRule="auto"/>
        <w:jc w:val="both"/>
        <w:rPr>
          <w:rFonts w:ascii="Arial" w:hAnsi="Arial" w:cs="Arial"/>
          <w:b/>
          <w:sz w:val="22"/>
          <w:szCs w:val="22"/>
        </w:rPr>
      </w:pPr>
    </w:p>
    <w:p w14:paraId="3D8149CD" w14:textId="247686A9" w:rsidR="0046335B" w:rsidRPr="00AD11B7" w:rsidRDefault="0046335B" w:rsidP="00CA76B9">
      <w:pPr>
        <w:spacing w:line="288" w:lineRule="auto"/>
        <w:jc w:val="both"/>
        <w:rPr>
          <w:rFonts w:ascii="Arial" w:hAnsi="Arial" w:cs="Arial"/>
          <w:sz w:val="22"/>
          <w:szCs w:val="22"/>
        </w:rPr>
      </w:pPr>
      <w:r w:rsidRPr="00AD11B7">
        <w:rPr>
          <w:rFonts w:ascii="Arial" w:hAnsi="Arial" w:cs="Arial"/>
          <w:sz w:val="22"/>
          <w:szCs w:val="22"/>
        </w:rPr>
        <w:lastRenderedPageBreak/>
        <w:t xml:space="preserve">Los </w:t>
      </w:r>
      <w:r w:rsidR="00F3231A">
        <w:rPr>
          <w:rFonts w:ascii="Arial" w:hAnsi="Arial" w:cs="Arial"/>
          <w:sz w:val="22"/>
          <w:szCs w:val="22"/>
        </w:rPr>
        <w:t xml:space="preserve">funcionarios o contratistas </w:t>
      </w:r>
      <w:r w:rsidRPr="00AD11B7">
        <w:rPr>
          <w:rFonts w:ascii="Arial" w:hAnsi="Arial" w:cs="Arial"/>
          <w:sz w:val="22"/>
          <w:szCs w:val="22"/>
        </w:rPr>
        <w:t xml:space="preserve">encargados del procesamiento de la información, deben atender lo dispuesto en el </w:t>
      </w:r>
      <w:r w:rsidRPr="006C2EB4">
        <w:rPr>
          <w:rFonts w:ascii="Arial" w:hAnsi="Arial" w:cs="Arial"/>
          <w:i/>
          <w:iCs/>
          <w:sz w:val="22"/>
          <w:szCs w:val="22"/>
        </w:rPr>
        <w:t>“Cronograma contable”,</w:t>
      </w:r>
      <w:r w:rsidRPr="00AD11B7">
        <w:rPr>
          <w:rFonts w:ascii="Arial" w:hAnsi="Arial" w:cs="Arial"/>
          <w:sz w:val="22"/>
          <w:szCs w:val="22"/>
        </w:rPr>
        <w:t xml:space="preserve"> para verificar la entrega oportuna de información contable por parte de cada una de las áreas internas u organismos externos, y así controlar la inclusión de la totalidad de las transacciones, hechos y operaciones</w:t>
      </w:r>
      <w:r w:rsidR="0007293B">
        <w:rPr>
          <w:rFonts w:ascii="Arial" w:hAnsi="Arial" w:cs="Arial"/>
          <w:sz w:val="22"/>
          <w:szCs w:val="22"/>
        </w:rPr>
        <w:t xml:space="preserve"> efectuadas por el Ministerio de Hacienda y Crédito Público.</w:t>
      </w:r>
    </w:p>
    <w:p w14:paraId="23F91058" w14:textId="77777777" w:rsidR="0046335B" w:rsidRPr="00AD11B7" w:rsidRDefault="0046335B" w:rsidP="00CA76B9">
      <w:pPr>
        <w:spacing w:line="288" w:lineRule="auto"/>
        <w:jc w:val="both"/>
        <w:rPr>
          <w:rFonts w:ascii="Arial" w:hAnsi="Arial" w:cs="Arial"/>
          <w:sz w:val="22"/>
          <w:szCs w:val="22"/>
        </w:rPr>
      </w:pPr>
    </w:p>
    <w:p w14:paraId="24F4D5C3" w14:textId="2F356875" w:rsidR="0046335B" w:rsidRPr="00AD11B7" w:rsidRDefault="0046335B" w:rsidP="00CA76B9">
      <w:pPr>
        <w:spacing w:line="288" w:lineRule="auto"/>
        <w:jc w:val="both"/>
        <w:rPr>
          <w:rFonts w:ascii="Arial" w:hAnsi="Arial" w:cs="Arial"/>
          <w:sz w:val="22"/>
          <w:szCs w:val="22"/>
        </w:rPr>
      </w:pPr>
      <w:r w:rsidRPr="00AD11B7">
        <w:rPr>
          <w:rFonts w:ascii="Arial" w:hAnsi="Arial" w:cs="Arial"/>
          <w:sz w:val="22"/>
          <w:szCs w:val="22"/>
        </w:rPr>
        <w:t>En los casos en los que la información no</w:t>
      </w:r>
      <w:r w:rsidR="004254DD">
        <w:rPr>
          <w:rFonts w:ascii="Arial" w:hAnsi="Arial" w:cs="Arial"/>
          <w:sz w:val="22"/>
          <w:szCs w:val="22"/>
        </w:rPr>
        <w:t xml:space="preserve"> sea suministrada</w:t>
      </w:r>
      <w:r w:rsidRPr="00AD11B7">
        <w:rPr>
          <w:rFonts w:ascii="Arial" w:hAnsi="Arial" w:cs="Arial"/>
          <w:sz w:val="22"/>
          <w:szCs w:val="22"/>
        </w:rPr>
        <w:t xml:space="preserve"> dentro de los plazos concedidos, o </w:t>
      </w:r>
      <w:r w:rsidR="004254DD">
        <w:rPr>
          <w:rFonts w:ascii="Arial" w:hAnsi="Arial" w:cs="Arial"/>
          <w:sz w:val="22"/>
          <w:szCs w:val="22"/>
        </w:rPr>
        <w:t>esté</w:t>
      </w:r>
      <w:r w:rsidRPr="00AD11B7">
        <w:rPr>
          <w:rFonts w:ascii="Arial" w:hAnsi="Arial" w:cs="Arial"/>
          <w:sz w:val="22"/>
          <w:szCs w:val="22"/>
        </w:rPr>
        <w:t xml:space="preserve"> incompleta, se realiza gestión telefónica y mediante correo electrónico para su obtención.</w:t>
      </w:r>
    </w:p>
    <w:p w14:paraId="5FB972DA" w14:textId="77777777" w:rsidR="0046335B" w:rsidRPr="00AD11B7" w:rsidRDefault="0046335B" w:rsidP="00CA76B9">
      <w:pPr>
        <w:spacing w:line="288" w:lineRule="auto"/>
        <w:jc w:val="both"/>
        <w:rPr>
          <w:rFonts w:ascii="Arial" w:hAnsi="Arial" w:cs="Arial"/>
          <w:sz w:val="22"/>
          <w:szCs w:val="22"/>
        </w:rPr>
      </w:pPr>
    </w:p>
    <w:p w14:paraId="68780D4E" w14:textId="6DCB7D3C" w:rsidR="0046335B" w:rsidRPr="00AD11B7" w:rsidRDefault="0046335B" w:rsidP="00CA76B9">
      <w:pPr>
        <w:spacing w:line="288" w:lineRule="auto"/>
        <w:jc w:val="both"/>
        <w:rPr>
          <w:rFonts w:ascii="Arial" w:hAnsi="Arial" w:cs="Arial"/>
          <w:sz w:val="22"/>
          <w:szCs w:val="22"/>
        </w:rPr>
      </w:pPr>
      <w:r w:rsidRPr="00AD11B7">
        <w:rPr>
          <w:rFonts w:ascii="Arial" w:hAnsi="Arial" w:cs="Arial"/>
          <w:sz w:val="22"/>
          <w:szCs w:val="22"/>
        </w:rPr>
        <w:t>Se ha establecido como política general adelantar las acciones tendientes a la obtención de la información antes del cierre contable (</w:t>
      </w:r>
      <w:r w:rsidR="00403231">
        <w:rPr>
          <w:rFonts w:ascii="Arial" w:hAnsi="Arial" w:cs="Arial"/>
          <w:sz w:val="22"/>
          <w:szCs w:val="22"/>
        </w:rPr>
        <w:t xml:space="preserve">mediante memorando y/o </w:t>
      </w:r>
      <w:r w:rsidRPr="00AD11B7">
        <w:rPr>
          <w:rFonts w:ascii="Arial" w:hAnsi="Arial" w:cs="Arial"/>
          <w:sz w:val="22"/>
          <w:szCs w:val="22"/>
        </w:rPr>
        <w:t>llamadas telefónicas y</w:t>
      </w:r>
      <w:r w:rsidR="00403231">
        <w:rPr>
          <w:rFonts w:ascii="Arial" w:hAnsi="Arial" w:cs="Arial"/>
          <w:sz w:val="22"/>
          <w:szCs w:val="22"/>
        </w:rPr>
        <w:t>/o</w:t>
      </w:r>
      <w:r w:rsidRPr="00AD11B7">
        <w:rPr>
          <w:rFonts w:ascii="Arial" w:hAnsi="Arial" w:cs="Arial"/>
          <w:sz w:val="22"/>
          <w:szCs w:val="22"/>
        </w:rPr>
        <w:t xml:space="preserve"> envío de correos electrónicos), en pro de garantizar el registro de la totalidad de la información.</w:t>
      </w:r>
    </w:p>
    <w:p w14:paraId="60A349B1" w14:textId="77777777" w:rsidR="0046335B" w:rsidRPr="00AD11B7" w:rsidRDefault="0046335B" w:rsidP="00CA76B9">
      <w:pPr>
        <w:spacing w:line="288" w:lineRule="auto"/>
        <w:jc w:val="both"/>
        <w:rPr>
          <w:rFonts w:ascii="Arial" w:hAnsi="Arial" w:cs="Arial"/>
          <w:b/>
          <w:sz w:val="22"/>
          <w:szCs w:val="22"/>
        </w:rPr>
      </w:pPr>
    </w:p>
    <w:p w14:paraId="734EFBC4" w14:textId="2E41D819" w:rsidR="0046335B" w:rsidRPr="00AD11B7" w:rsidRDefault="00206DE0" w:rsidP="00CA76B9">
      <w:pPr>
        <w:spacing w:line="288" w:lineRule="auto"/>
        <w:jc w:val="both"/>
        <w:rPr>
          <w:rFonts w:ascii="Arial" w:hAnsi="Arial" w:cs="Arial"/>
          <w:sz w:val="22"/>
          <w:szCs w:val="22"/>
        </w:rPr>
      </w:pPr>
      <w:r w:rsidRPr="00AD11B7">
        <w:rPr>
          <w:rFonts w:ascii="Arial" w:hAnsi="Arial" w:cs="Arial"/>
          <w:sz w:val="22"/>
          <w:szCs w:val="22"/>
        </w:rPr>
        <w:t>Asi</w:t>
      </w:r>
      <w:r w:rsidR="0046335B" w:rsidRPr="00AD11B7">
        <w:rPr>
          <w:rFonts w:ascii="Arial" w:hAnsi="Arial" w:cs="Arial"/>
          <w:sz w:val="22"/>
          <w:szCs w:val="22"/>
        </w:rPr>
        <w:t xml:space="preserve">mismo, el </w:t>
      </w:r>
      <w:r w:rsidR="00F3231A">
        <w:rPr>
          <w:rFonts w:ascii="Arial" w:hAnsi="Arial" w:cs="Arial"/>
          <w:sz w:val="22"/>
          <w:szCs w:val="22"/>
        </w:rPr>
        <w:t>funcionario o contratista</w:t>
      </w:r>
      <w:r w:rsidR="0046335B" w:rsidRPr="00AD11B7">
        <w:rPr>
          <w:rFonts w:ascii="Arial" w:hAnsi="Arial" w:cs="Arial"/>
          <w:sz w:val="22"/>
          <w:szCs w:val="22"/>
        </w:rPr>
        <w:t xml:space="preserve"> responsable del registro contable, revisa, analiza y verifica la información recibida de la dependencia interna o del organismo externo. En caso de encontrar deficiencias o inconsistencias</w:t>
      </w:r>
      <w:r w:rsidR="004307B6" w:rsidRPr="00AD11B7">
        <w:rPr>
          <w:rFonts w:ascii="Arial" w:hAnsi="Arial" w:cs="Arial"/>
          <w:sz w:val="22"/>
          <w:szCs w:val="22"/>
        </w:rPr>
        <w:t xml:space="preserve">, </w:t>
      </w:r>
      <w:r w:rsidR="0046335B" w:rsidRPr="00AD11B7">
        <w:rPr>
          <w:rFonts w:ascii="Arial" w:hAnsi="Arial" w:cs="Arial"/>
          <w:sz w:val="22"/>
          <w:szCs w:val="22"/>
        </w:rPr>
        <w:t>informará por escrito al remitente, mediante oficio y/o correo electrónico, para que se efectúen las correcciones, modificaciones y/o ajustes.</w:t>
      </w:r>
    </w:p>
    <w:p w14:paraId="381D80B2" w14:textId="77777777" w:rsidR="0046335B" w:rsidRPr="00AD11B7" w:rsidRDefault="0046335B" w:rsidP="00CA76B9">
      <w:pPr>
        <w:spacing w:line="288" w:lineRule="auto"/>
        <w:jc w:val="both"/>
        <w:rPr>
          <w:rFonts w:ascii="Arial" w:hAnsi="Arial" w:cs="Arial"/>
          <w:sz w:val="22"/>
          <w:szCs w:val="22"/>
        </w:rPr>
      </w:pPr>
    </w:p>
    <w:p w14:paraId="5EDEF51E" w14:textId="77777777" w:rsidR="0046335B" w:rsidRPr="00AD11B7" w:rsidRDefault="0046335B" w:rsidP="00343ECE">
      <w:pPr>
        <w:pStyle w:val="Ttulo3"/>
        <w:numPr>
          <w:ilvl w:val="2"/>
          <w:numId w:val="10"/>
        </w:numPr>
        <w:spacing w:line="288" w:lineRule="auto"/>
        <w:rPr>
          <w:rFonts w:ascii="Arial" w:hAnsi="Arial" w:cs="Arial"/>
          <w:b/>
          <w:sz w:val="22"/>
          <w:szCs w:val="22"/>
        </w:rPr>
      </w:pPr>
      <w:bookmarkStart w:id="183" w:name="_Toc397936277"/>
      <w:bookmarkStart w:id="184" w:name="_Toc459991377"/>
      <w:bookmarkStart w:id="185" w:name="_Toc490726977"/>
      <w:bookmarkStart w:id="186" w:name="_Toc490727925"/>
      <w:bookmarkStart w:id="187" w:name="_Toc59377852"/>
      <w:r w:rsidRPr="00AD11B7">
        <w:rPr>
          <w:rFonts w:ascii="Arial" w:hAnsi="Arial" w:cs="Arial"/>
          <w:b/>
          <w:sz w:val="22"/>
          <w:szCs w:val="22"/>
        </w:rPr>
        <w:t>Cierre contable</w:t>
      </w:r>
      <w:bookmarkEnd w:id="183"/>
      <w:bookmarkEnd w:id="184"/>
      <w:bookmarkEnd w:id="185"/>
      <w:bookmarkEnd w:id="186"/>
      <w:bookmarkEnd w:id="187"/>
    </w:p>
    <w:p w14:paraId="2A6E728A" w14:textId="77777777" w:rsidR="0046335B" w:rsidRPr="00AD11B7" w:rsidRDefault="0046335B" w:rsidP="00CA76B9">
      <w:pPr>
        <w:spacing w:line="288" w:lineRule="auto"/>
        <w:jc w:val="both"/>
        <w:rPr>
          <w:rFonts w:ascii="Arial" w:hAnsi="Arial" w:cs="Arial"/>
          <w:b/>
          <w:sz w:val="22"/>
          <w:szCs w:val="22"/>
        </w:rPr>
      </w:pPr>
    </w:p>
    <w:p w14:paraId="6A2CEE86" w14:textId="1E0E3F23" w:rsidR="00A82519" w:rsidRPr="00AD11B7" w:rsidRDefault="0046335B" w:rsidP="00CA76B9">
      <w:pPr>
        <w:spacing w:line="288" w:lineRule="auto"/>
        <w:jc w:val="both"/>
        <w:rPr>
          <w:rFonts w:ascii="Arial" w:hAnsi="Arial" w:cs="Arial"/>
          <w:sz w:val="22"/>
          <w:szCs w:val="22"/>
        </w:rPr>
      </w:pPr>
      <w:r w:rsidRPr="00AD11B7">
        <w:rPr>
          <w:rFonts w:ascii="Arial" w:hAnsi="Arial" w:cs="Arial"/>
          <w:sz w:val="22"/>
          <w:szCs w:val="22"/>
        </w:rPr>
        <w:t>El Ministerio de Hacienda y Crédito Público, realizará todas las acciones de orde</w:t>
      </w:r>
      <w:r w:rsidR="005241D9" w:rsidRPr="00AD11B7">
        <w:rPr>
          <w:rFonts w:ascii="Arial" w:hAnsi="Arial" w:cs="Arial"/>
          <w:sz w:val="22"/>
          <w:szCs w:val="22"/>
        </w:rPr>
        <w:t xml:space="preserve">n administrativo que conlleven </w:t>
      </w:r>
      <w:r w:rsidRPr="00AD11B7">
        <w:rPr>
          <w:rFonts w:ascii="Arial" w:hAnsi="Arial" w:cs="Arial"/>
          <w:sz w:val="22"/>
          <w:szCs w:val="22"/>
        </w:rPr>
        <w:t xml:space="preserve">un cierre integral de la información producida en todas las áreas que generan </w:t>
      </w:r>
      <w:r w:rsidR="008455E5" w:rsidRPr="00AD11B7">
        <w:rPr>
          <w:rFonts w:ascii="Arial" w:hAnsi="Arial" w:cs="Arial"/>
          <w:sz w:val="22"/>
          <w:szCs w:val="22"/>
        </w:rPr>
        <w:t>operaciones</w:t>
      </w:r>
      <w:r w:rsidRPr="00AD11B7">
        <w:rPr>
          <w:rFonts w:ascii="Arial" w:hAnsi="Arial" w:cs="Arial"/>
          <w:sz w:val="22"/>
          <w:szCs w:val="22"/>
        </w:rPr>
        <w:t>. Entre las actividades a desarrollar se encuentran</w:t>
      </w:r>
      <w:r w:rsidR="00FC7B55">
        <w:rPr>
          <w:rFonts w:ascii="Arial" w:hAnsi="Arial" w:cs="Arial"/>
          <w:sz w:val="22"/>
          <w:szCs w:val="22"/>
        </w:rPr>
        <w:t>, entre otras</w:t>
      </w:r>
      <w:r w:rsidRPr="00AD11B7">
        <w:rPr>
          <w:rFonts w:ascii="Arial" w:hAnsi="Arial" w:cs="Arial"/>
          <w:sz w:val="22"/>
          <w:szCs w:val="22"/>
        </w:rPr>
        <w:t>: cierre de c</w:t>
      </w:r>
      <w:r w:rsidR="00A51750" w:rsidRPr="00AD11B7">
        <w:rPr>
          <w:rFonts w:ascii="Arial" w:hAnsi="Arial" w:cs="Arial"/>
          <w:sz w:val="22"/>
          <w:szCs w:val="22"/>
        </w:rPr>
        <w:t xml:space="preserve">ompras, tesorería y presupuesto; </w:t>
      </w:r>
      <w:r w:rsidRPr="00AD11B7">
        <w:rPr>
          <w:rFonts w:ascii="Arial" w:hAnsi="Arial" w:cs="Arial"/>
          <w:sz w:val="22"/>
          <w:szCs w:val="22"/>
        </w:rPr>
        <w:t>recibo a satisfacción de bienes y servicios, reconocimiento de derechos</w:t>
      </w:r>
      <w:r w:rsidR="00A51750" w:rsidRPr="00AD11B7">
        <w:rPr>
          <w:rFonts w:ascii="Arial" w:hAnsi="Arial" w:cs="Arial"/>
          <w:sz w:val="22"/>
          <w:szCs w:val="22"/>
        </w:rPr>
        <w:t xml:space="preserve"> y obligaciones</w:t>
      </w:r>
      <w:r w:rsidRPr="00AD11B7">
        <w:rPr>
          <w:rFonts w:ascii="Arial" w:hAnsi="Arial" w:cs="Arial"/>
          <w:sz w:val="22"/>
          <w:szCs w:val="22"/>
        </w:rPr>
        <w:t>, elab</w:t>
      </w:r>
      <w:r w:rsidR="00A51750" w:rsidRPr="00AD11B7">
        <w:rPr>
          <w:rFonts w:ascii="Arial" w:hAnsi="Arial" w:cs="Arial"/>
          <w:sz w:val="22"/>
          <w:szCs w:val="22"/>
        </w:rPr>
        <w:t xml:space="preserve">oración de inventario de bienes; legalización de cajas menores, </w:t>
      </w:r>
      <w:r w:rsidRPr="00AD11B7">
        <w:rPr>
          <w:rFonts w:ascii="Arial" w:hAnsi="Arial" w:cs="Arial"/>
          <w:sz w:val="22"/>
          <w:szCs w:val="22"/>
        </w:rPr>
        <w:t>viáticos y gastos de viaje, anticipos a contratistas y proveedores</w:t>
      </w:r>
      <w:r w:rsidR="00A51750" w:rsidRPr="00AD11B7">
        <w:rPr>
          <w:rFonts w:ascii="Arial" w:hAnsi="Arial" w:cs="Arial"/>
          <w:sz w:val="22"/>
          <w:szCs w:val="22"/>
        </w:rPr>
        <w:t>; conciliaciones;</w:t>
      </w:r>
      <w:r w:rsidRPr="00AD11B7">
        <w:rPr>
          <w:rFonts w:ascii="Arial" w:hAnsi="Arial" w:cs="Arial"/>
          <w:sz w:val="22"/>
          <w:szCs w:val="22"/>
        </w:rPr>
        <w:t xml:space="preserve"> verificación</w:t>
      </w:r>
      <w:r w:rsidR="00A51750" w:rsidRPr="00AD11B7">
        <w:rPr>
          <w:rFonts w:ascii="Arial" w:hAnsi="Arial" w:cs="Arial"/>
          <w:sz w:val="22"/>
          <w:szCs w:val="22"/>
        </w:rPr>
        <w:t>, conciliación y ajuste de operaciones recíprocas;</w:t>
      </w:r>
      <w:r w:rsidRPr="00AD11B7">
        <w:rPr>
          <w:rFonts w:ascii="Arial" w:hAnsi="Arial" w:cs="Arial"/>
          <w:sz w:val="22"/>
          <w:szCs w:val="22"/>
        </w:rPr>
        <w:t xml:space="preserve"> ajustes por </w:t>
      </w:r>
      <w:r w:rsidR="00A51750" w:rsidRPr="00AD11B7">
        <w:rPr>
          <w:rFonts w:ascii="Arial" w:hAnsi="Arial" w:cs="Arial"/>
          <w:sz w:val="22"/>
          <w:szCs w:val="22"/>
        </w:rPr>
        <w:t>deterioro</w:t>
      </w:r>
      <w:r w:rsidRPr="00AD11B7">
        <w:rPr>
          <w:rFonts w:ascii="Arial" w:hAnsi="Arial" w:cs="Arial"/>
          <w:sz w:val="22"/>
          <w:szCs w:val="22"/>
        </w:rPr>
        <w:t>, depreciaciones, amortizaciones, sentencias y conciliaciones</w:t>
      </w:r>
      <w:r w:rsidR="00A51750" w:rsidRPr="00AD11B7">
        <w:rPr>
          <w:rFonts w:ascii="Arial" w:hAnsi="Arial" w:cs="Arial"/>
          <w:sz w:val="22"/>
          <w:szCs w:val="22"/>
        </w:rPr>
        <w:t xml:space="preserve"> y</w:t>
      </w:r>
      <w:r w:rsidRPr="00AD11B7">
        <w:rPr>
          <w:rFonts w:ascii="Arial" w:hAnsi="Arial" w:cs="Arial"/>
          <w:sz w:val="22"/>
          <w:szCs w:val="22"/>
        </w:rPr>
        <w:t xml:space="preserve"> las cuentas de orden</w:t>
      </w:r>
      <w:r w:rsidR="00A51750" w:rsidRPr="00AD11B7">
        <w:rPr>
          <w:rFonts w:ascii="Arial" w:hAnsi="Arial" w:cs="Arial"/>
          <w:sz w:val="22"/>
          <w:szCs w:val="22"/>
        </w:rPr>
        <w:t xml:space="preserve">; así como </w:t>
      </w:r>
      <w:r w:rsidRPr="00AD11B7">
        <w:rPr>
          <w:rFonts w:ascii="Arial" w:hAnsi="Arial" w:cs="Arial"/>
          <w:sz w:val="22"/>
          <w:szCs w:val="22"/>
        </w:rPr>
        <w:t xml:space="preserve">la presentación de las notas a los estados contables. </w:t>
      </w:r>
    </w:p>
    <w:p w14:paraId="58C77514" w14:textId="77777777" w:rsidR="00A82519" w:rsidRPr="00AD11B7" w:rsidRDefault="00A82519" w:rsidP="00CA76B9">
      <w:pPr>
        <w:spacing w:line="288" w:lineRule="auto"/>
        <w:jc w:val="both"/>
        <w:rPr>
          <w:rFonts w:ascii="Arial" w:hAnsi="Arial" w:cs="Arial"/>
          <w:sz w:val="22"/>
          <w:szCs w:val="22"/>
        </w:rPr>
      </w:pPr>
    </w:p>
    <w:p w14:paraId="76E35767" w14:textId="77777777" w:rsidR="0046335B" w:rsidRPr="00AD11B7" w:rsidRDefault="0046335B" w:rsidP="00CA76B9">
      <w:pPr>
        <w:spacing w:line="288" w:lineRule="auto"/>
        <w:jc w:val="both"/>
        <w:rPr>
          <w:rFonts w:ascii="Arial" w:hAnsi="Arial" w:cs="Arial"/>
          <w:sz w:val="22"/>
          <w:szCs w:val="22"/>
          <w:lang w:val="es-CO" w:eastAsia="es-CO"/>
        </w:rPr>
      </w:pPr>
      <w:r w:rsidRPr="00AD11B7">
        <w:rPr>
          <w:rFonts w:ascii="Arial" w:hAnsi="Arial" w:cs="Arial"/>
          <w:sz w:val="22"/>
          <w:szCs w:val="22"/>
        </w:rPr>
        <w:t xml:space="preserve">Lo anterior, dando cumplimiento a lo establecido en el Régimen de Contabilidad Pública, y a lo señalado por la Contaduría General de la Nación en los Instructivos </w:t>
      </w:r>
      <w:r w:rsidRPr="00AD11B7">
        <w:rPr>
          <w:rFonts w:ascii="Arial" w:hAnsi="Arial" w:cs="Arial"/>
          <w:sz w:val="22"/>
          <w:szCs w:val="22"/>
          <w:lang w:val="es-CO" w:eastAsia="es-CO"/>
        </w:rPr>
        <w:t xml:space="preserve">relacionados con los cambios de período contable, el reporte de información a la Contaduría General de la Nación y otros aspectos del proceso contable, que son expedidos anualmente. </w:t>
      </w:r>
    </w:p>
    <w:p w14:paraId="0A9D1424" w14:textId="77777777" w:rsidR="00A51750" w:rsidRPr="00AD11B7" w:rsidRDefault="00A51750" w:rsidP="00CA76B9">
      <w:pPr>
        <w:spacing w:line="288" w:lineRule="auto"/>
        <w:jc w:val="both"/>
        <w:rPr>
          <w:rFonts w:ascii="Arial" w:hAnsi="Arial" w:cs="Arial"/>
          <w:b/>
          <w:sz w:val="22"/>
          <w:szCs w:val="22"/>
          <w:lang w:val="es-CO" w:eastAsia="es-CO"/>
        </w:rPr>
      </w:pPr>
    </w:p>
    <w:p w14:paraId="471A5729" w14:textId="77777777" w:rsidR="0046335B" w:rsidRPr="00AD11B7" w:rsidRDefault="0046335B" w:rsidP="00343ECE">
      <w:pPr>
        <w:pStyle w:val="Ttulo3"/>
        <w:numPr>
          <w:ilvl w:val="2"/>
          <w:numId w:val="10"/>
        </w:numPr>
        <w:spacing w:line="288" w:lineRule="auto"/>
        <w:rPr>
          <w:rFonts w:ascii="Arial" w:hAnsi="Arial" w:cs="Arial"/>
          <w:b/>
          <w:sz w:val="22"/>
          <w:szCs w:val="22"/>
          <w:lang w:val="es-CO" w:eastAsia="es-CO"/>
        </w:rPr>
      </w:pPr>
      <w:bookmarkStart w:id="188" w:name="_Toc397936278"/>
      <w:bookmarkStart w:id="189" w:name="_Toc459991378"/>
      <w:bookmarkStart w:id="190" w:name="_Toc490726978"/>
      <w:bookmarkStart w:id="191" w:name="_Toc490727926"/>
      <w:bookmarkStart w:id="192" w:name="_Toc59377853"/>
      <w:r w:rsidRPr="00AD11B7">
        <w:rPr>
          <w:rFonts w:ascii="Arial" w:hAnsi="Arial" w:cs="Arial"/>
          <w:b/>
          <w:sz w:val="22"/>
          <w:szCs w:val="22"/>
          <w:lang w:val="es-CO" w:eastAsia="es-CO"/>
        </w:rPr>
        <w:t>Conciliación de información</w:t>
      </w:r>
      <w:bookmarkEnd w:id="188"/>
      <w:bookmarkEnd w:id="189"/>
      <w:bookmarkEnd w:id="190"/>
      <w:bookmarkEnd w:id="191"/>
      <w:bookmarkEnd w:id="192"/>
      <w:r w:rsidRPr="00AD11B7">
        <w:rPr>
          <w:rFonts w:ascii="Arial" w:hAnsi="Arial" w:cs="Arial"/>
          <w:b/>
          <w:sz w:val="22"/>
          <w:szCs w:val="22"/>
          <w:lang w:val="es-CO" w:eastAsia="es-CO"/>
        </w:rPr>
        <w:t xml:space="preserve"> </w:t>
      </w:r>
    </w:p>
    <w:p w14:paraId="588E8E91" w14:textId="77777777" w:rsidR="0046335B" w:rsidRPr="00AD11B7" w:rsidRDefault="0046335B" w:rsidP="00CA76B9">
      <w:pPr>
        <w:spacing w:line="288" w:lineRule="auto"/>
        <w:ind w:left="360"/>
        <w:rPr>
          <w:rFonts w:ascii="Arial" w:hAnsi="Arial" w:cs="Arial"/>
          <w:sz w:val="22"/>
          <w:szCs w:val="22"/>
          <w:lang w:val="es-CO" w:eastAsia="es-CO"/>
        </w:rPr>
      </w:pPr>
    </w:p>
    <w:p w14:paraId="7000463C" w14:textId="6E0451B8" w:rsidR="0046335B" w:rsidRPr="00AD11B7" w:rsidRDefault="0046335B" w:rsidP="00CA76B9">
      <w:pPr>
        <w:spacing w:line="288" w:lineRule="auto"/>
        <w:jc w:val="both"/>
        <w:rPr>
          <w:rFonts w:ascii="Arial" w:hAnsi="Arial" w:cs="Arial"/>
          <w:sz w:val="22"/>
          <w:szCs w:val="22"/>
          <w:lang w:val="es-CO" w:eastAsia="es-CO"/>
        </w:rPr>
      </w:pPr>
      <w:r w:rsidRPr="00AD11B7">
        <w:rPr>
          <w:rFonts w:ascii="Arial" w:hAnsi="Arial" w:cs="Arial"/>
          <w:sz w:val="22"/>
          <w:szCs w:val="22"/>
          <w:lang w:val="es-CO" w:eastAsia="es-CO"/>
        </w:rPr>
        <w:lastRenderedPageBreak/>
        <w:t xml:space="preserve">Los responsables del procesamiento </w:t>
      </w:r>
      <w:r w:rsidR="00FB5CD3">
        <w:rPr>
          <w:rFonts w:ascii="Arial" w:hAnsi="Arial" w:cs="Arial"/>
          <w:sz w:val="22"/>
          <w:szCs w:val="22"/>
          <w:lang w:val="es-CO" w:eastAsia="es-CO"/>
        </w:rPr>
        <w:t xml:space="preserve">de la información contable </w:t>
      </w:r>
      <w:r w:rsidRPr="00AD11B7">
        <w:rPr>
          <w:rFonts w:ascii="Arial" w:hAnsi="Arial" w:cs="Arial"/>
          <w:sz w:val="22"/>
          <w:szCs w:val="22"/>
          <w:lang w:val="es-CO" w:eastAsia="es-CO"/>
        </w:rPr>
        <w:t>deben realizar periódicamente y de forma permanente actividades de análisis, verificación y conciliación, con el propósito de contrastar y ajustar, si a ello hubiere lugar, lo registrado en la contabilidad de la entidad y los datos que tienen las diferentes dependencias internas u organismos externos.</w:t>
      </w:r>
    </w:p>
    <w:p w14:paraId="55936BC6" w14:textId="785F9E9D" w:rsidR="0046335B" w:rsidRDefault="0046335B" w:rsidP="00CA76B9">
      <w:pPr>
        <w:spacing w:line="288" w:lineRule="auto"/>
        <w:jc w:val="both"/>
        <w:rPr>
          <w:rFonts w:ascii="Arial" w:hAnsi="Arial" w:cs="Arial"/>
          <w:sz w:val="22"/>
          <w:szCs w:val="22"/>
          <w:lang w:val="es-CO" w:eastAsia="es-CO"/>
        </w:rPr>
      </w:pPr>
    </w:p>
    <w:p w14:paraId="34FB07A8" w14:textId="5BB6187A" w:rsidR="004C50DA" w:rsidRPr="00B2693B" w:rsidRDefault="0099570E" w:rsidP="00CA76B9">
      <w:pPr>
        <w:spacing w:line="288" w:lineRule="auto"/>
        <w:jc w:val="both"/>
        <w:rPr>
          <w:rFonts w:ascii="Arial" w:hAnsi="Arial" w:cs="Arial"/>
          <w:sz w:val="22"/>
          <w:szCs w:val="22"/>
          <w:lang w:val="es-CO" w:eastAsia="es-CO"/>
        </w:rPr>
      </w:pPr>
      <w:r w:rsidRPr="00C05EBE">
        <w:rPr>
          <w:rFonts w:ascii="Arial" w:hAnsi="Arial" w:cs="Arial"/>
          <w:sz w:val="22"/>
          <w:szCs w:val="22"/>
          <w:lang w:val="es-CO" w:eastAsia="es-CO"/>
        </w:rPr>
        <w:t xml:space="preserve">El Ministerio de Hacienda y Crédito Público realiza la conciliación de sus </w:t>
      </w:r>
      <w:r w:rsidR="00B03FA9">
        <w:rPr>
          <w:rFonts w:ascii="Arial" w:hAnsi="Arial" w:cs="Arial"/>
          <w:sz w:val="22"/>
          <w:szCs w:val="22"/>
          <w:lang w:val="es-CO" w:eastAsia="es-CO"/>
        </w:rPr>
        <w:t xml:space="preserve">principales </w:t>
      </w:r>
      <w:r w:rsidRPr="00C05EBE">
        <w:rPr>
          <w:rFonts w:ascii="Arial" w:hAnsi="Arial" w:cs="Arial"/>
          <w:sz w:val="22"/>
          <w:szCs w:val="22"/>
          <w:lang w:val="es-CO" w:eastAsia="es-CO"/>
        </w:rPr>
        <w:t xml:space="preserve">operaciones, las cuales incluyen, entre otras: las conciliaciones de </w:t>
      </w:r>
      <w:r w:rsidR="00AD5571" w:rsidRPr="00C05EBE">
        <w:rPr>
          <w:rFonts w:ascii="Arial" w:hAnsi="Arial" w:cs="Arial"/>
          <w:sz w:val="22"/>
          <w:szCs w:val="22"/>
          <w:lang w:val="es-CO" w:eastAsia="es-CO"/>
        </w:rPr>
        <w:t xml:space="preserve">inversiones patrimoniales, de cartera, de </w:t>
      </w:r>
      <w:r w:rsidRPr="00C05EBE">
        <w:rPr>
          <w:rFonts w:ascii="Arial" w:hAnsi="Arial" w:cs="Arial"/>
          <w:sz w:val="22"/>
          <w:szCs w:val="22"/>
          <w:lang w:val="es-CO" w:eastAsia="es-CO"/>
        </w:rPr>
        <w:t xml:space="preserve">propiedades, planta y equipo, </w:t>
      </w:r>
      <w:r w:rsidR="007E4FD9" w:rsidRPr="00C05EBE">
        <w:rPr>
          <w:rFonts w:ascii="Arial" w:hAnsi="Arial" w:cs="Arial"/>
          <w:sz w:val="22"/>
          <w:szCs w:val="22"/>
          <w:lang w:val="es-CO" w:eastAsia="es-CO"/>
        </w:rPr>
        <w:t>de activos intangibles,</w:t>
      </w:r>
      <w:r w:rsidR="00AD5571" w:rsidRPr="00B2693B">
        <w:rPr>
          <w:rFonts w:ascii="Arial" w:hAnsi="Arial" w:cs="Arial"/>
          <w:sz w:val="22"/>
          <w:szCs w:val="22"/>
          <w:lang w:val="es-CO" w:eastAsia="es-CO"/>
        </w:rPr>
        <w:t xml:space="preserve"> de fondos administrados, de procesos judiciales, </w:t>
      </w:r>
      <w:r w:rsidR="007E4FD9" w:rsidRPr="00C05EBE">
        <w:rPr>
          <w:rFonts w:ascii="Arial" w:hAnsi="Arial" w:cs="Arial"/>
          <w:sz w:val="22"/>
          <w:szCs w:val="22"/>
          <w:lang w:val="es-CO" w:eastAsia="es-CO"/>
        </w:rPr>
        <w:t>de bonos pensionales, del FONPET</w:t>
      </w:r>
      <w:r w:rsidR="00AD5571" w:rsidRPr="00B2693B">
        <w:rPr>
          <w:rFonts w:ascii="Arial" w:hAnsi="Arial" w:cs="Arial"/>
          <w:sz w:val="22"/>
          <w:szCs w:val="22"/>
          <w:lang w:val="es-CO" w:eastAsia="es-CO"/>
        </w:rPr>
        <w:t xml:space="preserve"> y</w:t>
      </w:r>
      <w:r w:rsidR="007E4FD9" w:rsidRPr="00C05EBE">
        <w:rPr>
          <w:rFonts w:ascii="Arial" w:hAnsi="Arial" w:cs="Arial"/>
          <w:sz w:val="22"/>
          <w:szCs w:val="22"/>
          <w:lang w:val="es-CO" w:eastAsia="es-CO"/>
        </w:rPr>
        <w:t xml:space="preserve"> del Sistema General de Participa</w:t>
      </w:r>
      <w:r w:rsidRPr="00B2693B">
        <w:rPr>
          <w:rFonts w:ascii="Arial" w:hAnsi="Arial" w:cs="Arial"/>
          <w:sz w:val="22"/>
          <w:szCs w:val="22"/>
          <w:lang w:val="es-CO" w:eastAsia="es-CO"/>
        </w:rPr>
        <w:t>ciones</w:t>
      </w:r>
      <w:r w:rsidR="00AD5571" w:rsidRPr="00B2693B">
        <w:rPr>
          <w:rFonts w:ascii="Arial" w:hAnsi="Arial" w:cs="Arial"/>
          <w:sz w:val="22"/>
          <w:szCs w:val="22"/>
          <w:lang w:val="es-CO" w:eastAsia="es-CO"/>
        </w:rPr>
        <w:t>.</w:t>
      </w:r>
    </w:p>
    <w:p w14:paraId="012D4E6C" w14:textId="77777777" w:rsidR="004C50DA" w:rsidRPr="00B2693B" w:rsidRDefault="004C50DA" w:rsidP="00CA76B9">
      <w:pPr>
        <w:spacing w:line="288" w:lineRule="auto"/>
        <w:jc w:val="both"/>
        <w:rPr>
          <w:rFonts w:ascii="Arial" w:hAnsi="Arial" w:cs="Arial"/>
          <w:sz w:val="22"/>
          <w:szCs w:val="22"/>
          <w:lang w:val="es-CO" w:eastAsia="es-CO"/>
        </w:rPr>
      </w:pPr>
    </w:p>
    <w:p w14:paraId="4A8C14CF" w14:textId="632EC238" w:rsidR="007E4FD9" w:rsidRDefault="00854765" w:rsidP="00CA76B9">
      <w:pPr>
        <w:spacing w:line="288" w:lineRule="auto"/>
        <w:jc w:val="both"/>
        <w:rPr>
          <w:rFonts w:ascii="Arial" w:hAnsi="Arial" w:cs="Arial"/>
          <w:i/>
          <w:sz w:val="22"/>
          <w:szCs w:val="22"/>
        </w:rPr>
      </w:pPr>
      <w:r w:rsidRPr="00B2693B">
        <w:rPr>
          <w:rFonts w:ascii="Arial" w:hAnsi="Arial" w:cs="Arial"/>
          <w:sz w:val="22"/>
          <w:szCs w:val="22"/>
          <w:lang w:val="es-CO" w:eastAsia="es-CO"/>
        </w:rPr>
        <w:t xml:space="preserve">Adicionalmente, y considerando su especificidad, las conciliaciones </w:t>
      </w:r>
      <w:r w:rsidR="0099570E" w:rsidRPr="00B2693B">
        <w:rPr>
          <w:rFonts w:ascii="Arial" w:hAnsi="Arial" w:cs="Arial"/>
          <w:sz w:val="22"/>
          <w:szCs w:val="22"/>
          <w:lang w:val="es-CO" w:eastAsia="es-CO"/>
        </w:rPr>
        <w:t>bancarias, de ope</w:t>
      </w:r>
      <w:r w:rsidRPr="00B2693B">
        <w:rPr>
          <w:rFonts w:ascii="Arial" w:hAnsi="Arial" w:cs="Arial"/>
          <w:sz w:val="22"/>
          <w:szCs w:val="22"/>
          <w:lang w:val="es-CO" w:eastAsia="es-CO"/>
        </w:rPr>
        <w:t xml:space="preserve">raciones reciprocas y </w:t>
      </w:r>
      <w:r w:rsidR="0099570E" w:rsidRPr="00C05EBE">
        <w:rPr>
          <w:rFonts w:ascii="Arial" w:hAnsi="Arial" w:cs="Arial"/>
          <w:sz w:val="22"/>
          <w:szCs w:val="22"/>
          <w:lang w:val="es-CO" w:eastAsia="es-CO"/>
        </w:rPr>
        <w:t>tributarias</w:t>
      </w:r>
      <w:r w:rsidR="00EC60A2" w:rsidRPr="00C05EBE">
        <w:rPr>
          <w:rFonts w:ascii="Arial" w:hAnsi="Arial" w:cs="Arial"/>
          <w:sz w:val="22"/>
          <w:szCs w:val="22"/>
          <w:lang w:val="es-CO" w:eastAsia="es-CO"/>
        </w:rPr>
        <w:t xml:space="preserve"> se realizan de conformidad con lo establecido en el </w:t>
      </w:r>
      <w:r w:rsidR="00E82C04">
        <w:rPr>
          <w:rFonts w:ascii="Arial" w:hAnsi="Arial" w:cs="Arial"/>
          <w:sz w:val="22"/>
          <w:szCs w:val="22"/>
          <w:lang w:val="es-CO" w:eastAsia="es-CO"/>
        </w:rPr>
        <w:t xml:space="preserve">instructivo denominado </w:t>
      </w:r>
      <w:r w:rsidR="00EC60A2" w:rsidRPr="00C05EBE">
        <w:rPr>
          <w:rFonts w:ascii="Arial" w:hAnsi="Arial" w:cs="Arial"/>
          <w:i/>
          <w:sz w:val="22"/>
          <w:szCs w:val="22"/>
          <w:lang w:val="es-CO" w:eastAsia="es-CO"/>
        </w:rPr>
        <w:t>“</w:t>
      </w:r>
      <w:r w:rsidR="00E82C04" w:rsidRPr="00E82C04">
        <w:rPr>
          <w:rFonts w:ascii="Arial" w:hAnsi="Arial" w:cs="Arial"/>
          <w:i/>
          <w:sz w:val="22"/>
          <w:szCs w:val="22"/>
          <w:lang w:val="es-CO" w:eastAsia="es-CO"/>
        </w:rPr>
        <w:t>Apo.3.Pro.5.Ins.1</w:t>
      </w:r>
      <w:r w:rsidR="00E82C04">
        <w:rPr>
          <w:rFonts w:ascii="Arial" w:hAnsi="Arial" w:cs="Arial"/>
          <w:i/>
          <w:sz w:val="22"/>
          <w:szCs w:val="22"/>
          <w:lang w:val="es-CO" w:eastAsia="es-CO"/>
        </w:rPr>
        <w:t>.</w:t>
      </w:r>
      <w:r w:rsidR="00E82C04">
        <w:rPr>
          <w:rFonts w:ascii="Arial" w:hAnsi="Arial" w:cs="Arial"/>
          <w:i/>
          <w:sz w:val="22"/>
          <w:szCs w:val="22"/>
        </w:rPr>
        <w:t>E</w:t>
      </w:r>
      <w:r w:rsidR="00EC60A2" w:rsidRPr="00C05EBE">
        <w:rPr>
          <w:rFonts w:ascii="Arial" w:hAnsi="Arial" w:cs="Arial"/>
          <w:i/>
          <w:sz w:val="22"/>
          <w:szCs w:val="22"/>
        </w:rPr>
        <w:t>laboración de conciliaciones”.</w:t>
      </w:r>
    </w:p>
    <w:p w14:paraId="023736CE" w14:textId="279F081C" w:rsidR="00C05EBE" w:rsidRDefault="00C05EBE" w:rsidP="00CA76B9">
      <w:pPr>
        <w:spacing w:line="288" w:lineRule="auto"/>
        <w:jc w:val="both"/>
        <w:rPr>
          <w:rFonts w:ascii="Arial" w:hAnsi="Arial" w:cs="Arial"/>
          <w:i/>
          <w:sz w:val="22"/>
          <w:szCs w:val="22"/>
        </w:rPr>
      </w:pPr>
    </w:p>
    <w:p w14:paraId="375EBE0D" w14:textId="07A32A4E" w:rsidR="00C05EBE" w:rsidRPr="00AD11B7" w:rsidRDefault="00C05EBE" w:rsidP="00CA76B9">
      <w:pPr>
        <w:spacing w:line="288" w:lineRule="auto"/>
        <w:jc w:val="both"/>
        <w:rPr>
          <w:rFonts w:ascii="Arial" w:hAnsi="Arial" w:cs="Arial"/>
          <w:sz w:val="22"/>
          <w:szCs w:val="22"/>
        </w:rPr>
      </w:pPr>
      <w:r w:rsidRPr="00B2693B">
        <w:rPr>
          <w:rFonts w:ascii="Arial" w:hAnsi="Arial" w:cs="Arial"/>
          <w:sz w:val="22"/>
          <w:szCs w:val="22"/>
        </w:rPr>
        <w:t>Al respe</w:t>
      </w:r>
      <w:r>
        <w:rPr>
          <w:rFonts w:ascii="Arial" w:hAnsi="Arial" w:cs="Arial"/>
          <w:sz w:val="22"/>
          <w:szCs w:val="22"/>
        </w:rPr>
        <w:t>cto cabe precisar que, tratándose de las conciliaciones bancarias, l</w:t>
      </w:r>
      <w:r w:rsidRPr="00AD11B7">
        <w:rPr>
          <w:rFonts w:ascii="Arial" w:hAnsi="Arial" w:cs="Arial"/>
          <w:sz w:val="22"/>
          <w:szCs w:val="22"/>
        </w:rPr>
        <w:t xml:space="preserve">a información correspondiente a los extractos bancarios es solicitada </w:t>
      </w:r>
      <w:r>
        <w:rPr>
          <w:rFonts w:ascii="Arial" w:hAnsi="Arial" w:cs="Arial"/>
          <w:sz w:val="22"/>
          <w:szCs w:val="22"/>
        </w:rPr>
        <w:t xml:space="preserve">a las entidades financieras </w:t>
      </w:r>
      <w:r w:rsidRPr="00AD11B7">
        <w:rPr>
          <w:rFonts w:ascii="Arial" w:hAnsi="Arial" w:cs="Arial"/>
          <w:sz w:val="22"/>
          <w:szCs w:val="22"/>
        </w:rPr>
        <w:t xml:space="preserve">por el </w:t>
      </w:r>
      <w:r>
        <w:rPr>
          <w:rFonts w:ascii="Arial" w:hAnsi="Arial" w:cs="Arial"/>
          <w:sz w:val="22"/>
          <w:szCs w:val="22"/>
        </w:rPr>
        <w:t>Grupo</w:t>
      </w:r>
      <w:r w:rsidRPr="00AD11B7">
        <w:rPr>
          <w:rFonts w:ascii="Arial" w:hAnsi="Arial" w:cs="Arial"/>
          <w:sz w:val="22"/>
          <w:szCs w:val="22"/>
        </w:rPr>
        <w:t xml:space="preserve"> de Pagaduría de la Subdirección Financiera</w:t>
      </w:r>
      <w:r>
        <w:rPr>
          <w:rFonts w:ascii="Arial" w:hAnsi="Arial" w:cs="Arial"/>
          <w:sz w:val="22"/>
          <w:szCs w:val="22"/>
        </w:rPr>
        <w:t xml:space="preserve">. A su vez, </w:t>
      </w:r>
      <w:r w:rsidR="00E82C04">
        <w:rPr>
          <w:rFonts w:ascii="Arial" w:hAnsi="Arial" w:cs="Arial"/>
          <w:sz w:val="22"/>
          <w:szCs w:val="22"/>
        </w:rPr>
        <w:t>esta</w:t>
      </w:r>
      <w:r w:rsidRPr="00AD11B7">
        <w:rPr>
          <w:rFonts w:ascii="Arial" w:hAnsi="Arial" w:cs="Arial"/>
          <w:sz w:val="22"/>
          <w:szCs w:val="22"/>
        </w:rPr>
        <w:t xml:space="preserve"> información es remitida al Grupo de Contabilidad para su conciliación, durante los </w:t>
      </w:r>
      <w:r w:rsidRPr="00C05EBE">
        <w:rPr>
          <w:rFonts w:ascii="Arial" w:hAnsi="Arial" w:cs="Arial"/>
          <w:sz w:val="22"/>
          <w:szCs w:val="22"/>
        </w:rPr>
        <w:t>cinco (5) primeros días</w:t>
      </w:r>
      <w:r w:rsidR="00CD4A2A">
        <w:rPr>
          <w:rFonts w:ascii="Arial" w:hAnsi="Arial" w:cs="Arial"/>
          <w:sz w:val="22"/>
          <w:szCs w:val="22"/>
        </w:rPr>
        <w:t xml:space="preserve"> hábiles del mes </w:t>
      </w:r>
      <w:r w:rsidRPr="00C05EBE">
        <w:rPr>
          <w:rFonts w:ascii="Arial" w:hAnsi="Arial" w:cs="Arial"/>
          <w:sz w:val="22"/>
          <w:szCs w:val="22"/>
        </w:rPr>
        <w:t xml:space="preserve"> </w:t>
      </w:r>
      <w:r w:rsidR="00CD4A2A">
        <w:rPr>
          <w:rFonts w:ascii="Arial" w:hAnsi="Arial" w:cs="Arial"/>
          <w:sz w:val="22"/>
          <w:szCs w:val="22"/>
        </w:rPr>
        <w:t>siguiente al q</w:t>
      </w:r>
      <w:r w:rsidRPr="00C05EBE">
        <w:rPr>
          <w:rFonts w:ascii="Arial" w:hAnsi="Arial" w:cs="Arial"/>
          <w:sz w:val="22"/>
          <w:szCs w:val="22"/>
        </w:rPr>
        <w:t>ue corresponde la información.</w:t>
      </w:r>
      <w:r w:rsidRPr="00C05EBE">
        <w:rPr>
          <w:rFonts w:ascii="Arial" w:hAnsi="Arial" w:cs="Arial"/>
          <w:sz w:val="22"/>
          <w:szCs w:val="22"/>
        </w:rPr>
        <w:cr/>
      </w:r>
    </w:p>
    <w:p w14:paraId="0B07757F" w14:textId="55683189" w:rsidR="0046335B" w:rsidRPr="000F69C3" w:rsidRDefault="001E7AD1" w:rsidP="00CA76B9">
      <w:pPr>
        <w:spacing w:line="288" w:lineRule="auto"/>
        <w:jc w:val="both"/>
        <w:rPr>
          <w:rFonts w:ascii="Arial" w:hAnsi="Arial" w:cs="Arial"/>
          <w:sz w:val="22"/>
          <w:szCs w:val="22"/>
        </w:rPr>
      </w:pPr>
      <w:r w:rsidRPr="000F69C3">
        <w:rPr>
          <w:rFonts w:ascii="Arial" w:hAnsi="Arial" w:cs="Arial"/>
          <w:sz w:val="22"/>
          <w:szCs w:val="22"/>
        </w:rPr>
        <w:t>Por su parte, con relación a la conciliación de operaciones recíprocas, e</w:t>
      </w:r>
      <w:r w:rsidR="0046335B" w:rsidRPr="000F69C3">
        <w:rPr>
          <w:rFonts w:ascii="Arial" w:hAnsi="Arial" w:cs="Arial"/>
          <w:sz w:val="22"/>
          <w:szCs w:val="22"/>
        </w:rPr>
        <w:t xml:space="preserve">l </w:t>
      </w:r>
      <w:r w:rsidRPr="000F69C3">
        <w:rPr>
          <w:rFonts w:ascii="Arial" w:hAnsi="Arial" w:cs="Arial"/>
          <w:sz w:val="22"/>
          <w:szCs w:val="22"/>
        </w:rPr>
        <w:t>G</w:t>
      </w:r>
      <w:r w:rsidR="0046335B" w:rsidRPr="000F69C3">
        <w:rPr>
          <w:rFonts w:ascii="Arial" w:hAnsi="Arial" w:cs="Arial"/>
          <w:sz w:val="22"/>
          <w:szCs w:val="22"/>
        </w:rPr>
        <w:t xml:space="preserve">rupo de Contabilidad debe designar un funcionario responsable de revisar, analizar, verificar y conciliar las operaciones realizadas por el Ministerio de Hacienda y crédito con otras entidades públicas del nivel nacional y territorial, de los sectores central y descentralizado, y que son consideradas como recíprocas por la Contaduría General de la Nación en el instrumento </w:t>
      </w:r>
      <w:r w:rsidR="00C05EBE" w:rsidRPr="000F69C3">
        <w:rPr>
          <w:rFonts w:ascii="Arial" w:hAnsi="Arial" w:cs="Arial"/>
          <w:sz w:val="22"/>
          <w:szCs w:val="22"/>
        </w:rPr>
        <w:t xml:space="preserve">denominado </w:t>
      </w:r>
      <w:r w:rsidR="0046335B" w:rsidRPr="00B2693B">
        <w:rPr>
          <w:rFonts w:ascii="Arial" w:hAnsi="Arial" w:cs="Arial"/>
          <w:i/>
          <w:sz w:val="22"/>
          <w:szCs w:val="22"/>
        </w:rPr>
        <w:t>“Reglas de eliminación”</w:t>
      </w:r>
      <w:r w:rsidR="0046335B" w:rsidRPr="000F69C3">
        <w:rPr>
          <w:rStyle w:val="Refdenotaalpie"/>
          <w:rFonts w:ascii="Arial" w:hAnsi="Arial" w:cs="Arial"/>
          <w:sz w:val="22"/>
          <w:szCs w:val="22"/>
        </w:rPr>
        <w:footnoteReference w:id="9"/>
      </w:r>
      <w:r w:rsidR="0046335B" w:rsidRPr="000F69C3">
        <w:rPr>
          <w:rFonts w:ascii="Arial" w:hAnsi="Arial" w:cs="Arial"/>
          <w:sz w:val="22"/>
          <w:szCs w:val="22"/>
        </w:rPr>
        <w:t xml:space="preserve">. </w:t>
      </w:r>
    </w:p>
    <w:p w14:paraId="38333DD0" w14:textId="77777777" w:rsidR="0046335B" w:rsidRPr="000F69C3" w:rsidRDefault="0046335B" w:rsidP="00CA76B9">
      <w:pPr>
        <w:spacing w:line="288" w:lineRule="auto"/>
        <w:jc w:val="both"/>
        <w:rPr>
          <w:rFonts w:ascii="Arial" w:hAnsi="Arial" w:cs="Arial"/>
          <w:sz w:val="22"/>
          <w:szCs w:val="22"/>
        </w:rPr>
      </w:pPr>
    </w:p>
    <w:p w14:paraId="20D722A4" w14:textId="583BF99B" w:rsidR="005D0AA3" w:rsidRPr="000F69C3" w:rsidRDefault="0046335B" w:rsidP="00CA76B9">
      <w:pPr>
        <w:spacing w:line="288" w:lineRule="auto"/>
        <w:jc w:val="both"/>
        <w:rPr>
          <w:rFonts w:ascii="Arial" w:hAnsi="Arial" w:cs="Arial"/>
          <w:sz w:val="22"/>
          <w:szCs w:val="22"/>
        </w:rPr>
      </w:pPr>
      <w:r w:rsidRPr="000F69C3">
        <w:rPr>
          <w:rFonts w:ascii="Arial" w:hAnsi="Arial" w:cs="Arial"/>
          <w:sz w:val="22"/>
          <w:szCs w:val="22"/>
        </w:rPr>
        <w:t>Esta actividad se llevará a cabo permanentemente, como mínimo trimestralmente</w:t>
      </w:r>
      <w:r w:rsidR="004307B6" w:rsidRPr="000F69C3">
        <w:rPr>
          <w:rFonts w:ascii="Arial" w:hAnsi="Arial" w:cs="Arial"/>
          <w:sz w:val="22"/>
          <w:szCs w:val="22"/>
        </w:rPr>
        <w:t xml:space="preserve">. </w:t>
      </w:r>
      <w:r w:rsidR="00A666AC" w:rsidRPr="000F69C3">
        <w:rPr>
          <w:rFonts w:ascii="Arial" w:hAnsi="Arial" w:cs="Arial"/>
          <w:sz w:val="22"/>
          <w:szCs w:val="22"/>
        </w:rPr>
        <w:t xml:space="preserve">Tratándose de las operaciones recíprocas realizadas con la Dirección General de Crédito Público y del Tesoro Nacional, la conciliación se llevará a cabo mensualmente. </w:t>
      </w:r>
    </w:p>
    <w:p w14:paraId="7858AB64" w14:textId="77777777" w:rsidR="005D0AA3" w:rsidRPr="000F69C3" w:rsidRDefault="005D0AA3" w:rsidP="00CA76B9">
      <w:pPr>
        <w:spacing w:line="288" w:lineRule="auto"/>
        <w:jc w:val="both"/>
        <w:rPr>
          <w:rFonts w:ascii="Arial" w:hAnsi="Arial" w:cs="Arial"/>
          <w:sz w:val="22"/>
          <w:szCs w:val="22"/>
        </w:rPr>
      </w:pPr>
    </w:p>
    <w:p w14:paraId="7CB415E8" w14:textId="77777777" w:rsidR="0046335B" w:rsidRPr="000F69C3" w:rsidRDefault="0046335B" w:rsidP="00CA76B9">
      <w:pPr>
        <w:spacing w:line="288" w:lineRule="auto"/>
        <w:jc w:val="both"/>
        <w:rPr>
          <w:rFonts w:ascii="Arial" w:hAnsi="Arial" w:cs="Arial"/>
          <w:sz w:val="22"/>
          <w:szCs w:val="22"/>
        </w:rPr>
      </w:pPr>
      <w:r w:rsidRPr="000F69C3">
        <w:rPr>
          <w:rFonts w:ascii="Arial" w:hAnsi="Arial" w:cs="Arial"/>
          <w:sz w:val="22"/>
          <w:szCs w:val="22"/>
        </w:rPr>
        <w:t xml:space="preserve">La conciliación de las operaciones recíprocas debe quedar evidenciada en los formatos establecidos para tal fin, los cuales se constituyen en el soporte para la realización de ajustes, reclasificaciones, correcciones y/o modificaciones contables. </w:t>
      </w:r>
    </w:p>
    <w:p w14:paraId="23B96BC8" w14:textId="77777777" w:rsidR="0046335B" w:rsidRPr="000F69C3" w:rsidRDefault="0046335B" w:rsidP="00CA76B9">
      <w:pPr>
        <w:spacing w:line="288" w:lineRule="auto"/>
        <w:jc w:val="both"/>
        <w:rPr>
          <w:rFonts w:ascii="Arial" w:hAnsi="Arial" w:cs="Arial"/>
          <w:sz w:val="22"/>
          <w:szCs w:val="22"/>
        </w:rPr>
      </w:pPr>
    </w:p>
    <w:p w14:paraId="1B688CEF" w14:textId="77777777" w:rsidR="0046335B" w:rsidRPr="000F69C3" w:rsidRDefault="001E33FE" w:rsidP="00CA76B9">
      <w:pPr>
        <w:spacing w:line="288" w:lineRule="auto"/>
        <w:jc w:val="both"/>
        <w:rPr>
          <w:rFonts w:ascii="Arial" w:hAnsi="Arial" w:cs="Arial"/>
          <w:sz w:val="22"/>
          <w:szCs w:val="22"/>
        </w:rPr>
      </w:pPr>
      <w:r w:rsidRPr="000F69C3">
        <w:rPr>
          <w:rFonts w:ascii="Arial" w:hAnsi="Arial" w:cs="Arial"/>
          <w:sz w:val="22"/>
          <w:szCs w:val="22"/>
        </w:rPr>
        <w:t xml:space="preserve">Los </w:t>
      </w:r>
      <w:r w:rsidR="0046335B" w:rsidRPr="000F69C3">
        <w:rPr>
          <w:rFonts w:ascii="Arial" w:hAnsi="Arial" w:cs="Arial"/>
          <w:sz w:val="22"/>
          <w:szCs w:val="22"/>
        </w:rPr>
        <w:t>ajustes, reclasificaciones, correcciones y/o modificaciones</w:t>
      </w:r>
      <w:r w:rsidR="00A666AC" w:rsidRPr="000F69C3">
        <w:rPr>
          <w:rFonts w:ascii="Arial" w:hAnsi="Arial" w:cs="Arial"/>
          <w:sz w:val="22"/>
          <w:szCs w:val="22"/>
        </w:rPr>
        <w:t xml:space="preserve"> que le correspondan al Ministerio de Hacienda y Crédito Público</w:t>
      </w:r>
      <w:r w:rsidR="0046335B" w:rsidRPr="000F69C3">
        <w:rPr>
          <w:rFonts w:ascii="Arial" w:hAnsi="Arial" w:cs="Arial"/>
          <w:sz w:val="22"/>
          <w:szCs w:val="22"/>
        </w:rPr>
        <w:t xml:space="preserve">, </w:t>
      </w:r>
      <w:r w:rsidRPr="000F69C3">
        <w:rPr>
          <w:rFonts w:ascii="Arial" w:hAnsi="Arial" w:cs="Arial"/>
          <w:sz w:val="22"/>
          <w:szCs w:val="22"/>
        </w:rPr>
        <w:t>derivados del proceso de conciliación</w:t>
      </w:r>
      <w:r w:rsidR="00A666AC" w:rsidRPr="000F69C3">
        <w:rPr>
          <w:rFonts w:ascii="Arial" w:hAnsi="Arial" w:cs="Arial"/>
          <w:sz w:val="22"/>
          <w:szCs w:val="22"/>
        </w:rPr>
        <w:t>,</w:t>
      </w:r>
      <w:r w:rsidRPr="000F69C3">
        <w:rPr>
          <w:rFonts w:ascii="Arial" w:hAnsi="Arial" w:cs="Arial"/>
          <w:sz w:val="22"/>
          <w:szCs w:val="22"/>
        </w:rPr>
        <w:t xml:space="preserve"> s</w:t>
      </w:r>
      <w:r w:rsidR="0046335B" w:rsidRPr="000F69C3">
        <w:rPr>
          <w:rFonts w:ascii="Arial" w:hAnsi="Arial" w:cs="Arial"/>
          <w:sz w:val="22"/>
          <w:szCs w:val="22"/>
        </w:rPr>
        <w:t xml:space="preserve">e </w:t>
      </w:r>
      <w:r w:rsidR="00064A95" w:rsidRPr="000F69C3">
        <w:rPr>
          <w:rFonts w:ascii="Arial" w:hAnsi="Arial" w:cs="Arial"/>
          <w:sz w:val="22"/>
          <w:szCs w:val="22"/>
        </w:rPr>
        <w:t>deberán efectuar</w:t>
      </w:r>
      <w:r w:rsidR="0046335B" w:rsidRPr="000F69C3">
        <w:rPr>
          <w:rFonts w:ascii="Arial" w:hAnsi="Arial" w:cs="Arial"/>
          <w:sz w:val="22"/>
          <w:szCs w:val="22"/>
        </w:rPr>
        <w:t xml:space="preserve">, como máximo, dentro del trimestre siguiente a aquel en el que se detecte la inconsistencia. </w:t>
      </w:r>
    </w:p>
    <w:p w14:paraId="14F365EC" w14:textId="63FE08A0" w:rsidR="0046335B" w:rsidRDefault="0046335B" w:rsidP="00CA76B9">
      <w:pPr>
        <w:spacing w:line="288" w:lineRule="auto"/>
        <w:jc w:val="both"/>
        <w:rPr>
          <w:rFonts w:ascii="Arial" w:hAnsi="Arial" w:cs="Arial"/>
          <w:b/>
          <w:sz w:val="22"/>
          <w:szCs w:val="22"/>
          <w:highlight w:val="yellow"/>
        </w:rPr>
      </w:pPr>
    </w:p>
    <w:p w14:paraId="70DDF945" w14:textId="17240024" w:rsidR="00977BBE" w:rsidRPr="000A6065" w:rsidRDefault="009C4DBD" w:rsidP="00CA76B9">
      <w:pPr>
        <w:spacing w:line="288" w:lineRule="auto"/>
        <w:jc w:val="both"/>
        <w:rPr>
          <w:rFonts w:ascii="Arial" w:hAnsi="Arial" w:cs="Arial"/>
          <w:sz w:val="22"/>
          <w:szCs w:val="22"/>
        </w:rPr>
      </w:pPr>
      <w:r w:rsidRPr="00B2693B">
        <w:rPr>
          <w:rFonts w:ascii="Arial" w:hAnsi="Arial" w:cs="Arial"/>
          <w:sz w:val="22"/>
          <w:szCs w:val="22"/>
        </w:rPr>
        <w:t>Así las cosas, en</w:t>
      </w:r>
      <w:r w:rsidR="00977BBE" w:rsidRPr="00B03FA9">
        <w:rPr>
          <w:rFonts w:ascii="Arial" w:hAnsi="Arial" w:cs="Arial"/>
          <w:sz w:val="22"/>
          <w:szCs w:val="22"/>
        </w:rPr>
        <w:t xml:space="preserve"> virtud de la normatividad expedida por la Contaduría General de la Nación, mediante la que se establece que las entidades públicas deben llevar a cabo todas las acciones tendientes a minimizar los saldos por conciliar por operaciones recíprocas, el Ministerio de Hacienda y Crédito Público </w:t>
      </w:r>
      <w:r w:rsidR="000F69C3" w:rsidRPr="00B2693B">
        <w:rPr>
          <w:rFonts w:ascii="Arial" w:hAnsi="Arial" w:cs="Arial"/>
          <w:sz w:val="22"/>
          <w:szCs w:val="22"/>
        </w:rPr>
        <w:t xml:space="preserve">debe adelantar </w:t>
      </w:r>
      <w:r w:rsidR="00977BBE" w:rsidRPr="00B03FA9">
        <w:rPr>
          <w:rFonts w:ascii="Arial" w:hAnsi="Arial" w:cs="Arial"/>
          <w:sz w:val="22"/>
          <w:szCs w:val="22"/>
        </w:rPr>
        <w:t>la gestión de conciliación de los saldos generados con ocasión de las operaciones recíprocas desarrolladas con otras entidades públicas. Dicha gestión involucra las acciones efectuadas antes y después de re</w:t>
      </w:r>
      <w:r w:rsidR="00977BBE" w:rsidRPr="000A6065">
        <w:rPr>
          <w:rFonts w:ascii="Arial" w:hAnsi="Arial" w:cs="Arial"/>
          <w:sz w:val="22"/>
          <w:szCs w:val="22"/>
        </w:rPr>
        <w:t>portar información a la CGN, las cuales incluyen, entre otras:</w:t>
      </w:r>
    </w:p>
    <w:p w14:paraId="0EB0BC63" w14:textId="77777777" w:rsidR="00977BBE" w:rsidRPr="00B2693B" w:rsidRDefault="00977BBE" w:rsidP="00CA76B9">
      <w:pPr>
        <w:spacing w:line="288" w:lineRule="auto"/>
        <w:jc w:val="both"/>
        <w:rPr>
          <w:rFonts w:ascii="Arial" w:hAnsi="Arial" w:cs="Arial"/>
          <w:sz w:val="22"/>
          <w:szCs w:val="22"/>
          <w:highlight w:val="green"/>
        </w:rPr>
      </w:pPr>
    </w:p>
    <w:p w14:paraId="2D37E03B" w14:textId="77777777" w:rsidR="00977BBE" w:rsidRPr="00854101" w:rsidRDefault="00977BBE" w:rsidP="00CA76B9">
      <w:pPr>
        <w:spacing w:line="288" w:lineRule="auto"/>
        <w:jc w:val="both"/>
        <w:rPr>
          <w:rFonts w:ascii="Arial" w:eastAsiaTheme="minorHAnsi" w:hAnsi="Arial" w:cs="Arial"/>
          <w:b/>
          <w:sz w:val="22"/>
          <w:szCs w:val="22"/>
          <w:lang w:val="es-CO" w:eastAsia="en-US"/>
        </w:rPr>
      </w:pPr>
      <w:r w:rsidRPr="00854101">
        <w:rPr>
          <w:rFonts w:ascii="Arial" w:eastAsiaTheme="minorHAnsi" w:hAnsi="Arial" w:cs="Arial"/>
          <w:b/>
          <w:sz w:val="22"/>
          <w:szCs w:val="22"/>
          <w:lang w:val="es-CO" w:eastAsia="en-US"/>
        </w:rPr>
        <w:t xml:space="preserve">Antes de reportar a la CGN: </w:t>
      </w:r>
    </w:p>
    <w:p w14:paraId="53A20F19" w14:textId="77777777" w:rsidR="00977BBE" w:rsidRPr="000A6065" w:rsidRDefault="00977BBE" w:rsidP="00CA76B9">
      <w:pPr>
        <w:spacing w:line="288" w:lineRule="auto"/>
        <w:jc w:val="both"/>
        <w:rPr>
          <w:rFonts w:ascii="Arial" w:hAnsi="Arial" w:cs="Arial"/>
          <w:sz w:val="22"/>
          <w:szCs w:val="22"/>
        </w:rPr>
      </w:pPr>
    </w:p>
    <w:p w14:paraId="0B2A1FDB" w14:textId="7045AB68" w:rsidR="00977BBE" w:rsidRPr="00B03FA9" w:rsidRDefault="00977BBE" w:rsidP="00343ECE">
      <w:pPr>
        <w:numPr>
          <w:ilvl w:val="0"/>
          <w:numId w:val="33"/>
        </w:numPr>
        <w:spacing w:line="288" w:lineRule="auto"/>
        <w:ind w:left="284" w:hanging="284"/>
        <w:jc w:val="both"/>
        <w:rPr>
          <w:rFonts w:ascii="Arial" w:hAnsi="Arial" w:cs="Arial"/>
          <w:sz w:val="22"/>
          <w:szCs w:val="22"/>
        </w:rPr>
      </w:pPr>
      <w:r w:rsidRPr="00F77A45">
        <w:rPr>
          <w:rFonts w:ascii="Arial" w:hAnsi="Arial" w:cs="Arial"/>
          <w:sz w:val="22"/>
          <w:szCs w:val="22"/>
        </w:rPr>
        <w:t>Publicación</w:t>
      </w:r>
      <w:r w:rsidR="00973F7D" w:rsidRPr="00973F7D">
        <w:rPr>
          <w:rFonts w:ascii="Arial" w:hAnsi="Arial" w:cs="Arial"/>
          <w:sz w:val="22"/>
          <w:szCs w:val="22"/>
        </w:rPr>
        <w:t xml:space="preserve"> </w:t>
      </w:r>
      <w:r w:rsidR="00973F7D" w:rsidRPr="00B03FA9">
        <w:rPr>
          <w:rFonts w:ascii="Arial" w:hAnsi="Arial" w:cs="Arial"/>
          <w:sz w:val="22"/>
          <w:szCs w:val="22"/>
        </w:rPr>
        <w:t>de los saldos a reportar como</w:t>
      </w:r>
      <w:r w:rsidR="00973F7D">
        <w:rPr>
          <w:rFonts w:ascii="Arial" w:hAnsi="Arial" w:cs="Arial"/>
          <w:sz w:val="22"/>
          <w:szCs w:val="22"/>
        </w:rPr>
        <w:t xml:space="preserve"> recíprocos con otras entidades</w:t>
      </w:r>
      <w:r w:rsidRPr="00973F7D">
        <w:rPr>
          <w:rFonts w:ascii="Arial" w:hAnsi="Arial" w:cs="Arial"/>
          <w:sz w:val="22"/>
          <w:szCs w:val="22"/>
        </w:rPr>
        <w:t>, en la página web</w:t>
      </w:r>
      <w:r w:rsidR="00973F7D">
        <w:rPr>
          <w:rFonts w:ascii="Arial" w:hAnsi="Arial" w:cs="Arial"/>
          <w:sz w:val="22"/>
          <w:szCs w:val="22"/>
        </w:rPr>
        <w:t xml:space="preserve"> del Ministerio de Hacienda y Crédito Público </w:t>
      </w:r>
      <w:hyperlink r:id="rId23" w:history="1">
        <w:r w:rsidRPr="00B03FA9">
          <w:rPr>
            <w:rFonts w:ascii="Arial" w:hAnsi="Arial" w:cs="Arial"/>
            <w:sz w:val="22"/>
            <w:szCs w:val="22"/>
          </w:rPr>
          <w:t>www.minhacienda.gov.co</w:t>
        </w:r>
      </w:hyperlink>
      <w:r w:rsidR="00973F7D">
        <w:rPr>
          <w:rFonts w:ascii="Arial" w:hAnsi="Arial" w:cs="Arial"/>
          <w:sz w:val="22"/>
          <w:szCs w:val="22"/>
        </w:rPr>
        <w:t>.</w:t>
      </w:r>
      <w:r w:rsidRPr="00B03FA9">
        <w:rPr>
          <w:rFonts w:ascii="Arial" w:hAnsi="Arial" w:cs="Arial"/>
          <w:sz w:val="22"/>
          <w:szCs w:val="22"/>
        </w:rPr>
        <w:t xml:space="preserve"> </w:t>
      </w:r>
    </w:p>
    <w:p w14:paraId="6A14CC01" w14:textId="77777777" w:rsidR="00977BBE" w:rsidRPr="000A6065" w:rsidRDefault="00977BBE" w:rsidP="00343ECE">
      <w:pPr>
        <w:numPr>
          <w:ilvl w:val="0"/>
          <w:numId w:val="33"/>
        </w:numPr>
        <w:spacing w:line="288" w:lineRule="auto"/>
        <w:ind w:left="284" w:hanging="284"/>
        <w:jc w:val="both"/>
        <w:rPr>
          <w:rFonts w:ascii="Arial" w:hAnsi="Arial" w:cs="Arial"/>
          <w:sz w:val="22"/>
          <w:szCs w:val="22"/>
        </w:rPr>
      </w:pPr>
      <w:r w:rsidRPr="000A6065">
        <w:rPr>
          <w:rFonts w:ascii="Arial" w:hAnsi="Arial" w:cs="Arial"/>
          <w:sz w:val="22"/>
          <w:szCs w:val="22"/>
        </w:rPr>
        <w:t>Circularización y gestión de los saldos por conciliar, mediante correo electrónico.</w:t>
      </w:r>
    </w:p>
    <w:p w14:paraId="3AE32C16" w14:textId="77777777" w:rsidR="00977BBE" w:rsidRPr="00F77A45" w:rsidRDefault="00977BBE" w:rsidP="00343ECE">
      <w:pPr>
        <w:numPr>
          <w:ilvl w:val="0"/>
          <w:numId w:val="33"/>
        </w:numPr>
        <w:spacing w:line="288" w:lineRule="auto"/>
        <w:ind w:left="284" w:hanging="284"/>
        <w:jc w:val="both"/>
        <w:rPr>
          <w:rFonts w:ascii="Arial" w:hAnsi="Arial" w:cs="Arial"/>
          <w:sz w:val="22"/>
          <w:szCs w:val="22"/>
        </w:rPr>
      </w:pPr>
      <w:r w:rsidRPr="00F77A45">
        <w:rPr>
          <w:rFonts w:ascii="Arial" w:hAnsi="Arial" w:cs="Arial"/>
          <w:sz w:val="22"/>
          <w:szCs w:val="22"/>
        </w:rPr>
        <w:t xml:space="preserve">Gestión telefónica de los saldos por conciliar. </w:t>
      </w:r>
    </w:p>
    <w:p w14:paraId="381F2D25" w14:textId="77777777" w:rsidR="00977BBE" w:rsidRPr="00854101" w:rsidRDefault="00977BBE" w:rsidP="00CA76B9">
      <w:pPr>
        <w:spacing w:line="288" w:lineRule="auto"/>
        <w:ind w:left="284" w:hanging="284"/>
        <w:jc w:val="both"/>
        <w:rPr>
          <w:rFonts w:ascii="Arial" w:hAnsi="Arial" w:cs="Arial"/>
          <w:b/>
          <w:sz w:val="22"/>
          <w:szCs w:val="22"/>
        </w:rPr>
      </w:pPr>
    </w:p>
    <w:p w14:paraId="1F13C686" w14:textId="77777777" w:rsidR="00977BBE" w:rsidRPr="00854101" w:rsidRDefault="00977BBE" w:rsidP="00CA76B9">
      <w:pPr>
        <w:spacing w:line="288" w:lineRule="auto"/>
        <w:jc w:val="both"/>
        <w:rPr>
          <w:rFonts w:ascii="Arial" w:eastAsiaTheme="minorHAnsi" w:hAnsi="Arial" w:cs="Arial"/>
          <w:b/>
          <w:sz w:val="22"/>
          <w:szCs w:val="22"/>
          <w:lang w:val="es-CO" w:eastAsia="en-US"/>
        </w:rPr>
      </w:pPr>
      <w:r w:rsidRPr="00854101">
        <w:rPr>
          <w:rFonts w:ascii="Arial" w:eastAsiaTheme="minorHAnsi" w:hAnsi="Arial" w:cs="Arial"/>
          <w:b/>
          <w:sz w:val="22"/>
          <w:szCs w:val="22"/>
          <w:lang w:val="es-CO" w:eastAsia="en-US"/>
        </w:rPr>
        <w:t xml:space="preserve">Después de reportar a la CGN: </w:t>
      </w:r>
    </w:p>
    <w:p w14:paraId="54B3D39A" w14:textId="77777777" w:rsidR="00977BBE" w:rsidRPr="00F77A45" w:rsidRDefault="00977BBE" w:rsidP="00CA76B9">
      <w:pPr>
        <w:spacing w:line="288" w:lineRule="auto"/>
        <w:jc w:val="both"/>
        <w:rPr>
          <w:rFonts w:ascii="Arial" w:hAnsi="Arial" w:cs="Arial"/>
          <w:sz w:val="22"/>
          <w:szCs w:val="22"/>
        </w:rPr>
      </w:pPr>
    </w:p>
    <w:p w14:paraId="11C99B62" w14:textId="77777777" w:rsidR="00977BBE" w:rsidRPr="00F77A45" w:rsidRDefault="00977BBE" w:rsidP="00343ECE">
      <w:pPr>
        <w:numPr>
          <w:ilvl w:val="0"/>
          <w:numId w:val="34"/>
        </w:numPr>
        <w:autoSpaceDE w:val="0"/>
        <w:autoSpaceDN w:val="0"/>
        <w:adjustRightInd w:val="0"/>
        <w:spacing w:line="288" w:lineRule="auto"/>
        <w:ind w:left="284" w:hanging="284"/>
        <w:jc w:val="both"/>
        <w:rPr>
          <w:rFonts w:ascii="Arial" w:hAnsi="Arial" w:cs="Arial"/>
          <w:sz w:val="22"/>
          <w:szCs w:val="22"/>
        </w:rPr>
      </w:pPr>
      <w:r w:rsidRPr="00F77A45">
        <w:rPr>
          <w:rFonts w:ascii="Arial" w:hAnsi="Arial" w:cs="Arial"/>
          <w:sz w:val="22"/>
          <w:szCs w:val="22"/>
        </w:rPr>
        <w:t xml:space="preserve">Descarga, consulta y análisis de los saldos por conciliar generados en los diferentes cortes (De acuerdo con lo establecido por la CGN en el Manual de instrucciones sobre </w:t>
      </w:r>
      <w:r w:rsidRPr="006C2EB4">
        <w:rPr>
          <w:rFonts w:ascii="Arial" w:hAnsi="Arial" w:cs="Arial"/>
          <w:i/>
          <w:iCs/>
          <w:sz w:val="22"/>
          <w:szCs w:val="22"/>
        </w:rPr>
        <w:t>"Operaciones recíprocas",</w:t>
      </w:r>
      <w:r w:rsidRPr="00F77A45">
        <w:rPr>
          <w:rFonts w:ascii="Arial" w:hAnsi="Arial" w:cs="Arial"/>
          <w:sz w:val="22"/>
          <w:szCs w:val="22"/>
        </w:rPr>
        <w:t xml:space="preserve"> y en la tabla vigente de </w:t>
      </w:r>
      <w:r w:rsidRPr="006C2EB4">
        <w:rPr>
          <w:rFonts w:ascii="Arial" w:hAnsi="Arial" w:cs="Arial"/>
          <w:i/>
          <w:iCs/>
          <w:sz w:val="22"/>
          <w:szCs w:val="22"/>
        </w:rPr>
        <w:t>“Reglas de eliminación”).</w:t>
      </w:r>
    </w:p>
    <w:p w14:paraId="7E5AA94F" w14:textId="77777777" w:rsidR="00977BBE" w:rsidRPr="00F77A45" w:rsidRDefault="00977BBE" w:rsidP="00343ECE">
      <w:pPr>
        <w:numPr>
          <w:ilvl w:val="0"/>
          <w:numId w:val="34"/>
        </w:numPr>
        <w:spacing w:line="288" w:lineRule="auto"/>
        <w:ind w:left="284" w:hanging="284"/>
        <w:jc w:val="both"/>
        <w:rPr>
          <w:rFonts w:ascii="Arial" w:hAnsi="Arial" w:cs="Arial"/>
          <w:sz w:val="22"/>
          <w:szCs w:val="22"/>
        </w:rPr>
      </w:pPr>
      <w:r w:rsidRPr="00F77A45">
        <w:rPr>
          <w:rFonts w:ascii="Arial" w:hAnsi="Arial" w:cs="Arial"/>
          <w:sz w:val="22"/>
          <w:szCs w:val="22"/>
        </w:rPr>
        <w:t>Circularización y gestión de los saldos por conciliar, mediante correo electrónico.</w:t>
      </w:r>
    </w:p>
    <w:p w14:paraId="771E2A11" w14:textId="77777777" w:rsidR="00977BBE" w:rsidRPr="00F77A45" w:rsidRDefault="00977BBE" w:rsidP="00343ECE">
      <w:pPr>
        <w:numPr>
          <w:ilvl w:val="0"/>
          <w:numId w:val="34"/>
        </w:numPr>
        <w:spacing w:line="288" w:lineRule="auto"/>
        <w:ind w:left="284" w:hanging="284"/>
        <w:jc w:val="both"/>
        <w:rPr>
          <w:rFonts w:ascii="Arial" w:hAnsi="Arial" w:cs="Arial"/>
          <w:sz w:val="22"/>
          <w:szCs w:val="22"/>
        </w:rPr>
      </w:pPr>
      <w:r w:rsidRPr="00F77A45">
        <w:rPr>
          <w:rFonts w:ascii="Arial" w:hAnsi="Arial" w:cs="Arial"/>
          <w:sz w:val="22"/>
          <w:szCs w:val="22"/>
        </w:rPr>
        <w:t xml:space="preserve">Gestión telefónica de los saldos por conciliar. </w:t>
      </w:r>
    </w:p>
    <w:p w14:paraId="32CBCF0B" w14:textId="3387D74E" w:rsidR="00977BBE" w:rsidRDefault="00977BBE" w:rsidP="00CA76B9">
      <w:pPr>
        <w:spacing w:line="288" w:lineRule="auto"/>
        <w:jc w:val="both"/>
        <w:rPr>
          <w:rFonts w:ascii="Arial" w:hAnsi="Arial" w:cs="Arial"/>
          <w:b/>
          <w:sz w:val="22"/>
          <w:szCs w:val="22"/>
        </w:rPr>
      </w:pPr>
    </w:p>
    <w:p w14:paraId="7D5B9C1B" w14:textId="3E80B0AB" w:rsidR="00DB6F34" w:rsidRDefault="00DB6F34" w:rsidP="00CA76B9">
      <w:pPr>
        <w:spacing w:line="288" w:lineRule="auto"/>
        <w:jc w:val="both"/>
        <w:rPr>
          <w:rFonts w:ascii="Arial" w:hAnsi="Arial" w:cs="Arial"/>
          <w:b/>
          <w:sz w:val="22"/>
          <w:szCs w:val="22"/>
        </w:rPr>
      </w:pPr>
    </w:p>
    <w:p w14:paraId="6A066982" w14:textId="63BCBC7C" w:rsidR="00DB6F34" w:rsidRDefault="00DB6F34" w:rsidP="00CA76B9">
      <w:pPr>
        <w:spacing w:line="288" w:lineRule="auto"/>
        <w:jc w:val="both"/>
        <w:rPr>
          <w:rFonts w:ascii="Arial" w:hAnsi="Arial" w:cs="Arial"/>
          <w:b/>
          <w:sz w:val="22"/>
          <w:szCs w:val="22"/>
        </w:rPr>
      </w:pPr>
    </w:p>
    <w:p w14:paraId="5A97C8D2" w14:textId="6C52B27B" w:rsidR="00DB6F34" w:rsidRDefault="00DB6F34" w:rsidP="00CA76B9">
      <w:pPr>
        <w:spacing w:line="288" w:lineRule="auto"/>
        <w:jc w:val="both"/>
        <w:rPr>
          <w:rFonts w:ascii="Arial" w:hAnsi="Arial" w:cs="Arial"/>
          <w:b/>
          <w:sz w:val="22"/>
          <w:szCs w:val="22"/>
        </w:rPr>
      </w:pPr>
    </w:p>
    <w:p w14:paraId="3B95FD63" w14:textId="7A3B90BB" w:rsidR="00DB6F34" w:rsidRDefault="00DB6F34" w:rsidP="00CA76B9">
      <w:pPr>
        <w:spacing w:line="288" w:lineRule="auto"/>
        <w:jc w:val="both"/>
        <w:rPr>
          <w:rFonts w:ascii="Arial" w:hAnsi="Arial" w:cs="Arial"/>
          <w:b/>
          <w:sz w:val="22"/>
          <w:szCs w:val="22"/>
        </w:rPr>
      </w:pPr>
    </w:p>
    <w:p w14:paraId="5A2C5C0E" w14:textId="0A4941DF" w:rsidR="00DB6F34" w:rsidRDefault="00DB6F34" w:rsidP="00CA76B9">
      <w:pPr>
        <w:spacing w:line="288" w:lineRule="auto"/>
        <w:jc w:val="both"/>
        <w:rPr>
          <w:rFonts w:ascii="Arial" w:hAnsi="Arial" w:cs="Arial"/>
          <w:b/>
          <w:sz w:val="22"/>
          <w:szCs w:val="22"/>
        </w:rPr>
      </w:pPr>
    </w:p>
    <w:p w14:paraId="3770B365" w14:textId="2C572A32" w:rsidR="00DB6F34" w:rsidRDefault="00DB6F34" w:rsidP="00CA76B9">
      <w:pPr>
        <w:spacing w:line="288" w:lineRule="auto"/>
        <w:jc w:val="both"/>
        <w:rPr>
          <w:rFonts w:ascii="Arial" w:hAnsi="Arial" w:cs="Arial"/>
          <w:b/>
          <w:sz w:val="22"/>
          <w:szCs w:val="22"/>
        </w:rPr>
      </w:pPr>
    </w:p>
    <w:p w14:paraId="26FA7F2E" w14:textId="77777777" w:rsidR="00DB6F34" w:rsidRPr="00F77A45" w:rsidRDefault="00DB6F34" w:rsidP="00CA76B9">
      <w:pPr>
        <w:spacing w:line="288" w:lineRule="auto"/>
        <w:jc w:val="both"/>
        <w:rPr>
          <w:rFonts w:ascii="Arial" w:hAnsi="Arial" w:cs="Arial"/>
          <w:b/>
          <w:sz w:val="22"/>
          <w:szCs w:val="22"/>
        </w:rPr>
      </w:pPr>
    </w:p>
    <w:p w14:paraId="5899D1F2" w14:textId="2316B173" w:rsidR="0046335B" w:rsidRPr="00F77A45" w:rsidRDefault="006A18B6" w:rsidP="00343ECE">
      <w:pPr>
        <w:pStyle w:val="Ttulo2"/>
        <w:numPr>
          <w:ilvl w:val="1"/>
          <w:numId w:val="9"/>
        </w:numPr>
        <w:spacing w:line="288" w:lineRule="auto"/>
        <w:rPr>
          <w:rFonts w:ascii="Arial" w:hAnsi="Arial" w:cs="Arial"/>
          <w:sz w:val="22"/>
          <w:szCs w:val="22"/>
        </w:rPr>
      </w:pPr>
      <w:bookmarkStart w:id="193" w:name="_Toc397936281"/>
      <w:bookmarkStart w:id="194" w:name="_Toc459991381"/>
      <w:bookmarkStart w:id="195" w:name="_Toc490726981"/>
      <w:bookmarkStart w:id="196" w:name="_Toc490727929"/>
      <w:bookmarkStart w:id="197" w:name="_Toc59377854"/>
      <w:r w:rsidRPr="00F77A45">
        <w:rPr>
          <w:rFonts w:ascii="Arial" w:hAnsi="Arial" w:cs="Arial"/>
          <w:sz w:val="22"/>
          <w:szCs w:val="22"/>
        </w:rPr>
        <w:lastRenderedPageBreak/>
        <w:t xml:space="preserve">ELABORACIÓN, </w:t>
      </w:r>
      <w:r w:rsidR="0046335B" w:rsidRPr="00F77A45">
        <w:rPr>
          <w:rFonts w:ascii="Arial" w:hAnsi="Arial" w:cs="Arial"/>
          <w:sz w:val="22"/>
          <w:szCs w:val="22"/>
        </w:rPr>
        <w:t xml:space="preserve">PRESENTACIÓN </w:t>
      </w:r>
      <w:r w:rsidRPr="00F77A45">
        <w:rPr>
          <w:rFonts w:ascii="Arial" w:hAnsi="Arial" w:cs="Arial"/>
          <w:sz w:val="22"/>
          <w:szCs w:val="22"/>
        </w:rPr>
        <w:t xml:space="preserve">Y PUBLICACIÓN </w:t>
      </w:r>
      <w:r w:rsidR="0046335B" w:rsidRPr="00F77A45">
        <w:rPr>
          <w:rFonts w:ascii="Arial" w:hAnsi="Arial" w:cs="Arial"/>
          <w:sz w:val="22"/>
          <w:szCs w:val="22"/>
        </w:rPr>
        <w:t>DE INFORMACIÓN CONTABLE</w:t>
      </w:r>
      <w:bookmarkEnd w:id="193"/>
      <w:bookmarkEnd w:id="194"/>
      <w:bookmarkEnd w:id="195"/>
      <w:bookmarkEnd w:id="196"/>
      <w:r w:rsidR="00F2733A">
        <w:rPr>
          <w:rStyle w:val="Refdenotaalpie"/>
          <w:rFonts w:ascii="Arial" w:hAnsi="Arial" w:cs="Arial"/>
          <w:sz w:val="22"/>
          <w:szCs w:val="22"/>
        </w:rPr>
        <w:footnoteReference w:id="10"/>
      </w:r>
      <w:bookmarkEnd w:id="197"/>
    </w:p>
    <w:p w14:paraId="20180822" w14:textId="77777777" w:rsidR="0046335B" w:rsidRPr="00AD11B7" w:rsidRDefault="0046335B" w:rsidP="00CA76B9">
      <w:pPr>
        <w:spacing w:line="288" w:lineRule="auto"/>
        <w:jc w:val="both"/>
        <w:rPr>
          <w:rFonts w:ascii="Arial" w:hAnsi="Arial" w:cs="Arial"/>
          <w:b/>
          <w:sz w:val="22"/>
          <w:szCs w:val="22"/>
        </w:rPr>
      </w:pPr>
    </w:p>
    <w:p w14:paraId="54FCC450" w14:textId="77777777" w:rsidR="0046335B" w:rsidRPr="00AD11B7" w:rsidRDefault="0046335B" w:rsidP="00343ECE">
      <w:pPr>
        <w:pStyle w:val="Ttulo3"/>
        <w:numPr>
          <w:ilvl w:val="2"/>
          <w:numId w:val="9"/>
        </w:numPr>
        <w:spacing w:line="288" w:lineRule="auto"/>
        <w:rPr>
          <w:rFonts w:ascii="Arial" w:hAnsi="Arial" w:cs="Arial"/>
          <w:b/>
          <w:sz w:val="22"/>
          <w:szCs w:val="22"/>
        </w:rPr>
      </w:pPr>
      <w:bookmarkStart w:id="198" w:name="_Toc397936282"/>
      <w:bookmarkStart w:id="199" w:name="_Toc459991382"/>
      <w:bookmarkStart w:id="200" w:name="_Toc490726982"/>
      <w:bookmarkStart w:id="201" w:name="_Toc490727930"/>
      <w:bookmarkStart w:id="202" w:name="_Toc59377855"/>
      <w:r w:rsidRPr="00AD11B7">
        <w:rPr>
          <w:rFonts w:ascii="Arial" w:hAnsi="Arial" w:cs="Arial"/>
          <w:b/>
          <w:sz w:val="22"/>
          <w:szCs w:val="22"/>
        </w:rPr>
        <w:t xml:space="preserve">Elaboración de </w:t>
      </w:r>
      <w:bookmarkEnd w:id="198"/>
      <w:bookmarkEnd w:id="199"/>
      <w:bookmarkEnd w:id="200"/>
      <w:bookmarkEnd w:id="201"/>
      <w:r w:rsidR="00300EF9" w:rsidRPr="00AD11B7">
        <w:rPr>
          <w:rFonts w:ascii="Arial" w:hAnsi="Arial" w:cs="Arial"/>
          <w:b/>
          <w:sz w:val="22"/>
          <w:szCs w:val="22"/>
        </w:rPr>
        <w:t>informes financieros y contables mensuales</w:t>
      </w:r>
      <w:bookmarkEnd w:id="202"/>
    </w:p>
    <w:p w14:paraId="0004013D" w14:textId="77777777" w:rsidR="00723337" w:rsidRPr="00AD11B7" w:rsidRDefault="00723337" w:rsidP="00CA76B9">
      <w:pPr>
        <w:spacing w:line="288" w:lineRule="auto"/>
        <w:ind w:left="720"/>
        <w:rPr>
          <w:rFonts w:ascii="Arial" w:hAnsi="Arial" w:cs="Arial"/>
          <w:sz w:val="22"/>
          <w:szCs w:val="22"/>
        </w:rPr>
      </w:pPr>
    </w:p>
    <w:p w14:paraId="34B04246" w14:textId="77777777" w:rsidR="00DA7057" w:rsidRPr="00AD11B7" w:rsidRDefault="0046335B" w:rsidP="00CA76B9">
      <w:pPr>
        <w:spacing w:line="288" w:lineRule="auto"/>
        <w:jc w:val="both"/>
        <w:rPr>
          <w:rFonts w:ascii="Arial" w:hAnsi="Arial" w:cs="Arial"/>
          <w:sz w:val="22"/>
          <w:szCs w:val="22"/>
        </w:rPr>
      </w:pPr>
      <w:r w:rsidRPr="00AD11B7">
        <w:rPr>
          <w:rFonts w:ascii="Arial" w:hAnsi="Arial" w:cs="Arial"/>
          <w:sz w:val="22"/>
          <w:szCs w:val="22"/>
        </w:rPr>
        <w:t xml:space="preserve">El coordinador del Grupo de Contabilidad, a cuyo cargo está la responsabilidad del sistema contable del Ministerio de Hacienda y Crédito Público, debe preparar </w:t>
      </w:r>
      <w:r w:rsidR="00DA7057" w:rsidRPr="00AD11B7">
        <w:rPr>
          <w:rFonts w:ascii="Arial" w:hAnsi="Arial" w:cs="Arial"/>
          <w:sz w:val="22"/>
          <w:szCs w:val="22"/>
        </w:rPr>
        <w:t xml:space="preserve">mensualmente </w:t>
      </w:r>
      <w:r w:rsidRPr="00AD11B7">
        <w:rPr>
          <w:rFonts w:ascii="Arial" w:hAnsi="Arial" w:cs="Arial"/>
          <w:sz w:val="22"/>
          <w:szCs w:val="22"/>
        </w:rPr>
        <w:t xml:space="preserve">los </w:t>
      </w:r>
      <w:r w:rsidR="00B96748" w:rsidRPr="00AD11B7">
        <w:rPr>
          <w:rFonts w:ascii="Arial" w:hAnsi="Arial" w:cs="Arial"/>
          <w:sz w:val="22"/>
          <w:szCs w:val="22"/>
        </w:rPr>
        <w:t>informes financieros y contables de que trata el numeral 36 del artículo 34 de la Ley 734 de 2002, y</w:t>
      </w:r>
      <w:r w:rsidR="00DA7057" w:rsidRPr="00AD11B7">
        <w:rPr>
          <w:rFonts w:ascii="Arial" w:hAnsi="Arial" w:cs="Arial"/>
          <w:sz w:val="22"/>
          <w:szCs w:val="22"/>
        </w:rPr>
        <w:t xml:space="preserve"> cuyos lineamientos fueron definidos por la Contaduría General de la Nación mediante Resolución 182 de 2017 y sus modificatorias. </w:t>
      </w:r>
    </w:p>
    <w:p w14:paraId="68EB4B59" w14:textId="77777777" w:rsidR="00DA7057" w:rsidRPr="00AD11B7" w:rsidRDefault="00DA7057" w:rsidP="00CA76B9">
      <w:pPr>
        <w:spacing w:line="288" w:lineRule="auto"/>
        <w:jc w:val="both"/>
        <w:rPr>
          <w:rFonts w:ascii="Arial" w:hAnsi="Arial" w:cs="Arial"/>
          <w:sz w:val="22"/>
          <w:szCs w:val="22"/>
        </w:rPr>
      </w:pPr>
    </w:p>
    <w:p w14:paraId="25B68DC8" w14:textId="77777777" w:rsidR="00DA7057" w:rsidRPr="00AD11B7" w:rsidRDefault="00DA7057" w:rsidP="00CA76B9">
      <w:pPr>
        <w:spacing w:line="288" w:lineRule="auto"/>
        <w:jc w:val="both"/>
        <w:rPr>
          <w:rFonts w:ascii="Arial" w:hAnsi="Arial" w:cs="Arial"/>
          <w:sz w:val="22"/>
          <w:szCs w:val="22"/>
        </w:rPr>
      </w:pPr>
      <w:r w:rsidRPr="00AD11B7">
        <w:rPr>
          <w:rFonts w:ascii="Arial" w:hAnsi="Arial" w:cs="Arial"/>
          <w:sz w:val="22"/>
          <w:szCs w:val="22"/>
        </w:rPr>
        <w:t xml:space="preserve">Los informes financieros y contables mensuales que se deben preparar </w:t>
      </w:r>
      <w:r w:rsidR="00761A55" w:rsidRPr="00AD11B7">
        <w:rPr>
          <w:rFonts w:ascii="Arial" w:hAnsi="Arial" w:cs="Arial"/>
          <w:sz w:val="22"/>
          <w:szCs w:val="22"/>
        </w:rPr>
        <w:t xml:space="preserve">y publicar corresponden a: a) </w:t>
      </w:r>
      <w:r w:rsidR="00761A55" w:rsidRPr="00AD11B7">
        <w:rPr>
          <w:rFonts w:ascii="Arial" w:hAnsi="Arial" w:cs="Arial"/>
          <w:b/>
          <w:sz w:val="22"/>
          <w:szCs w:val="22"/>
        </w:rPr>
        <w:t>E</w:t>
      </w:r>
      <w:r w:rsidRPr="00AD11B7">
        <w:rPr>
          <w:rFonts w:ascii="Arial" w:hAnsi="Arial" w:cs="Arial"/>
          <w:b/>
          <w:sz w:val="22"/>
          <w:szCs w:val="22"/>
        </w:rPr>
        <w:t>stado de situación financiera</w:t>
      </w:r>
      <w:r w:rsidRPr="00AD11B7">
        <w:rPr>
          <w:rFonts w:ascii="Arial" w:hAnsi="Arial" w:cs="Arial"/>
          <w:sz w:val="22"/>
          <w:szCs w:val="22"/>
        </w:rPr>
        <w:t>; b)</w:t>
      </w:r>
      <w:r w:rsidR="00761A55" w:rsidRPr="00AD11B7">
        <w:rPr>
          <w:rFonts w:ascii="Arial" w:hAnsi="Arial" w:cs="Arial"/>
          <w:sz w:val="22"/>
          <w:szCs w:val="22"/>
        </w:rPr>
        <w:t xml:space="preserve"> </w:t>
      </w:r>
      <w:r w:rsidR="00761A55" w:rsidRPr="00AD11B7">
        <w:rPr>
          <w:rFonts w:ascii="Arial" w:hAnsi="Arial" w:cs="Arial"/>
          <w:b/>
          <w:sz w:val="22"/>
          <w:szCs w:val="22"/>
        </w:rPr>
        <w:t>Estado de resultados</w:t>
      </w:r>
      <w:r w:rsidR="00761A55" w:rsidRPr="00AD11B7">
        <w:rPr>
          <w:rFonts w:ascii="Arial" w:hAnsi="Arial" w:cs="Arial"/>
          <w:sz w:val="22"/>
          <w:szCs w:val="22"/>
        </w:rPr>
        <w:t>; y c</w:t>
      </w:r>
      <w:r w:rsidR="00761A55" w:rsidRPr="00AD11B7">
        <w:rPr>
          <w:rFonts w:ascii="Arial" w:hAnsi="Arial" w:cs="Arial"/>
          <w:b/>
          <w:sz w:val="22"/>
          <w:szCs w:val="22"/>
        </w:rPr>
        <w:t>) N</w:t>
      </w:r>
      <w:r w:rsidRPr="00AD11B7">
        <w:rPr>
          <w:rFonts w:ascii="Arial" w:hAnsi="Arial" w:cs="Arial"/>
          <w:b/>
          <w:sz w:val="22"/>
          <w:szCs w:val="22"/>
        </w:rPr>
        <w:t>otas a los informes financieros y contables mensuales</w:t>
      </w:r>
      <w:r w:rsidRPr="00AD11B7">
        <w:rPr>
          <w:rFonts w:ascii="Arial" w:hAnsi="Arial" w:cs="Arial"/>
          <w:sz w:val="22"/>
          <w:szCs w:val="22"/>
        </w:rPr>
        <w:t>.</w:t>
      </w:r>
    </w:p>
    <w:p w14:paraId="6769F7C9" w14:textId="77777777" w:rsidR="00DA7057" w:rsidRPr="00AD11B7" w:rsidRDefault="00DA7057" w:rsidP="00CA76B9">
      <w:pPr>
        <w:spacing w:line="288" w:lineRule="auto"/>
        <w:jc w:val="both"/>
        <w:rPr>
          <w:rFonts w:ascii="Arial" w:hAnsi="Arial" w:cs="Arial"/>
          <w:sz w:val="22"/>
          <w:szCs w:val="22"/>
        </w:rPr>
      </w:pPr>
    </w:p>
    <w:p w14:paraId="6753DAD2" w14:textId="77777777" w:rsidR="001B52CD" w:rsidRPr="00AD11B7" w:rsidRDefault="00DA7057" w:rsidP="00CA76B9">
      <w:pPr>
        <w:spacing w:line="288" w:lineRule="auto"/>
        <w:jc w:val="both"/>
        <w:rPr>
          <w:rFonts w:ascii="Arial" w:hAnsi="Arial" w:cs="Arial"/>
          <w:sz w:val="22"/>
          <w:szCs w:val="22"/>
        </w:rPr>
      </w:pPr>
      <w:r w:rsidRPr="00AD11B7">
        <w:rPr>
          <w:rFonts w:ascii="Arial" w:hAnsi="Arial" w:cs="Arial"/>
          <w:sz w:val="22"/>
          <w:szCs w:val="22"/>
        </w:rPr>
        <w:t>El estado de situación financiera constituye una representación estructurada de los bienes, derechos y obligaciones de</w:t>
      </w:r>
      <w:r w:rsidR="002C771C" w:rsidRPr="00AD11B7">
        <w:rPr>
          <w:rFonts w:ascii="Arial" w:hAnsi="Arial" w:cs="Arial"/>
          <w:sz w:val="22"/>
          <w:szCs w:val="22"/>
        </w:rPr>
        <w:t xml:space="preserve">l Ministerio de Hacienda y Crédito Público </w:t>
      </w:r>
      <w:r w:rsidRPr="00AD11B7">
        <w:rPr>
          <w:rFonts w:ascii="Arial" w:hAnsi="Arial" w:cs="Arial"/>
          <w:sz w:val="22"/>
          <w:szCs w:val="22"/>
        </w:rPr>
        <w:t>al final de un mes específico; el estado de resultados constituye una representación del desempeño financiero que ha tenido la entidad durante un periodo determinado; y las notas a los informes financieros y contables mensuales revelan hechos económicos que no son recurrentes, que surgen durante el correspondiente mes y que tienen un efecto material en la estructura financiera de la entidad, presentando así información adicional relevante.</w:t>
      </w:r>
      <w:r w:rsidR="001B52CD" w:rsidRPr="00AD11B7">
        <w:rPr>
          <w:rFonts w:ascii="Arial" w:hAnsi="Arial" w:cs="Arial"/>
          <w:sz w:val="22"/>
          <w:szCs w:val="22"/>
        </w:rPr>
        <w:t xml:space="preserve"> </w:t>
      </w:r>
      <w:r w:rsidR="009612C4" w:rsidRPr="00AD11B7">
        <w:rPr>
          <w:rFonts w:ascii="Arial" w:hAnsi="Arial" w:cs="Arial"/>
          <w:sz w:val="22"/>
          <w:szCs w:val="22"/>
        </w:rPr>
        <w:t>En tal sentido, dichas notas no son las exigidas por el Marco Normativo para Entidades de Gobierno para la preparación y presentación de la información financiera de propósito general.</w:t>
      </w:r>
    </w:p>
    <w:p w14:paraId="16FE8D59" w14:textId="77777777" w:rsidR="001B52CD" w:rsidRPr="00AD11B7" w:rsidRDefault="001B52CD" w:rsidP="00CA76B9">
      <w:pPr>
        <w:spacing w:line="288" w:lineRule="auto"/>
        <w:jc w:val="both"/>
        <w:rPr>
          <w:rFonts w:ascii="Arial" w:hAnsi="Arial" w:cs="Arial"/>
          <w:sz w:val="22"/>
          <w:szCs w:val="22"/>
        </w:rPr>
      </w:pPr>
    </w:p>
    <w:p w14:paraId="3E8147C1" w14:textId="77777777" w:rsidR="00B23754" w:rsidRPr="00AD11B7" w:rsidRDefault="00B23754" w:rsidP="00CA76B9">
      <w:pPr>
        <w:spacing w:line="288" w:lineRule="auto"/>
        <w:jc w:val="both"/>
        <w:rPr>
          <w:rFonts w:ascii="Arial" w:hAnsi="Arial" w:cs="Arial"/>
          <w:sz w:val="22"/>
          <w:szCs w:val="22"/>
        </w:rPr>
      </w:pPr>
      <w:r w:rsidRPr="00AD11B7">
        <w:rPr>
          <w:rFonts w:ascii="Arial" w:hAnsi="Arial" w:cs="Arial"/>
          <w:sz w:val="22"/>
          <w:szCs w:val="22"/>
        </w:rPr>
        <w:t>En ningún caso, los informes financieros y contables mensuales reemplazarán la preparación y presentación, al cierre del periodo contable, del juego completo de estados financieros regulado en el Marco Normativo para Entidades de Gobierno expedido por la Contaduría General de la Nación.</w:t>
      </w:r>
    </w:p>
    <w:p w14:paraId="292EEF07" w14:textId="77777777" w:rsidR="00DF1706" w:rsidRPr="00AD11B7" w:rsidRDefault="00DF1706" w:rsidP="00CA76B9">
      <w:pPr>
        <w:spacing w:line="288" w:lineRule="auto"/>
        <w:jc w:val="both"/>
        <w:rPr>
          <w:rFonts w:ascii="Arial" w:hAnsi="Arial" w:cs="Arial"/>
          <w:b/>
          <w:sz w:val="22"/>
          <w:szCs w:val="22"/>
        </w:rPr>
      </w:pPr>
    </w:p>
    <w:p w14:paraId="0894B48E" w14:textId="77777777" w:rsidR="00DA627F" w:rsidRPr="00AD11B7" w:rsidRDefault="00DA627F" w:rsidP="00CA76B9">
      <w:pPr>
        <w:spacing w:line="288" w:lineRule="auto"/>
        <w:jc w:val="both"/>
        <w:rPr>
          <w:rFonts w:ascii="Arial" w:hAnsi="Arial" w:cs="Arial"/>
          <w:b/>
          <w:sz w:val="22"/>
          <w:szCs w:val="22"/>
        </w:rPr>
      </w:pPr>
      <w:r w:rsidRPr="00AD11B7">
        <w:rPr>
          <w:rFonts w:ascii="Arial" w:hAnsi="Arial" w:cs="Arial"/>
          <w:b/>
          <w:sz w:val="22"/>
          <w:szCs w:val="22"/>
        </w:rPr>
        <w:t xml:space="preserve">Criterios para el reconocimiento, medición, revelación y presentación de los informes financieros y contables mensuales </w:t>
      </w:r>
    </w:p>
    <w:p w14:paraId="4BDF4E9D" w14:textId="77777777" w:rsidR="00DA627F" w:rsidRPr="00AD11B7" w:rsidRDefault="00DA627F" w:rsidP="00CA76B9">
      <w:pPr>
        <w:spacing w:line="288" w:lineRule="auto"/>
        <w:jc w:val="both"/>
        <w:rPr>
          <w:rFonts w:ascii="Arial" w:hAnsi="Arial" w:cs="Arial"/>
          <w:sz w:val="22"/>
          <w:szCs w:val="22"/>
        </w:rPr>
      </w:pPr>
    </w:p>
    <w:p w14:paraId="50D7C6DF" w14:textId="77777777" w:rsidR="00DA627F" w:rsidRPr="00AD11B7" w:rsidRDefault="00DA627F" w:rsidP="00CA76B9">
      <w:pPr>
        <w:spacing w:line="288" w:lineRule="auto"/>
        <w:jc w:val="both"/>
        <w:rPr>
          <w:rFonts w:ascii="Arial" w:hAnsi="Arial" w:cs="Arial"/>
          <w:sz w:val="22"/>
          <w:szCs w:val="22"/>
        </w:rPr>
      </w:pPr>
      <w:r w:rsidRPr="00AD11B7">
        <w:rPr>
          <w:rFonts w:ascii="Arial" w:hAnsi="Arial" w:cs="Arial"/>
          <w:sz w:val="22"/>
          <w:szCs w:val="22"/>
        </w:rPr>
        <w:t xml:space="preserve">Para la preparación y publicación de los informes financieros y contables mensuales, </w:t>
      </w:r>
      <w:r w:rsidR="002C771C" w:rsidRPr="00AD11B7">
        <w:rPr>
          <w:rFonts w:ascii="Arial" w:hAnsi="Arial" w:cs="Arial"/>
          <w:sz w:val="22"/>
          <w:szCs w:val="22"/>
        </w:rPr>
        <w:t xml:space="preserve">el Ministerio de Hacienda y Crédito Público </w:t>
      </w:r>
      <w:r w:rsidRPr="00AD11B7">
        <w:rPr>
          <w:rFonts w:ascii="Arial" w:hAnsi="Arial" w:cs="Arial"/>
          <w:sz w:val="22"/>
          <w:szCs w:val="22"/>
        </w:rPr>
        <w:t xml:space="preserve">debe tener en cuenta las características cualitativas fundamentales de la información financiera de Relevancia y Representación fiel, entendiendo por Relevancia la capacidad que tiene la información, a través de su valor </w:t>
      </w:r>
      <w:r w:rsidRPr="00AD11B7">
        <w:rPr>
          <w:rFonts w:ascii="Arial" w:hAnsi="Arial" w:cs="Arial"/>
          <w:sz w:val="22"/>
          <w:szCs w:val="22"/>
        </w:rPr>
        <w:lastRenderedPageBreak/>
        <w:t xml:space="preserve">predictivo, confirmatorio o ambos, de influir en las decisiones de los usuarios; y por Representación fiel, la descripción del hecho económico de forma completa, neutral y libre de error significativo. </w:t>
      </w:r>
    </w:p>
    <w:p w14:paraId="00F5357A" w14:textId="77777777" w:rsidR="00DA627F" w:rsidRPr="00AD11B7" w:rsidRDefault="00DA627F" w:rsidP="00CA76B9">
      <w:pPr>
        <w:spacing w:line="288" w:lineRule="auto"/>
        <w:jc w:val="both"/>
        <w:rPr>
          <w:rFonts w:ascii="Arial" w:hAnsi="Arial" w:cs="Arial"/>
          <w:sz w:val="22"/>
          <w:szCs w:val="22"/>
        </w:rPr>
      </w:pPr>
    </w:p>
    <w:p w14:paraId="5A114257" w14:textId="77777777" w:rsidR="00DA627F" w:rsidRPr="00AD11B7" w:rsidRDefault="00DA627F" w:rsidP="00CA76B9">
      <w:pPr>
        <w:spacing w:line="288" w:lineRule="auto"/>
        <w:jc w:val="both"/>
        <w:rPr>
          <w:rFonts w:ascii="Arial" w:hAnsi="Arial" w:cs="Arial"/>
          <w:sz w:val="22"/>
          <w:szCs w:val="22"/>
        </w:rPr>
      </w:pPr>
      <w:r w:rsidRPr="00AD11B7">
        <w:rPr>
          <w:rFonts w:ascii="Arial" w:hAnsi="Arial" w:cs="Arial"/>
          <w:sz w:val="22"/>
          <w:szCs w:val="22"/>
        </w:rPr>
        <w:t xml:space="preserve">Adicionalmente, considerando el principio de Devengo, los hechos económicos deben quedar reconocidos en el mes en el que ocurran. En el caso de las estimaciones, si las variables asociadas a las mismas se modifican producto de nueva información, </w:t>
      </w:r>
      <w:r w:rsidR="002C771C" w:rsidRPr="00AD11B7">
        <w:rPr>
          <w:rFonts w:ascii="Arial" w:hAnsi="Arial" w:cs="Arial"/>
          <w:sz w:val="22"/>
          <w:szCs w:val="22"/>
        </w:rPr>
        <w:t>el Ministerio de Hacienda y Crédito Público</w:t>
      </w:r>
      <w:r w:rsidRPr="00AD11B7">
        <w:rPr>
          <w:rFonts w:ascii="Arial" w:hAnsi="Arial" w:cs="Arial"/>
          <w:sz w:val="22"/>
          <w:szCs w:val="22"/>
        </w:rPr>
        <w:t xml:space="preserve"> registrará el cambio en las estimaciones en forma prospectiva, a partir del mes en el cual se efectúa dicho cambio, siempre que no tenga que incurrir en un costo o esfuerzo desproporcionados.</w:t>
      </w:r>
    </w:p>
    <w:p w14:paraId="632AE636" w14:textId="77777777" w:rsidR="00A8526A" w:rsidRPr="00AD11B7" w:rsidRDefault="00A8526A" w:rsidP="00CA76B9">
      <w:pPr>
        <w:spacing w:line="288" w:lineRule="auto"/>
        <w:jc w:val="both"/>
        <w:rPr>
          <w:rFonts w:ascii="Arial" w:hAnsi="Arial" w:cs="Arial"/>
          <w:sz w:val="22"/>
          <w:szCs w:val="22"/>
        </w:rPr>
      </w:pPr>
    </w:p>
    <w:p w14:paraId="7FCE8C6A" w14:textId="77777777" w:rsidR="001207B3" w:rsidRPr="00AD11B7" w:rsidRDefault="00DA7057" w:rsidP="00CA76B9">
      <w:pPr>
        <w:spacing w:line="288" w:lineRule="auto"/>
        <w:jc w:val="both"/>
        <w:rPr>
          <w:rFonts w:ascii="Arial" w:hAnsi="Arial" w:cs="Arial"/>
          <w:sz w:val="22"/>
          <w:szCs w:val="22"/>
        </w:rPr>
      </w:pPr>
      <w:r w:rsidRPr="00AD11B7">
        <w:rPr>
          <w:rFonts w:ascii="Arial" w:hAnsi="Arial" w:cs="Arial"/>
          <w:sz w:val="22"/>
          <w:szCs w:val="22"/>
        </w:rPr>
        <w:t xml:space="preserve">Para la preparación y publicación de los informes financieros y contables mensuales, </w:t>
      </w:r>
      <w:r w:rsidR="002C771C" w:rsidRPr="00AD11B7">
        <w:rPr>
          <w:rFonts w:ascii="Arial" w:hAnsi="Arial" w:cs="Arial"/>
          <w:sz w:val="22"/>
          <w:szCs w:val="22"/>
        </w:rPr>
        <w:t>el MHCP</w:t>
      </w:r>
      <w:r w:rsidRPr="00AD11B7">
        <w:rPr>
          <w:rFonts w:ascii="Arial" w:hAnsi="Arial" w:cs="Arial"/>
          <w:sz w:val="22"/>
          <w:szCs w:val="22"/>
        </w:rPr>
        <w:t xml:space="preserve"> aplicará los criterios de reconocimiento, medición, revelación y presentación del </w:t>
      </w:r>
      <w:r w:rsidR="002C771C" w:rsidRPr="00AD11B7">
        <w:rPr>
          <w:rFonts w:ascii="Arial" w:hAnsi="Arial" w:cs="Arial"/>
          <w:sz w:val="22"/>
          <w:szCs w:val="22"/>
        </w:rPr>
        <w:t>Marco N</w:t>
      </w:r>
      <w:r w:rsidRPr="00AD11B7">
        <w:rPr>
          <w:rFonts w:ascii="Arial" w:hAnsi="Arial" w:cs="Arial"/>
          <w:sz w:val="22"/>
          <w:szCs w:val="22"/>
        </w:rPr>
        <w:t xml:space="preserve">ormativo </w:t>
      </w:r>
      <w:r w:rsidR="002C771C" w:rsidRPr="00AD11B7">
        <w:rPr>
          <w:rFonts w:ascii="Arial" w:hAnsi="Arial" w:cs="Arial"/>
          <w:sz w:val="22"/>
          <w:szCs w:val="22"/>
        </w:rPr>
        <w:t xml:space="preserve">para Entidades Gobierno </w:t>
      </w:r>
      <w:r w:rsidRPr="00AD11B7">
        <w:rPr>
          <w:rFonts w:ascii="Arial" w:hAnsi="Arial" w:cs="Arial"/>
          <w:sz w:val="22"/>
          <w:szCs w:val="22"/>
        </w:rPr>
        <w:t xml:space="preserve">expedido por la Contaduría General, excepto por lo siguiente: </w:t>
      </w:r>
    </w:p>
    <w:p w14:paraId="31EDC6CE" w14:textId="77777777" w:rsidR="001207B3" w:rsidRPr="00AD11B7" w:rsidRDefault="001207B3" w:rsidP="00CA76B9">
      <w:pPr>
        <w:spacing w:line="288" w:lineRule="auto"/>
        <w:jc w:val="both"/>
        <w:rPr>
          <w:rFonts w:ascii="Arial" w:hAnsi="Arial" w:cs="Arial"/>
          <w:sz w:val="22"/>
          <w:szCs w:val="22"/>
        </w:rPr>
      </w:pPr>
    </w:p>
    <w:p w14:paraId="09F08FE6" w14:textId="77777777" w:rsidR="001207B3" w:rsidRPr="00AD11B7" w:rsidRDefault="00DA7057" w:rsidP="00CA76B9">
      <w:pPr>
        <w:spacing w:line="288" w:lineRule="auto"/>
        <w:jc w:val="both"/>
        <w:rPr>
          <w:rFonts w:ascii="Arial" w:hAnsi="Arial" w:cs="Arial"/>
          <w:b/>
          <w:sz w:val="22"/>
          <w:szCs w:val="22"/>
        </w:rPr>
      </w:pPr>
      <w:r w:rsidRPr="00AD11B7">
        <w:rPr>
          <w:rFonts w:ascii="Arial" w:hAnsi="Arial" w:cs="Arial"/>
          <w:b/>
          <w:sz w:val="22"/>
          <w:szCs w:val="22"/>
        </w:rPr>
        <w:t xml:space="preserve">Cambios en las políticas contables y corrección de errores. </w:t>
      </w:r>
    </w:p>
    <w:p w14:paraId="6CCD33D5" w14:textId="77777777" w:rsidR="001207B3" w:rsidRPr="00AD11B7" w:rsidRDefault="001207B3" w:rsidP="00CA76B9">
      <w:pPr>
        <w:spacing w:line="288" w:lineRule="auto"/>
        <w:jc w:val="both"/>
        <w:rPr>
          <w:rFonts w:ascii="Arial" w:hAnsi="Arial" w:cs="Arial"/>
          <w:sz w:val="22"/>
          <w:szCs w:val="22"/>
        </w:rPr>
      </w:pPr>
    </w:p>
    <w:p w14:paraId="174A64F2" w14:textId="77777777" w:rsidR="007E5408" w:rsidRPr="00AD11B7" w:rsidRDefault="00DA7057" w:rsidP="00CA76B9">
      <w:pPr>
        <w:spacing w:line="288" w:lineRule="auto"/>
        <w:jc w:val="both"/>
        <w:rPr>
          <w:rFonts w:ascii="Arial" w:hAnsi="Arial" w:cs="Arial"/>
          <w:sz w:val="22"/>
          <w:szCs w:val="22"/>
        </w:rPr>
      </w:pPr>
      <w:r w:rsidRPr="00AD11B7">
        <w:rPr>
          <w:rFonts w:ascii="Arial" w:hAnsi="Arial" w:cs="Arial"/>
          <w:sz w:val="22"/>
          <w:szCs w:val="22"/>
        </w:rPr>
        <w:t xml:space="preserve">Si durante el mes </w:t>
      </w:r>
      <w:r w:rsidR="00FE1EA5" w:rsidRPr="00AD11B7">
        <w:rPr>
          <w:rFonts w:ascii="Arial" w:hAnsi="Arial" w:cs="Arial"/>
          <w:sz w:val="22"/>
          <w:szCs w:val="22"/>
        </w:rPr>
        <w:t>el Ministerio de Hacienda y Crédito Público</w:t>
      </w:r>
      <w:r w:rsidRPr="00AD11B7">
        <w:rPr>
          <w:rFonts w:ascii="Arial" w:hAnsi="Arial" w:cs="Arial"/>
          <w:sz w:val="22"/>
          <w:szCs w:val="22"/>
        </w:rPr>
        <w:t xml:space="preserve"> cambia una política contable o realiza la corrección de un error material de periodos contables anteriores, no habrá lugar a la reexpresión de los informes financieros y contables mensuales comparativos; sin embargo, revelará en las notas a estos informes la naturaleza del cambio de la política o del error y el valor del ajuste de las partidas afectadas</w:t>
      </w:r>
    </w:p>
    <w:p w14:paraId="1C0F676A" w14:textId="77777777" w:rsidR="00DA627F" w:rsidRPr="00AD11B7" w:rsidRDefault="00DA627F" w:rsidP="00CA76B9">
      <w:pPr>
        <w:spacing w:line="288" w:lineRule="auto"/>
        <w:jc w:val="both"/>
        <w:rPr>
          <w:rFonts w:ascii="Arial" w:hAnsi="Arial" w:cs="Arial"/>
          <w:sz w:val="22"/>
          <w:szCs w:val="22"/>
        </w:rPr>
      </w:pPr>
    </w:p>
    <w:p w14:paraId="15FF1CA3" w14:textId="77777777" w:rsidR="007E5408" w:rsidRPr="00AD11B7" w:rsidRDefault="00FE1EA5" w:rsidP="00CA76B9">
      <w:pPr>
        <w:spacing w:line="288" w:lineRule="auto"/>
        <w:jc w:val="both"/>
        <w:rPr>
          <w:rFonts w:ascii="Arial" w:hAnsi="Arial" w:cs="Arial"/>
          <w:sz w:val="22"/>
          <w:szCs w:val="22"/>
        </w:rPr>
      </w:pPr>
      <w:r w:rsidRPr="00AD11B7">
        <w:rPr>
          <w:rFonts w:ascii="Arial" w:hAnsi="Arial" w:cs="Arial"/>
          <w:sz w:val="22"/>
          <w:szCs w:val="22"/>
        </w:rPr>
        <w:t>No obstante</w:t>
      </w:r>
      <w:r w:rsidR="007E5408" w:rsidRPr="00AD11B7">
        <w:rPr>
          <w:rFonts w:ascii="Arial" w:hAnsi="Arial" w:cs="Arial"/>
          <w:sz w:val="22"/>
          <w:szCs w:val="22"/>
        </w:rPr>
        <w:t>, la reexpresión se realizará en el juego completo de estados financieros</w:t>
      </w:r>
      <w:r w:rsidRPr="00AD11B7">
        <w:rPr>
          <w:rFonts w:ascii="Arial" w:hAnsi="Arial" w:cs="Arial"/>
          <w:sz w:val="22"/>
          <w:szCs w:val="22"/>
        </w:rPr>
        <w:t xml:space="preserve"> elaborados a 31 de diciembre de la vigencia respectiva, </w:t>
      </w:r>
      <w:r w:rsidR="007E5408" w:rsidRPr="00AD11B7">
        <w:rPr>
          <w:rFonts w:ascii="Arial" w:hAnsi="Arial" w:cs="Arial"/>
          <w:sz w:val="22"/>
          <w:szCs w:val="22"/>
        </w:rPr>
        <w:t xml:space="preserve">de conformidad con lo establecido en </w:t>
      </w:r>
      <w:r w:rsidR="00DA627F" w:rsidRPr="00AD11B7">
        <w:rPr>
          <w:rFonts w:ascii="Arial" w:hAnsi="Arial" w:cs="Arial"/>
          <w:sz w:val="22"/>
          <w:szCs w:val="22"/>
        </w:rPr>
        <w:t>el</w:t>
      </w:r>
      <w:r w:rsidRPr="00AD11B7">
        <w:rPr>
          <w:rFonts w:ascii="Arial" w:hAnsi="Arial" w:cs="Arial"/>
          <w:sz w:val="22"/>
          <w:szCs w:val="22"/>
        </w:rPr>
        <w:t xml:space="preserve"> </w:t>
      </w:r>
      <w:r w:rsidR="00DA627F" w:rsidRPr="00AD11B7">
        <w:rPr>
          <w:rFonts w:ascii="Arial" w:hAnsi="Arial" w:cs="Arial"/>
          <w:sz w:val="22"/>
          <w:szCs w:val="22"/>
        </w:rPr>
        <w:t xml:space="preserve">Marco Normativo para Entidades de Gobierno </w:t>
      </w:r>
      <w:r w:rsidR="007E5408" w:rsidRPr="00AD11B7">
        <w:rPr>
          <w:rFonts w:ascii="Arial" w:hAnsi="Arial" w:cs="Arial"/>
          <w:sz w:val="22"/>
          <w:szCs w:val="22"/>
        </w:rPr>
        <w:t>para la preparación y ·presentación de la información financiera de propósito general.</w:t>
      </w:r>
    </w:p>
    <w:p w14:paraId="76FA457F" w14:textId="77777777" w:rsidR="00DA7057" w:rsidRPr="00AD11B7" w:rsidRDefault="00DA7057" w:rsidP="00CA76B9">
      <w:pPr>
        <w:spacing w:line="288" w:lineRule="auto"/>
        <w:jc w:val="both"/>
        <w:rPr>
          <w:rFonts w:ascii="Arial" w:hAnsi="Arial" w:cs="Arial"/>
          <w:sz w:val="22"/>
          <w:szCs w:val="22"/>
        </w:rPr>
      </w:pPr>
    </w:p>
    <w:p w14:paraId="7A490062" w14:textId="77777777" w:rsidR="00A8526A" w:rsidRPr="00AD11B7" w:rsidRDefault="00A8526A" w:rsidP="00CA76B9">
      <w:pPr>
        <w:spacing w:line="288" w:lineRule="auto"/>
        <w:jc w:val="both"/>
        <w:rPr>
          <w:rFonts w:ascii="Arial" w:hAnsi="Arial" w:cs="Arial"/>
          <w:b/>
          <w:sz w:val="22"/>
          <w:szCs w:val="22"/>
        </w:rPr>
      </w:pPr>
      <w:r w:rsidRPr="00AD11B7">
        <w:rPr>
          <w:rFonts w:ascii="Arial" w:hAnsi="Arial" w:cs="Arial"/>
          <w:b/>
          <w:sz w:val="22"/>
          <w:szCs w:val="22"/>
        </w:rPr>
        <w:t xml:space="preserve">Contenido y publicación de los informes financieros y contables mensuales </w:t>
      </w:r>
    </w:p>
    <w:p w14:paraId="5DA0BB7E" w14:textId="77777777" w:rsidR="00A8526A" w:rsidRPr="00AD11B7" w:rsidRDefault="00A8526A" w:rsidP="00CA76B9">
      <w:pPr>
        <w:spacing w:line="288" w:lineRule="auto"/>
        <w:jc w:val="both"/>
        <w:rPr>
          <w:rFonts w:ascii="Arial" w:hAnsi="Arial" w:cs="Arial"/>
          <w:sz w:val="22"/>
          <w:szCs w:val="22"/>
        </w:rPr>
      </w:pPr>
    </w:p>
    <w:p w14:paraId="7A45AF68" w14:textId="77777777" w:rsidR="00A8526A" w:rsidRPr="00AD11B7" w:rsidRDefault="00A8526A" w:rsidP="00CA76B9">
      <w:pPr>
        <w:spacing w:line="288" w:lineRule="auto"/>
        <w:jc w:val="both"/>
        <w:rPr>
          <w:rFonts w:ascii="Arial" w:hAnsi="Arial" w:cs="Arial"/>
          <w:sz w:val="22"/>
          <w:szCs w:val="22"/>
        </w:rPr>
      </w:pPr>
      <w:r w:rsidRPr="00AD11B7">
        <w:rPr>
          <w:rFonts w:ascii="Arial" w:hAnsi="Arial" w:cs="Arial"/>
          <w:sz w:val="22"/>
          <w:szCs w:val="22"/>
        </w:rPr>
        <w:t xml:space="preserve">El estado de situación financiera y el estado de resultado, tendrán la misma estructura que los estados financieros anuales presentados a diciembre del año inmediatamente anterior, en relación con los criterios para agrupar, totalizar y </w:t>
      </w:r>
      <w:proofErr w:type="spellStart"/>
      <w:r w:rsidRPr="00AD11B7">
        <w:rPr>
          <w:rFonts w:ascii="Arial" w:hAnsi="Arial" w:cs="Arial"/>
          <w:sz w:val="22"/>
          <w:szCs w:val="22"/>
        </w:rPr>
        <w:t>subtotalizar</w:t>
      </w:r>
      <w:proofErr w:type="spellEnd"/>
      <w:r w:rsidRPr="00AD11B7">
        <w:rPr>
          <w:rFonts w:ascii="Arial" w:hAnsi="Arial" w:cs="Arial"/>
          <w:sz w:val="22"/>
          <w:szCs w:val="22"/>
        </w:rPr>
        <w:t xml:space="preserve"> las partidas. Sin embargo, si durante el transcurso del mes se presentan hechos económicos que requieran el ajuste a la estructura de los informes financieros y contables mensuales, </w:t>
      </w:r>
      <w:r w:rsidR="00EB2F48" w:rsidRPr="00AD11B7">
        <w:rPr>
          <w:rFonts w:ascii="Arial" w:hAnsi="Arial" w:cs="Arial"/>
          <w:sz w:val="22"/>
          <w:szCs w:val="22"/>
        </w:rPr>
        <w:t>el MHCP</w:t>
      </w:r>
      <w:r w:rsidRPr="00AD11B7">
        <w:rPr>
          <w:rFonts w:ascii="Arial" w:hAnsi="Arial" w:cs="Arial"/>
          <w:sz w:val="22"/>
          <w:szCs w:val="22"/>
        </w:rPr>
        <w:t xml:space="preserve"> podrá realizar los cambios que considere pertinentes para que la información refleje la realidad económica de la misma. </w:t>
      </w:r>
    </w:p>
    <w:p w14:paraId="5E67126E" w14:textId="77777777" w:rsidR="00A8526A" w:rsidRPr="00AD11B7" w:rsidRDefault="00A8526A" w:rsidP="00CA76B9">
      <w:pPr>
        <w:spacing w:line="288" w:lineRule="auto"/>
        <w:jc w:val="both"/>
        <w:rPr>
          <w:rFonts w:ascii="Arial" w:hAnsi="Arial" w:cs="Arial"/>
          <w:sz w:val="22"/>
          <w:szCs w:val="22"/>
        </w:rPr>
      </w:pPr>
    </w:p>
    <w:p w14:paraId="333AE44C" w14:textId="77777777" w:rsidR="00A8526A" w:rsidRPr="00AD11B7" w:rsidRDefault="00A8526A" w:rsidP="00CA76B9">
      <w:pPr>
        <w:spacing w:line="288" w:lineRule="auto"/>
        <w:jc w:val="both"/>
        <w:rPr>
          <w:rFonts w:ascii="Arial" w:hAnsi="Arial" w:cs="Arial"/>
          <w:sz w:val="22"/>
          <w:szCs w:val="22"/>
        </w:rPr>
      </w:pPr>
      <w:r w:rsidRPr="00AD11B7">
        <w:rPr>
          <w:rFonts w:ascii="Arial" w:hAnsi="Arial" w:cs="Arial"/>
          <w:b/>
          <w:sz w:val="22"/>
          <w:szCs w:val="22"/>
        </w:rPr>
        <w:lastRenderedPageBreak/>
        <w:t xml:space="preserve">Identificación: </w:t>
      </w:r>
      <w:r w:rsidRPr="00AD11B7">
        <w:rPr>
          <w:rFonts w:ascii="Arial" w:hAnsi="Arial" w:cs="Arial"/>
          <w:sz w:val="22"/>
          <w:szCs w:val="22"/>
        </w:rPr>
        <w:t xml:space="preserve"> </w:t>
      </w:r>
      <w:r w:rsidR="00EB2F48" w:rsidRPr="00AD11B7">
        <w:rPr>
          <w:rFonts w:ascii="Arial" w:hAnsi="Arial" w:cs="Arial"/>
          <w:sz w:val="22"/>
          <w:szCs w:val="22"/>
        </w:rPr>
        <w:t>El Ministerio de Hacienda y Crédito Público</w:t>
      </w:r>
      <w:r w:rsidRPr="00AD11B7">
        <w:rPr>
          <w:rFonts w:ascii="Arial" w:hAnsi="Arial" w:cs="Arial"/>
          <w:sz w:val="22"/>
          <w:szCs w:val="22"/>
        </w:rPr>
        <w:t xml:space="preserve"> diferenciará el estado de situación financiera y el estado de resultado, según corresponda, de cualquier otro tipo de información que presente, y en estos estados identificará como mínimo: a) </w:t>
      </w:r>
      <w:r w:rsidR="00EB2F48" w:rsidRPr="00AD11B7">
        <w:rPr>
          <w:rFonts w:ascii="Arial" w:hAnsi="Arial" w:cs="Arial"/>
          <w:sz w:val="22"/>
          <w:szCs w:val="22"/>
        </w:rPr>
        <w:t>E</w:t>
      </w:r>
      <w:r w:rsidRPr="00AD11B7">
        <w:rPr>
          <w:rFonts w:ascii="Arial" w:hAnsi="Arial" w:cs="Arial"/>
          <w:sz w:val="22"/>
          <w:szCs w:val="22"/>
        </w:rPr>
        <w:t xml:space="preserve">l nombre de la entidad; b) </w:t>
      </w:r>
      <w:r w:rsidR="00EB2F48" w:rsidRPr="00AD11B7">
        <w:rPr>
          <w:rFonts w:ascii="Arial" w:hAnsi="Arial" w:cs="Arial"/>
          <w:sz w:val="22"/>
          <w:szCs w:val="22"/>
        </w:rPr>
        <w:t>E</w:t>
      </w:r>
      <w:r w:rsidRPr="00AD11B7">
        <w:rPr>
          <w:rFonts w:ascii="Arial" w:hAnsi="Arial" w:cs="Arial"/>
          <w:sz w:val="22"/>
          <w:szCs w:val="22"/>
        </w:rPr>
        <w:t xml:space="preserve">l mes al que corresponde el estado de situación financiera, y el periodo que cubre en caso del estado de resultados; c) </w:t>
      </w:r>
      <w:r w:rsidR="00EB2F48" w:rsidRPr="00AD11B7">
        <w:rPr>
          <w:rFonts w:ascii="Arial" w:hAnsi="Arial" w:cs="Arial"/>
          <w:sz w:val="22"/>
          <w:szCs w:val="22"/>
        </w:rPr>
        <w:t>La moneda de presentación; y d) E</w:t>
      </w:r>
      <w:r w:rsidRPr="00AD11B7">
        <w:rPr>
          <w:rFonts w:ascii="Arial" w:hAnsi="Arial" w:cs="Arial"/>
          <w:sz w:val="22"/>
          <w:szCs w:val="22"/>
        </w:rPr>
        <w:t xml:space="preserve">l grado de redondeo empleado para presentar las cifras de los informes financieros y contables mensuales. </w:t>
      </w:r>
    </w:p>
    <w:p w14:paraId="75550562" w14:textId="77777777" w:rsidR="00A8526A" w:rsidRPr="00AD11B7" w:rsidRDefault="00A8526A" w:rsidP="00CA76B9">
      <w:pPr>
        <w:spacing w:line="288" w:lineRule="auto"/>
        <w:jc w:val="both"/>
        <w:rPr>
          <w:rFonts w:ascii="Arial" w:hAnsi="Arial" w:cs="Arial"/>
          <w:sz w:val="22"/>
          <w:szCs w:val="22"/>
        </w:rPr>
      </w:pPr>
    </w:p>
    <w:p w14:paraId="59BC6F45" w14:textId="77777777" w:rsidR="00A8526A" w:rsidRPr="00AD11B7" w:rsidRDefault="00A8526A" w:rsidP="00CA76B9">
      <w:pPr>
        <w:spacing w:line="288" w:lineRule="auto"/>
        <w:jc w:val="both"/>
        <w:rPr>
          <w:rFonts w:ascii="Arial" w:hAnsi="Arial" w:cs="Arial"/>
          <w:sz w:val="22"/>
          <w:szCs w:val="22"/>
        </w:rPr>
      </w:pPr>
      <w:r w:rsidRPr="00AD11B7">
        <w:rPr>
          <w:rFonts w:ascii="Arial" w:hAnsi="Arial" w:cs="Arial"/>
          <w:b/>
          <w:sz w:val="22"/>
          <w:szCs w:val="22"/>
        </w:rPr>
        <w:t>Contenido</w:t>
      </w:r>
      <w:r w:rsidRPr="00AD11B7">
        <w:rPr>
          <w:rFonts w:ascii="Arial" w:hAnsi="Arial" w:cs="Arial"/>
          <w:sz w:val="22"/>
          <w:szCs w:val="22"/>
        </w:rPr>
        <w:t>: En el estado de situación financiera se presentarán los activos, pasivos y patrimonio a final del respectivo mes del periodo corriente, comparado</w:t>
      </w:r>
      <w:r w:rsidR="00F60E3D" w:rsidRPr="00AD11B7">
        <w:rPr>
          <w:rStyle w:val="Refdenotaalpie"/>
          <w:rFonts w:ascii="Arial" w:hAnsi="Arial" w:cs="Arial"/>
          <w:sz w:val="22"/>
          <w:szCs w:val="22"/>
        </w:rPr>
        <w:footnoteReference w:id="11"/>
      </w:r>
      <w:r w:rsidRPr="00AD11B7">
        <w:rPr>
          <w:rFonts w:ascii="Arial" w:hAnsi="Arial" w:cs="Arial"/>
          <w:sz w:val="22"/>
          <w:szCs w:val="22"/>
        </w:rPr>
        <w:t xml:space="preserve"> con el estado de situación financiera correspondiente al mismo mes del año inmediatamente anterior. En el estado de resultados se presentarán los saldos de ingresos y gastos acumulados desde el primero de enero hasta el final del respectivo mes del periodo corriente, comparado con el estado de resultados que cubra el mismo periodo del año inmediatamente anterior.</w:t>
      </w:r>
    </w:p>
    <w:p w14:paraId="2D058ED9" w14:textId="77777777" w:rsidR="009612C4" w:rsidRPr="00AD11B7" w:rsidRDefault="009612C4" w:rsidP="00CA76B9">
      <w:pPr>
        <w:spacing w:line="288" w:lineRule="auto"/>
        <w:jc w:val="both"/>
        <w:rPr>
          <w:rFonts w:ascii="Arial" w:hAnsi="Arial" w:cs="Arial"/>
          <w:sz w:val="22"/>
          <w:szCs w:val="22"/>
        </w:rPr>
      </w:pPr>
    </w:p>
    <w:p w14:paraId="4945DA12" w14:textId="77777777" w:rsidR="009612C4" w:rsidRPr="00AD11B7" w:rsidRDefault="009612C4" w:rsidP="00CA76B9">
      <w:pPr>
        <w:spacing w:line="288" w:lineRule="auto"/>
        <w:jc w:val="both"/>
        <w:rPr>
          <w:rFonts w:ascii="Arial" w:hAnsi="Arial" w:cs="Arial"/>
          <w:sz w:val="22"/>
          <w:szCs w:val="22"/>
        </w:rPr>
      </w:pPr>
      <w:r w:rsidRPr="00AD11B7">
        <w:rPr>
          <w:rFonts w:ascii="Arial" w:hAnsi="Arial" w:cs="Arial"/>
          <w:sz w:val="22"/>
          <w:szCs w:val="22"/>
        </w:rPr>
        <w:t xml:space="preserve">Adicionalmente, </w:t>
      </w:r>
      <w:r w:rsidR="00EB2F48" w:rsidRPr="00AD11B7">
        <w:rPr>
          <w:rFonts w:ascii="Arial" w:hAnsi="Arial" w:cs="Arial"/>
          <w:sz w:val="22"/>
          <w:szCs w:val="22"/>
        </w:rPr>
        <w:t>el Ministerio de Hacienda y Crédito Público</w:t>
      </w:r>
      <w:r w:rsidRPr="00AD11B7">
        <w:rPr>
          <w:rFonts w:ascii="Arial" w:hAnsi="Arial" w:cs="Arial"/>
          <w:sz w:val="22"/>
          <w:szCs w:val="22"/>
        </w:rPr>
        <w:t xml:space="preserve"> presentará en notas a los informes financieros y contables mensuales los aspectos que tengan un efecto material en la estructura financiera. En este sentido, algunos hechos que pueden tener un impacto importante, y que por tal razón se tendrían que revelar, están relacionados con: adquisiciones de propiedades, planta y equipo; deterioro del valor de los activos; reclasificaciones de partidas por cambios en el uso de los activos; disposiciones de activos; pago de litigios; ingresos o gastos inusuales; cambios en las estimaciones; ocurrencia de siniestros, entre otros.</w:t>
      </w:r>
    </w:p>
    <w:p w14:paraId="17CBCA12" w14:textId="77777777" w:rsidR="00F60E3D" w:rsidRPr="00AD11B7" w:rsidRDefault="00F60E3D" w:rsidP="00CA76B9">
      <w:pPr>
        <w:spacing w:line="288" w:lineRule="auto"/>
        <w:jc w:val="both"/>
        <w:rPr>
          <w:rFonts w:ascii="Arial" w:hAnsi="Arial" w:cs="Arial"/>
          <w:sz w:val="22"/>
          <w:szCs w:val="22"/>
        </w:rPr>
      </w:pPr>
    </w:p>
    <w:p w14:paraId="0013CCBD" w14:textId="15A7C247" w:rsidR="00582068" w:rsidRPr="00AD11B7" w:rsidRDefault="00F60E3D" w:rsidP="00CA76B9">
      <w:pPr>
        <w:spacing w:line="288" w:lineRule="auto"/>
        <w:jc w:val="both"/>
        <w:rPr>
          <w:rFonts w:ascii="Arial" w:hAnsi="Arial" w:cs="Arial"/>
          <w:sz w:val="22"/>
          <w:szCs w:val="22"/>
        </w:rPr>
      </w:pPr>
      <w:r w:rsidRPr="00AD11B7">
        <w:rPr>
          <w:rFonts w:ascii="Arial" w:hAnsi="Arial" w:cs="Arial"/>
          <w:b/>
          <w:sz w:val="22"/>
          <w:szCs w:val="22"/>
        </w:rPr>
        <w:t>Publicación:</w:t>
      </w:r>
      <w:r w:rsidRPr="00AD11B7">
        <w:rPr>
          <w:rFonts w:ascii="Arial" w:hAnsi="Arial" w:cs="Arial"/>
          <w:sz w:val="22"/>
          <w:szCs w:val="22"/>
        </w:rPr>
        <w:t xml:space="preserve"> El estado de situación financiera</w:t>
      </w:r>
      <w:r w:rsidR="00391809">
        <w:rPr>
          <w:rFonts w:ascii="Arial" w:hAnsi="Arial" w:cs="Arial"/>
          <w:sz w:val="22"/>
          <w:szCs w:val="22"/>
        </w:rPr>
        <w:t xml:space="preserve"> y</w:t>
      </w:r>
      <w:r w:rsidRPr="00AD11B7">
        <w:rPr>
          <w:rFonts w:ascii="Arial" w:hAnsi="Arial" w:cs="Arial"/>
          <w:sz w:val="22"/>
          <w:szCs w:val="22"/>
        </w:rPr>
        <w:t xml:space="preserve"> el estado de resultados</w:t>
      </w:r>
      <w:r w:rsidR="00612E69" w:rsidRPr="00AD11B7">
        <w:rPr>
          <w:rFonts w:ascii="Arial" w:hAnsi="Arial" w:cs="Arial"/>
          <w:sz w:val="22"/>
          <w:szCs w:val="22"/>
        </w:rPr>
        <w:t xml:space="preserve"> del Ministerio de Hacienda y Crédito Público</w:t>
      </w:r>
      <w:r w:rsidRPr="00AD11B7">
        <w:rPr>
          <w:rFonts w:ascii="Arial" w:hAnsi="Arial" w:cs="Arial"/>
          <w:sz w:val="22"/>
          <w:szCs w:val="22"/>
        </w:rPr>
        <w:t xml:space="preserve">, deberán ser firmados por el Representante legal </w:t>
      </w:r>
      <w:r w:rsidR="00EB2F48" w:rsidRPr="00AD11B7">
        <w:rPr>
          <w:rFonts w:ascii="Arial" w:hAnsi="Arial" w:cs="Arial"/>
          <w:sz w:val="22"/>
          <w:szCs w:val="22"/>
        </w:rPr>
        <w:t>(o su delegado)</w:t>
      </w:r>
      <w:r w:rsidR="00612E69" w:rsidRPr="00AD11B7">
        <w:rPr>
          <w:rFonts w:ascii="Arial" w:hAnsi="Arial" w:cs="Arial"/>
          <w:sz w:val="22"/>
          <w:szCs w:val="22"/>
        </w:rPr>
        <w:t>, el Subdirector Financiero (o quien haga sus veces)</w:t>
      </w:r>
      <w:r w:rsidR="00EB2F48" w:rsidRPr="00AD11B7">
        <w:rPr>
          <w:rFonts w:ascii="Arial" w:hAnsi="Arial" w:cs="Arial"/>
          <w:sz w:val="22"/>
          <w:szCs w:val="22"/>
        </w:rPr>
        <w:t xml:space="preserve"> </w:t>
      </w:r>
      <w:r w:rsidRPr="00AD11B7">
        <w:rPr>
          <w:rFonts w:ascii="Arial" w:hAnsi="Arial" w:cs="Arial"/>
          <w:sz w:val="22"/>
          <w:szCs w:val="22"/>
        </w:rPr>
        <w:t>y el Contador de la entidad incluyendo los datos de nombres y números de identidad y, en el caso del Contador, el número de la tarjeta profesional.</w:t>
      </w:r>
    </w:p>
    <w:p w14:paraId="12A22AFB" w14:textId="77777777" w:rsidR="00582068" w:rsidRPr="00AD11B7" w:rsidRDefault="00582068" w:rsidP="00CA76B9">
      <w:pPr>
        <w:spacing w:line="288" w:lineRule="auto"/>
        <w:jc w:val="both"/>
        <w:rPr>
          <w:rFonts w:ascii="Arial" w:hAnsi="Arial" w:cs="Arial"/>
          <w:sz w:val="22"/>
          <w:szCs w:val="22"/>
        </w:rPr>
      </w:pPr>
    </w:p>
    <w:p w14:paraId="72579B20" w14:textId="62A051E7" w:rsidR="00582068" w:rsidRDefault="00D303C4" w:rsidP="00CA76B9">
      <w:pPr>
        <w:spacing w:line="288" w:lineRule="auto"/>
        <w:jc w:val="both"/>
        <w:rPr>
          <w:rFonts w:ascii="Arial" w:hAnsi="Arial" w:cs="Arial"/>
          <w:sz w:val="22"/>
          <w:szCs w:val="22"/>
        </w:rPr>
      </w:pPr>
      <w:r w:rsidRPr="00AD11B7">
        <w:rPr>
          <w:rFonts w:ascii="Arial" w:hAnsi="Arial" w:cs="Arial"/>
          <w:sz w:val="22"/>
          <w:szCs w:val="22"/>
        </w:rPr>
        <w:t>De acuerdo con lo establecido en la Resolución 182 de 2017 y sus modificatorias, expedidas por la Contaduría General de la Nación, l</w:t>
      </w:r>
      <w:r w:rsidR="00F60E3D" w:rsidRPr="00AD11B7">
        <w:rPr>
          <w:rFonts w:ascii="Arial" w:hAnsi="Arial" w:cs="Arial"/>
          <w:sz w:val="22"/>
          <w:szCs w:val="22"/>
        </w:rPr>
        <w:t xml:space="preserve">os informes financieros y contables mensuales se publicarán, como máximo, en el transcurso del mes siguiente al mes informado, excepto los correspondientes a los meses de diciembre, enero y febrero, los cuales se publicarán, como máximo, en el transcurso de los dos meses siguientes al mes informado. </w:t>
      </w:r>
      <w:r w:rsidR="00F446DB" w:rsidRPr="00AD11B7">
        <w:rPr>
          <w:rFonts w:ascii="Arial" w:hAnsi="Arial" w:cs="Arial"/>
          <w:sz w:val="22"/>
          <w:szCs w:val="22"/>
        </w:rPr>
        <w:t xml:space="preserve">Así las </w:t>
      </w:r>
      <w:r w:rsidR="00F50A02" w:rsidRPr="00AD11B7">
        <w:rPr>
          <w:rFonts w:ascii="Arial" w:hAnsi="Arial" w:cs="Arial"/>
          <w:sz w:val="22"/>
          <w:szCs w:val="22"/>
        </w:rPr>
        <w:t>cosas, los</w:t>
      </w:r>
      <w:r w:rsidR="00F446DB" w:rsidRPr="00AD11B7">
        <w:rPr>
          <w:rFonts w:ascii="Arial" w:hAnsi="Arial" w:cs="Arial"/>
          <w:sz w:val="22"/>
          <w:szCs w:val="22"/>
        </w:rPr>
        <w:t xml:space="preserve"> informes financieros y contables del Ministerio de Hacienda y Crédito Público se publicarán </w:t>
      </w:r>
      <w:r w:rsidR="00F446DB" w:rsidRPr="00AD11B7">
        <w:rPr>
          <w:rFonts w:ascii="Arial" w:hAnsi="Arial" w:cs="Arial"/>
          <w:sz w:val="22"/>
          <w:szCs w:val="22"/>
        </w:rPr>
        <w:lastRenderedPageBreak/>
        <w:t xml:space="preserve">el último día calendario del mes siguiente al mes informado, excepto los correspondientes a los meses de </w:t>
      </w:r>
      <w:r w:rsidR="00F446DB" w:rsidRPr="00062EEE">
        <w:rPr>
          <w:rFonts w:ascii="Arial" w:hAnsi="Arial" w:cs="Arial"/>
          <w:sz w:val="22"/>
          <w:szCs w:val="22"/>
        </w:rPr>
        <w:t>diciembre</w:t>
      </w:r>
      <w:r w:rsidR="00EC476E" w:rsidRPr="00062EEE">
        <w:rPr>
          <w:rStyle w:val="Refdenotaalpie"/>
          <w:rFonts w:ascii="Arial" w:hAnsi="Arial" w:cs="Arial"/>
          <w:sz w:val="22"/>
          <w:szCs w:val="22"/>
        </w:rPr>
        <w:footnoteReference w:id="12"/>
      </w:r>
      <w:r w:rsidR="00F446DB" w:rsidRPr="00062EEE">
        <w:rPr>
          <w:rFonts w:ascii="Arial" w:hAnsi="Arial" w:cs="Arial"/>
          <w:sz w:val="22"/>
          <w:szCs w:val="22"/>
        </w:rPr>
        <w:t>, enero</w:t>
      </w:r>
      <w:r w:rsidR="00F446DB" w:rsidRPr="00AD11B7">
        <w:rPr>
          <w:rFonts w:ascii="Arial" w:hAnsi="Arial" w:cs="Arial"/>
          <w:sz w:val="22"/>
          <w:szCs w:val="22"/>
        </w:rPr>
        <w:t xml:space="preserve"> y febrero, los cuales se publicarán, el último día calendario de los meses de febrero, marzo y abril</w:t>
      </w:r>
      <w:r w:rsidR="00693004" w:rsidRPr="00AD11B7">
        <w:rPr>
          <w:rFonts w:ascii="Arial" w:hAnsi="Arial" w:cs="Arial"/>
          <w:sz w:val="22"/>
          <w:szCs w:val="22"/>
        </w:rPr>
        <w:t>, respectivamente</w:t>
      </w:r>
      <w:r w:rsidRPr="00AD11B7">
        <w:rPr>
          <w:rStyle w:val="Refdenotaalpie"/>
          <w:rFonts w:ascii="Arial" w:hAnsi="Arial" w:cs="Arial"/>
          <w:sz w:val="22"/>
          <w:szCs w:val="22"/>
        </w:rPr>
        <w:footnoteReference w:id="13"/>
      </w:r>
      <w:r w:rsidR="00F446DB" w:rsidRPr="00AD11B7">
        <w:rPr>
          <w:rFonts w:ascii="Arial" w:hAnsi="Arial" w:cs="Arial"/>
          <w:sz w:val="22"/>
          <w:szCs w:val="22"/>
        </w:rPr>
        <w:t xml:space="preserve">. </w:t>
      </w:r>
    </w:p>
    <w:p w14:paraId="3B72EC67" w14:textId="6BD91ED2" w:rsidR="00F77A45" w:rsidRDefault="00F77A45" w:rsidP="00CA76B9">
      <w:pPr>
        <w:spacing w:line="288" w:lineRule="auto"/>
        <w:jc w:val="both"/>
        <w:rPr>
          <w:rFonts w:ascii="Arial" w:hAnsi="Arial" w:cs="Arial"/>
          <w:sz w:val="22"/>
          <w:szCs w:val="22"/>
        </w:rPr>
      </w:pPr>
    </w:p>
    <w:p w14:paraId="489BAFBE" w14:textId="38FDF67E" w:rsidR="00C03A55" w:rsidRDefault="00C03A55" w:rsidP="00CA76B9">
      <w:pPr>
        <w:spacing w:line="288" w:lineRule="auto"/>
        <w:jc w:val="both"/>
        <w:rPr>
          <w:rFonts w:ascii="Arial" w:hAnsi="Arial" w:cs="Arial"/>
          <w:sz w:val="22"/>
          <w:szCs w:val="22"/>
        </w:rPr>
      </w:pPr>
      <w:r w:rsidRPr="00C03A55">
        <w:rPr>
          <w:rFonts w:ascii="Arial" w:hAnsi="Arial" w:cs="Arial"/>
          <w:sz w:val="22"/>
          <w:szCs w:val="22"/>
        </w:rPr>
        <w:t>Lo anterior, sin perjuicio de los actos administrativos expedidos por la Contaduría General de la Nación que modifiquen o prorroguen los plazos.</w:t>
      </w:r>
    </w:p>
    <w:p w14:paraId="19A456E7" w14:textId="77777777" w:rsidR="00C03A55" w:rsidRDefault="00C03A55" w:rsidP="00CA76B9">
      <w:pPr>
        <w:spacing w:line="288" w:lineRule="auto"/>
        <w:jc w:val="both"/>
        <w:rPr>
          <w:rFonts w:ascii="Arial" w:hAnsi="Arial" w:cs="Arial"/>
          <w:sz w:val="22"/>
          <w:szCs w:val="22"/>
        </w:rPr>
      </w:pPr>
    </w:p>
    <w:p w14:paraId="2C1516C6" w14:textId="5FD4E01B" w:rsidR="00F60E3D" w:rsidRPr="00AD11B7" w:rsidRDefault="00C03A55" w:rsidP="00CA76B9">
      <w:pPr>
        <w:spacing w:line="288" w:lineRule="auto"/>
        <w:jc w:val="both"/>
        <w:rPr>
          <w:rFonts w:ascii="Arial" w:hAnsi="Arial" w:cs="Arial"/>
          <w:b/>
          <w:sz w:val="22"/>
          <w:szCs w:val="22"/>
        </w:rPr>
      </w:pPr>
      <w:r>
        <w:rPr>
          <w:rFonts w:ascii="Arial" w:hAnsi="Arial" w:cs="Arial"/>
          <w:sz w:val="22"/>
          <w:szCs w:val="22"/>
        </w:rPr>
        <w:t>Por su parte, l</w:t>
      </w:r>
      <w:r w:rsidR="00F60E3D" w:rsidRPr="00062EEE">
        <w:rPr>
          <w:rFonts w:ascii="Arial" w:hAnsi="Arial" w:cs="Arial"/>
          <w:sz w:val="22"/>
          <w:szCs w:val="22"/>
        </w:rPr>
        <w:t>a publicación d</w:t>
      </w:r>
      <w:r w:rsidR="00582068" w:rsidRPr="00062EEE">
        <w:rPr>
          <w:rFonts w:ascii="Arial" w:hAnsi="Arial" w:cs="Arial"/>
          <w:sz w:val="22"/>
          <w:szCs w:val="22"/>
        </w:rPr>
        <w:t>e los informes financieros y co</w:t>
      </w:r>
      <w:r w:rsidR="00F60E3D" w:rsidRPr="00062EEE">
        <w:rPr>
          <w:rFonts w:ascii="Arial" w:hAnsi="Arial" w:cs="Arial"/>
          <w:sz w:val="22"/>
          <w:szCs w:val="22"/>
        </w:rPr>
        <w:t xml:space="preserve">ntables mensuales se deberá realizar </w:t>
      </w:r>
      <w:r w:rsidR="00EC476E" w:rsidRPr="00062EEE">
        <w:rPr>
          <w:rFonts w:ascii="Arial" w:hAnsi="Arial" w:cs="Arial"/>
          <w:sz w:val="22"/>
          <w:szCs w:val="22"/>
        </w:rPr>
        <w:t xml:space="preserve">en la página web del Ministerio de Hacienda y Crédito Público </w:t>
      </w:r>
      <w:hyperlink r:id="rId24" w:history="1">
        <w:r w:rsidR="00EC476E" w:rsidRPr="00062EEE">
          <w:rPr>
            <w:rStyle w:val="Hipervnculo"/>
            <w:rFonts w:ascii="Arial" w:hAnsi="Arial" w:cs="Arial"/>
            <w:sz w:val="22"/>
            <w:szCs w:val="22"/>
          </w:rPr>
          <w:t>www.minhacienda.gov.co</w:t>
        </w:r>
      </w:hyperlink>
      <w:r w:rsidR="00EC476E" w:rsidRPr="00062EEE">
        <w:rPr>
          <w:rFonts w:ascii="Arial" w:hAnsi="Arial" w:cs="Arial"/>
          <w:sz w:val="22"/>
          <w:szCs w:val="22"/>
        </w:rPr>
        <w:t>.</w:t>
      </w:r>
      <w:r w:rsidR="00EC476E" w:rsidRPr="00AD11B7">
        <w:rPr>
          <w:rFonts w:ascii="Arial" w:hAnsi="Arial" w:cs="Arial"/>
          <w:sz w:val="22"/>
          <w:szCs w:val="22"/>
        </w:rPr>
        <w:t xml:space="preserve"> </w:t>
      </w:r>
    </w:p>
    <w:p w14:paraId="40177229" w14:textId="77777777" w:rsidR="009612C4" w:rsidRPr="00AD11B7" w:rsidRDefault="009612C4" w:rsidP="00CA76B9">
      <w:pPr>
        <w:spacing w:line="288" w:lineRule="auto"/>
        <w:jc w:val="both"/>
        <w:rPr>
          <w:rFonts w:ascii="Arial" w:hAnsi="Arial" w:cs="Arial"/>
          <w:sz w:val="22"/>
          <w:szCs w:val="22"/>
        </w:rPr>
      </w:pPr>
    </w:p>
    <w:p w14:paraId="5E836CA1" w14:textId="77777777" w:rsidR="00726B11" w:rsidRDefault="00726B11" w:rsidP="00343ECE">
      <w:pPr>
        <w:pStyle w:val="Ttulo3"/>
        <w:numPr>
          <w:ilvl w:val="2"/>
          <w:numId w:val="9"/>
        </w:numPr>
        <w:spacing w:line="288" w:lineRule="auto"/>
        <w:rPr>
          <w:rFonts w:ascii="Arial" w:hAnsi="Arial" w:cs="Arial"/>
          <w:b/>
          <w:sz w:val="22"/>
          <w:szCs w:val="22"/>
        </w:rPr>
      </w:pPr>
      <w:bookmarkStart w:id="203" w:name="_Toc59377856"/>
      <w:r w:rsidRPr="00AD11B7">
        <w:rPr>
          <w:rFonts w:ascii="Arial" w:hAnsi="Arial" w:cs="Arial"/>
          <w:b/>
          <w:sz w:val="22"/>
          <w:szCs w:val="22"/>
        </w:rPr>
        <w:t>Elaboración y publicación de</w:t>
      </w:r>
      <w:r w:rsidR="0075284A" w:rsidRPr="00AD11B7">
        <w:rPr>
          <w:rFonts w:ascii="Arial" w:hAnsi="Arial" w:cs="Arial"/>
          <w:b/>
          <w:sz w:val="22"/>
          <w:szCs w:val="22"/>
        </w:rPr>
        <w:t xml:space="preserve">l juego completo de </w:t>
      </w:r>
      <w:r w:rsidRPr="00AD11B7">
        <w:rPr>
          <w:rFonts w:ascii="Arial" w:hAnsi="Arial" w:cs="Arial"/>
          <w:b/>
          <w:sz w:val="22"/>
          <w:szCs w:val="22"/>
        </w:rPr>
        <w:t>Estados Financieros</w:t>
      </w:r>
      <w:bookmarkEnd w:id="203"/>
      <w:r w:rsidRPr="00AD11B7">
        <w:rPr>
          <w:rFonts w:ascii="Arial" w:hAnsi="Arial" w:cs="Arial"/>
          <w:b/>
          <w:sz w:val="22"/>
          <w:szCs w:val="22"/>
        </w:rPr>
        <w:t xml:space="preserve"> </w:t>
      </w:r>
    </w:p>
    <w:p w14:paraId="72EB3F3E" w14:textId="77777777" w:rsidR="00726B11" w:rsidRPr="00AD11B7" w:rsidRDefault="00726B11" w:rsidP="00CA76B9">
      <w:pPr>
        <w:spacing w:line="288" w:lineRule="auto"/>
        <w:jc w:val="both"/>
        <w:rPr>
          <w:rFonts w:ascii="Arial" w:hAnsi="Arial" w:cs="Arial"/>
          <w:sz w:val="22"/>
          <w:szCs w:val="22"/>
        </w:rPr>
      </w:pPr>
    </w:p>
    <w:p w14:paraId="16EF133E" w14:textId="77777777" w:rsidR="006A18B6" w:rsidRPr="00AD11B7" w:rsidRDefault="006A18B6" w:rsidP="00CA76B9">
      <w:pPr>
        <w:spacing w:line="288" w:lineRule="auto"/>
        <w:jc w:val="both"/>
        <w:rPr>
          <w:rFonts w:ascii="Arial" w:hAnsi="Arial" w:cs="Arial"/>
          <w:sz w:val="22"/>
          <w:szCs w:val="22"/>
          <w:lang w:val="es-ES_tradnl"/>
        </w:rPr>
      </w:pPr>
      <w:r w:rsidRPr="00AD11B7">
        <w:rPr>
          <w:rFonts w:ascii="Arial" w:hAnsi="Arial" w:cs="Arial"/>
          <w:sz w:val="22"/>
          <w:szCs w:val="22"/>
          <w:lang w:val="es-ES_tradnl"/>
        </w:rPr>
        <w:t>Los estados financieros constituyen una representación estructurada de la situación financiera, del rendimiento financiero y de los flujos de efectivo de la entidad. Su objetivo es suministrar información que sea útil a una amplia variedad de usuarios para tomar y evaluar sus decisiones económicas respecto a la asignación de recursos</w:t>
      </w:r>
      <w:r w:rsidR="0075284A" w:rsidRPr="00AD11B7">
        <w:rPr>
          <w:rFonts w:ascii="Arial" w:hAnsi="Arial" w:cs="Arial"/>
          <w:sz w:val="22"/>
          <w:szCs w:val="22"/>
          <w:lang w:val="es-ES_tradnl"/>
        </w:rPr>
        <w:t xml:space="preserve">. </w:t>
      </w:r>
    </w:p>
    <w:p w14:paraId="6CC1FC13" w14:textId="77777777" w:rsidR="0075284A" w:rsidRPr="00AD11B7" w:rsidRDefault="0075284A" w:rsidP="00CA76B9">
      <w:pPr>
        <w:spacing w:line="288" w:lineRule="auto"/>
        <w:jc w:val="both"/>
        <w:rPr>
          <w:rFonts w:ascii="Arial" w:hAnsi="Arial" w:cs="Arial"/>
          <w:sz w:val="22"/>
          <w:szCs w:val="22"/>
          <w:lang w:val="es-ES_tradnl"/>
        </w:rPr>
      </w:pPr>
    </w:p>
    <w:p w14:paraId="68F05AD6" w14:textId="77777777" w:rsidR="006A18B6" w:rsidRPr="00AD11B7" w:rsidRDefault="006A18B6" w:rsidP="00CA76B9">
      <w:pPr>
        <w:pStyle w:val="Ttulo5"/>
        <w:spacing w:line="288" w:lineRule="auto"/>
        <w:jc w:val="left"/>
        <w:rPr>
          <w:rFonts w:ascii="Arial" w:hAnsi="Arial" w:cs="Arial"/>
          <w:sz w:val="22"/>
          <w:szCs w:val="22"/>
          <w:lang w:val="es-ES_tradnl"/>
        </w:rPr>
      </w:pPr>
      <w:bookmarkStart w:id="204" w:name="_Toc529890570"/>
      <w:r w:rsidRPr="00AD11B7">
        <w:rPr>
          <w:rFonts w:ascii="Arial" w:hAnsi="Arial" w:cs="Arial"/>
          <w:sz w:val="22"/>
          <w:szCs w:val="22"/>
          <w:lang w:val="es-ES_tradnl"/>
        </w:rPr>
        <w:t>Conjunto completo de estados financieros</w:t>
      </w:r>
      <w:bookmarkEnd w:id="204"/>
      <w:r w:rsidRPr="00AD11B7">
        <w:rPr>
          <w:rFonts w:ascii="Arial" w:hAnsi="Arial" w:cs="Arial"/>
          <w:sz w:val="22"/>
          <w:szCs w:val="22"/>
          <w:lang w:val="es-ES_tradnl"/>
        </w:rPr>
        <w:t xml:space="preserve"> </w:t>
      </w:r>
    </w:p>
    <w:p w14:paraId="67D9C059" w14:textId="77777777" w:rsidR="006A18B6" w:rsidRPr="00AD11B7" w:rsidRDefault="006A18B6" w:rsidP="00CA76B9">
      <w:pPr>
        <w:spacing w:line="288" w:lineRule="auto"/>
        <w:ind w:left="720"/>
        <w:rPr>
          <w:rFonts w:ascii="Arial" w:hAnsi="Arial" w:cs="Arial"/>
          <w:sz w:val="22"/>
          <w:szCs w:val="22"/>
          <w:lang w:val="es-ES_tradnl"/>
        </w:rPr>
      </w:pPr>
    </w:p>
    <w:p w14:paraId="27B4F2CC" w14:textId="77777777" w:rsidR="006A18B6" w:rsidRPr="00AD11B7" w:rsidRDefault="00DF6CAE" w:rsidP="00CA76B9">
      <w:pPr>
        <w:autoSpaceDE w:val="0"/>
        <w:autoSpaceDN w:val="0"/>
        <w:adjustRightInd w:val="0"/>
        <w:spacing w:line="288" w:lineRule="auto"/>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El</w:t>
      </w:r>
      <w:r w:rsidR="006A18B6" w:rsidRPr="00AD11B7">
        <w:rPr>
          <w:rFonts w:ascii="Arial" w:hAnsi="Arial" w:cs="Arial"/>
          <w:color w:val="000000"/>
          <w:sz w:val="22"/>
          <w:szCs w:val="22"/>
          <w:lang w:val="es-CO" w:eastAsia="es-CO"/>
        </w:rPr>
        <w:t xml:space="preserve"> juego completo de estados financieros </w:t>
      </w:r>
      <w:r w:rsidR="0075284A" w:rsidRPr="00AD11B7">
        <w:rPr>
          <w:rFonts w:ascii="Arial" w:hAnsi="Arial" w:cs="Arial"/>
          <w:color w:val="000000"/>
          <w:sz w:val="22"/>
          <w:szCs w:val="22"/>
          <w:lang w:val="es-CO" w:eastAsia="es-CO"/>
        </w:rPr>
        <w:t xml:space="preserve">del Ministerio de Hacienda y Crédito Público </w:t>
      </w:r>
      <w:r w:rsidR="006A18B6" w:rsidRPr="00AD11B7">
        <w:rPr>
          <w:rFonts w:ascii="Arial" w:hAnsi="Arial" w:cs="Arial"/>
          <w:color w:val="000000"/>
          <w:sz w:val="22"/>
          <w:szCs w:val="22"/>
          <w:lang w:val="es-CO" w:eastAsia="es-CO"/>
        </w:rPr>
        <w:t xml:space="preserve">comprende: </w:t>
      </w:r>
    </w:p>
    <w:p w14:paraId="7FFCA133" w14:textId="77777777" w:rsidR="00854101" w:rsidRPr="00AD11B7" w:rsidRDefault="00854101" w:rsidP="00CA76B9">
      <w:pPr>
        <w:autoSpaceDE w:val="0"/>
        <w:autoSpaceDN w:val="0"/>
        <w:adjustRightInd w:val="0"/>
        <w:spacing w:line="288" w:lineRule="auto"/>
        <w:jc w:val="both"/>
        <w:rPr>
          <w:rFonts w:ascii="Arial" w:hAnsi="Arial" w:cs="Arial"/>
          <w:color w:val="000000"/>
          <w:sz w:val="22"/>
          <w:szCs w:val="22"/>
          <w:lang w:val="es-CO" w:eastAsia="es-CO"/>
        </w:rPr>
      </w:pPr>
    </w:p>
    <w:p w14:paraId="38AA1598" w14:textId="77777777" w:rsidR="006A18B6" w:rsidRPr="00AD11B7" w:rsidRDefault="006A18B6" w:rsidP="00343ECE">
      <w:pPr>
        <w:numPr>
          <w:ilvl w:val="0"/>
          <w:numId w:val="21"/>
        </w:numPr>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Un estado de situación financiera al final del periodo contable,</w:t>
      </w:r>
    </w:p>
    <w:p w14:paraId="700B438E" w14:textId="77777777" w:rsidR="006A18B6" w:rsidRPr="00AD11B7" w:rsidRDefault="006A18B6" w:rsidP="00343ECE">
      <w:pPr>
        <w:numPr>
          <w:ilvl w:val="0"/>
          <w:numId w:val="21"/>
        </w:numPr>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Un estado de resultados del periodo contable,</w:t>
      </w:r>
    </w:p>
    <w:p w14:paraId="7B2B8888" w14:textId="77777777" w:rsidR="006A18B6" w:rsidRPr="00AD11B7" w:rsidRDefault="006A18B6" w:rsidP="00343ECE">
      <w:pPr>
        <w:numPr>
          <w:ilvl w:val="0"/>
          <w:numId w:val="21"/>
        </w:numPr>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Un estado de cambios en el patrimonio del periodo contable,</w:t>
      </w:r>
    </w:p>
    <w:p w14:paraId="5021C39D" w14:textId="77777777" w:rsidR="006A18B6" w:rsidRPr="00AD11B7" w:rsidRDefault="006A18B6" w:rsidP="00343ECE">
      <w:pPr>
        <w:numPr>
          <w:ilvl w:val="0"/>
          <w:numId w:val="21"/>
        </w:numPr>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Un estado de flujos de efectivo del periodo contable, y </w:t>
      </w:r>
    </w:p>
    <w:p w14:paraId="3A5A41C4" w14:textId="77777777" w:rsidR="006A18B6" w:rsidRPr="00AD11B7" w:rsidRDefault="006A18B6" w:rsidP="00343ECE">
      <w:pPr>
        <w:numPr>
          <w:ilvl w:val="0"/>
          <w:numId w:val="21"/>
        </w:numPr>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Las notas a los estados financieros. </w:t>
      </w:r>
    </w:p>
    <w:p w14:paraId="3399CCFA"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p>
    <w:p w14:paraId="2E596551" w14:textId="67DF3CA3" w:rsidR="006A18B6" w:rsidRPr="00AD11B7" w:rsidRDefault="006A18B6" w:rsidP="00CA76B9">
      <w:pPr>
        <w:autoSpaceDE w:val="0"/>
        <w:autoSpaceDN w:val="0"/>
        <w:adjustRightInd w:val="0"/>
        <w:spacing w:line="288" w:lineRule="auto"/>
        <w:jc w:val="both"/>
        <w:rPr>
          <w:rFonts w:ascii="Arial" w:hAnsi="Arial" w:cs="Arial"/>
          <w:sz w:val="22"/>
          <w:szCs w:val="22"/>
        </w:rPr>
      </w:pPr>
      <w:r w:rsidRPr="00AD11B7">
        <w:rPr>
          <w:rFonts w:ascii="Arial" w:hAnsi="Arial" w:cs="Arial"/>
          <w:color w:val="000000"/>
          <w:sz w:val="22"/>
          <w:szCs w:val="22"/>
          <w:lang w:val="es-CO" w:eastAsia="es-CO"/>
        </w:rPr>
        <w:t xml:space="preserve">Para el MHCP, el conjunto completo de estados financieros se presentará al final del periodo contable, de manera comparativa con los del periodo inmediatamente anterior, y sin perjuicio de la elaboración preparación y publicación </w:t>
      </w:r>
      <w:r w:rsidR="000A6A2C" w:rsidRPr="00AD11B7">
        <w:rPr>
          <w:rFonts w:ascii="Arial" w:hAnsi="Arial" w:cs="Arial"/>
          <w:color w:val="000000"/>
          <w:sz w:val="22"/>
          <w:szCs w:val="22"/>
          <w:lang w:val="es-CO" w:eastAsia="es-CO"/>
        </w:rPr>
        <w:t>de</w:t>
      </w:r>
      <w:r w:rsidRPr="00AD11B7">
        <w:rPr>
          <w:rFonts w:ascii="Arial" w:hAnsi="Arial" w:cs="Arial"/>
          <w:color w:val="000000"/>
          <w:sz w:val="22"/>
          <w:szCs w:val="22"/>
          <w:lang w:val="es-CO" w:eastAsia="es-CO"/>
        </w:rPr>
        <w:t xml:space="preserve"> </w:t>
      </w:r>
      <w:r w:rsidR="000A6A2C" w:rsidRPr="00AD11B7">
        <w:rPr>
          <w:rFonts w:ascii="Arial" w:hAnsi="Arial" w:cs="Arial"/>
          <w:sz w:val="22"/>
          <w:szCs w:val="22"/>
        </w:rPr>
        <w:t>los informes financieros y contables mensuales</w:t>
      </w:r>
      <w:r w:rsidRPr="00AD11B7">
        <w:rPr>
          <w:rFonts w:ascii="Arial" w:hAnsi="Arial" w:cs="Arial"/>
          <w:color w:val="000000"/>
          <w:sz w:val="22"/>
          <w:szCs w:val="22"/>
          <w:lang w:val="es-CO" w:eastAsia="es-CO"/>
        </w:rPr>
        <w:t>, de conformidad con la Ley 734 de 2002, la Ley 1712 de 2014 y la Resolución 182 del 19 de mayo de 2017 expedida por la Contaduría General de la Nación, y sus modificaciones.</w:t>
      </w:r>
      <w:r w:rsidRPr="00AD11B7">
        <w:rPr>
          <w:rFonts w:ascii="Arial" w:hAnsi="Arial" w:cs="Arial"/>
          <w:sz w:val="22"/>
          <w:szCs w:val="22"/>
        </w:rPr>
        <w:t xml:space="preserve"> </w:t>
      </w:r>
    </w:p>
    <w:p w14:paraId="3690ADBE" w14:textId="77777777" w:rsidR="006A18B6" w:rsidRPr="00AD11B7" w:rsidRDefault="006A18B6" w:rsidP="00CA76B9">
      <w:pPr>
        <w:autoSpaceDE w:val="0"/>
        <w:autoSpaceDN w:val="0"/>
        <w:adjustRightInd w:val="0"/>
        <w:spacing w:line="288" w:lineRule="auto"/>
        <w:ind w:left="1080"/>
        <w:jc w:val="both"/>
        <w:rPr>
          <w:rFonts w:ascii="Arial" w:hAnsi="Arial" w:cs="Arial"/>
          <w:b/>
          <w:color w:val="000000"/>
          <w:sz w:val="22"/>
          <w:szCs w:val="22"/>
          <w:lang w:val="es-CO" w:eastAsia="es-CO"/>
        </w:rPr>
      </w:pPr>
    </w:p>
    <w:p w14:paraId="67661947" w14:textId="77777777" w:rsidR="006A18B6" w:rsidRPr="00AD11B7" w:rsidRDefault="006A18B6" w:rsidP="00CA76B9">
      <w:pPr>
        <w:pStyle w:val="Ttulo5"/>
        <w:spacing w:line="288" w:lineRule="auto"/>
        <w:jc w:val="left"/>
        <w:rPr>
          <w:rFonts w:ascii="Arial" w:hAnsi="Arial" w:cs="Arial"/>
          <w:color w:val="000000"/>
          <w:sz w:val="22"/>
          <w:szCs w:val="22"/>
          <w:lang w:val="es-CO" w:eastAsia="es-CO"/>
        </w:rPr>
      </w:pPr>
      <w:bookmarkStart w:id="205" w:name="_Toc529890572"/>
      <w:r w:rsidRPr="00AD11B7">
        <w:rPr>
          <w:rFonts w:ascii="Arial" w:hAnsi="Arial" w:cs="Arial"/>
          <w:color w:val="000000"/>
          <w:sz w:val="22"/>
          <w:szCs w:val="22"/>
          <w:lang w:val="es-CO" w:eastAsia="es-CO"/>
        </w:rPr>
        <w:lastRenderedPageBreak/>
        <w:t>Identificación de los estados financieros</w:t>
      </w:r>
      <w:bookmarkEnd w:id="205"/>
    </w:p>
    <w:p w14:paraId="52E4AF07" w14:textId="77777777" w:rsidR="006A18B6" w:rsidRPr="00AD11B7" w:rsidRDefault="006A18B6" w:rsidP="00CA76B9">
      <w:pPr>
        <w:spacing w:line="288" w:lineRule="auto"/>
        <w:ind w:left="1080"/>
        <w:rPr>
          <w:rFonts w:ascii="Arial" w:hAnsi="Arial" w:cs="Arial"/>
          <w:sz w:val="22"/>
          <w:szCs w:val="22"/>
          <w:lang w:val="es-CO" w:eastAsia="es-CO"/>
        </w:rPr>
      </w:pPr>
    </w:p>
    <w:p w14:paraId="2A1B9183"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El Ministerio de Hacienda y Crédito Público – Gestión General diferenciará cada estado financiero y las notas, de cualquier otro tipo de información que presente, y destacará la siguiente información:</w:t>
      </w:r>
    </w:p>
    <w:p w14:paraId="7EAA0CA1" w14:textId="77777777" w:rsidR="006A18B6" w:rsidRPr="00AD11B7" w:rsidRDefault="006A18B6" w:rsidP="00CA76B9">
      <w:pPr>
        <w:autoSpaceDE w:val="0"/>
        <w:autoSpaceDN w:val="0"/>
        <w:adjustRightInd w:val="0"/>
        <w:spacing w:line="288" w:lineRule="auto"/>
        <w:ind w:left="709" w:hanging="283"/>
        <w:jc w:val="both"/>
        <w:rPr>
          <w:rFonts w:ascii="Arial" w:hAnsi="Arial" w:cs="Arial"/>
          <w:color w:val="000000"/>
          <w:sz w:val="22"/>
          <w:szCs w:val="22"/>
          <w:lang w:val="es-CO" w:eastAsia="es-CO"/>
        </w:rPr>
      </w:pPr>
    </w:p>
    <w:p w14:paraId="5CB3659C" w14:textId="77777777" w:rsidR="006A18B6" w:rsidRPr="00AD11B7" w:rsidRDefault="006A18B6" w:rsidP="00343ECE">
      <w:pPr>
        <w:numPr>
          <w:ilvl w:val="1"/>
          <w:numId w:val="21"/>
        </w:numPr>
        <w:tabs>
          <w:tab w:val="left" w:pos="284"/>
        </w:tabs>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El nombre de la entidad: </w:t>
      </w:r>
      <w:r w:rsidRPr="00AD11B7">
        <w:rPr>
          <w:rFonts w:ascii="Arial" w:hAnsi="Arial" w:cs="Arial"/>
          <w:i/>
          <w:color w:val="000000"/>
          <w:sz w:val="22"/>
          <w:szCs w:val="22"/>
          <w:lang w:val="es-CO" w:eastAsia="es-CO"/>
        </w:rPr>
        <w:t>Ministerio de Hacienda y Crédito Público</w:t>
      </w:r>
      <w:r w:rsidRPr="00AD11B7">
        <w:rPr>
          <w:rFonts w:ascii="Arial" w:hAnsi="Arial" w:cs="Arial"/>
          <w:color w:val="000000"/>
          <w:sz w:val="22"/>
          <w:szCs w:val="22"/>
          <w:lang w:val="es-CO" w:eastAsia="es-CO"/>
        </w:rPr>
        <w:t>, así como cualquier cambio ocurrido desde el estado financiero anterior</w:t>
      </w:r>
      <w:r w:rsidR="00E01F24" w:rsidRPr="00AD11B7">
        <w:rPr>
          <w:rFonts w:ascii="Arial" w:hAnsi="Arial" w:cs="Arial"/>
          <w:color w:val="000000"/>
          <w:sz w:val="22"/>
          <w:szCs w:val="22"/>
          <w:lang w:val="es-CO" w:eastAsia="es-CO"/>
        </w:rPr>
        <w:t>.</w:t>
      </w:r>
    </w:p>
    <w:p w14:paraId="694E0BE1" w14:textId="77777777" w:rsidR="006A18B6" w:rsidRPr="00AD11B7" w:rsidRDefault="006A18B6" w:rsidP="00343ECE">
      <w:pPr>
        <w:numPr>
          <w:ilvl w:val="1"/>
          <w:numId w:val="21"/>
        </w:numPr>
        <w:tabs>
          <w:tab w:val="left" w:pos="284"/>
        </w:tabs>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El hecho de que los estados financieros correspondan a la entidad individual. </w:t>
      </w:r>
    </w:p>
    <w:p w14:paraId="722A9A64" w14:textId="77777777" w:rsidR="006A18B6" w:rsidRPr="00AD11B7" w:rsidRDefault="006A18B6" w:rsidP="00343ECE">
      <w:pPr>
        <w:numPr>
          <w:ilvl w:val="1"/>
          <w:numId w:val="21"/>
        </w:numPr>
        <w:tabs>
          <w:tab w:val="left" w:pos="284"/>
        </w:tabs>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La fecha del cierre del periodo al que correspondan los estados financieros o el periodo cubierto</w:t>
      </w:r>
      <w:r w:rsidR="00E01F24" w:rsidRPr="00AD11B7">
        <w:rPr>
          <w:rFonts w:ascii="Arial" w:hAnsi="Arial" w:cs="Arial"/>
          <w:color w:val="000000"/>
          <w:sz w:val="22"/>
          <w:szCs w:val="22"/>
          <w:lang w:val="es-CO" w:eastAsia="es-CO"/>
        </w:rPr>
        <w:t>.</w:t>
      </w:r>
    </w:p>
    <w:p w14:paraId="6771DE7E" w14:textId="77777777" w:rsidR="006A18B6" w:rsidRPr="00AD11B7" w:rsidRDefault="006A18B6" w:rsidP="00343ECE">
      <w:pPr>
        <w:numPr>
          <w:ilvl w:val="1"/>
          <w:numId w:val="21"/>
        </w:numPr>
        <w:tabs>
          <w:tab w:val="left" w:pos="284"/>
        </w:tabs>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La moneda de presentación, que para el efecto será el peso colombiano; y</w:t>
      </w:r>
    </w:p>
    <w:p w14:paraId="167184D5" w14:textId="77777777" w:rsidR="006A18B6" w:rsidRPr="00AD11B7" w:rsidRDefault="006A18B6" w:rsidP="00343ECE">
      <w:pPr>
        <w:numPr>
          <w:ilvl w:val="1"/>
          <w:numId w:val="21"/>
        </w:numPr>
        <w:tabs>
          <w:tab w:val="left" w:pos="284"/>
        </w:tabs>
        <w:autoSpaceDE w:val="0"/>
        <w:autoSpaceDN w:val="0"/>
        <w:adjustRightInd w:val="0"/>
        <w:spacing w:line="288" w:lineRule="auto"/>
        <w:ind w:left="284" w:hanging="284"/>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El grado de redondeo practicado al presentar las cifras de los estados financieros. </w:t>
      </w:r>
    </w:p>
    <w:p w14:paraId="1C0198ED"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p>
    <w:p w14:paraId="045482C2" w14:textId="77777777" w:rsidR="006A18B6" w:rsidRPr="00AD11B7" w:rsidRDefault="006A18B6" w:rsidP="00CA76B9">
      <w:pPr>
        <w:pStyle w:val="Ttulo5"/>
        <w:spacing w:line="288" w:lineRule="auto"/>
        <w:jc w:val="left"/>
        <w:rPr>
          <w:rFonts w:ascii="Arial" w:hAnsi="Arial" w:cs="Arial"/>
          <w:color w:val="000000"/>
          <w:sz w:val="22"/>
          <w:szCs w:val="22"/>
          <w:lang w:val="es-CO" w:eastAsia="es-CO"/>
        </w:rPr>
      </w:pPr>
      <w:bookmarkStart w:id="206" w:name="_Toc529890573"/>
      <w:r w:rsidRPr="00AD11B7">
        <w:rPr>
          <w:rFonts w:ascii="Arial" w:hAnsi="Arial" w:cs="Arial"/>
          <w:color w:val="000000"/>
          <w:sz w:val="22"/>
          <w:szCs w:val="22"/>
          <w:lang w:val="es-CO" w:eastAsia="es-CO"/>
        </w:rPr>
        <w:t>Referencias cruzadas</w:t>
      </w:r>
      <w:bookmarkEnd w:id="206"/>
    </w:p>
    <w:p w14:paraId="39290AF8"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p>
    <w:p w14:paraId="7696924C"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Deben usarse referencias que permitan el cruce de cada uno de los conceptos y valores con las Notas a los Estados Financieros, mostrando el número de la nota relacionada. </w:t>
      </w:r>
    </w:p>
    <w:p w14:paraId="37713B33" w14:textId="77777777" w:rsidR="00023705" w:rsidRDefault="00023705" w:rsidP="00CA76B9">
      <w:pPr>
        <w:pStyle w:val="Ttulo5"/>
        <w:spacing w:line="288" w:lineRule="auto"/>
        <w:jc w:val="left"/>
        <w:rPr>
          <w:rFonts w:ascii="Arial" w:hAnsi="Arial" w:cs="Arial"/>
          <w:color w:val="000000"/>
          <w:sz w:val="22"/>
          <w:szCs w:val="22"/>
          <w:lang w:val="es-CO" w:eastAsia="es-CO"/>
        </w:rPr>
      </w:pPr>
      <w:bookmarkStart w:id="207" w:name="_Toc529890574"/>
    </w:p>
    <w:p w14:paraId="46DEE92C" w14:textId="24E9C682" w:rsidR="006A18B6" w:rsidRPr="00AD11B7" w:rsidRDefault="006A18B6" w:rsidP="00CA76B9">
      <w:pPr>
        <w:pStyle w:val="Ttulo5"/>
        <w:spacing w:line="288" w:lineRule="auto"/>
        <w:jc w:val="left"/>
        <w:rPr>
          <w:rFonts w:ascii="Arial" w:hAnsi="Arial" w:cs="Arial"/>
          <w:color w:val="000000"/>
          <w:sz w:val="22"/>
          <w:szCs w:val="22"/>
          <w:lang w:val="es-CO" w:eastAsia="es-CO"/>
        </w:rPr>
      </w:pPr>
      <w:r w:rsidRPr="00AD11B7">
        <w:rPr>
          <w:rFonts w:ascii="Arial" w:hAnsi="Arial" w:cs="Arial"/>
          <w:color w:val="000000"/>
          <w:sz w:val="22"/>
          <w:szCs w:val="22"/>
          <w:lang w:val="es-CO" w:eastAsia="es-CO"/>
        </w:rPr>
        <w:t>Firmas de los Estados Financieros</w:t>
      </w:r>
      <w:bookmarkEnd w:id="207"/>
      <w:r w:rsidRPr="00AD11B7">
        <w:rPr>
          <w:rFonts w:ascii="Arial" w:hAnsi="Arial" w:cs="Arial"/>
          <w:color w:val="000000"/>
          <w:sz w:val="22"/>
          <w:szCs w:val="22"/>
          <w:lang w:val="es-CO" w:eastAsia="es-CO"/>
        </w:rPr>
        <w:t xml:space="preserve"> </w:t>
      </w:r>
    </w:p>
    <w:p w14:paraId="70A41C24"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p>
    <w:p w14:paraId="62D88524" w14:textId="77777777" w:rsidR="003F2906" w:rsidRPr="00AD11B7" w:rsidRDefault="006A18B6" w:rsidP="00CA76B9">
      <w:pPr>
        <w:spacing w:line="288" w:lineRule="auto"/>
        <w:jc w:val="both"/>
        <w:rPr>
          <w:rFonts w:ascii="Arial" w:hAnsi="Arial" w:cs="Arial"/>
          <w:sz w:val="22"/>
          <w:szCs w:val="22"/>
        </w:rPr>
      </w:pPr>
      <w:r w:rsidRPr="00AD11B7">
        <w:rPr>
          <w:rFonts w:ascii="Arial" w:hAnsi="Arial" w:cs="Arial"/>
          <w:color w:val="000000"/>
          <w:sz w:val="22"/>
          <w:szCs w:val="22"/>
          <w:lang w:val="es-CO" w:eastAsia="es-CO"/>
        </w:rPr>
        <w:t>Los Estados Financieros del Ministerio de Hacienda y Crédit</w:t>
      </w:r>
      <w:r w:rsidR="00612E69" w:rsidRPr="00AD11B7">
        <w:rPr>
          <w:rFonts w:ascii="Arial" w:hAnsi="Arial" w:cs="Arial"/>
          <w:color w:val="000000"/>
          <w:sz w:val="22"/>
          <w:szCs w:val="22"/>
          <w:lang w:val="es-CO" w:eastAsia="es-CO"/>
        </w:rPr>
        <w:t xml:space="preserve">o Público- gestión General deberán </w:t>
      </w:r>
      <w:r w:rsidRPr="00AD11B7">
        <w:rPr>
          <w:rFonts w:ascii="Arial" w:hAnsi="Arial" w:cs="Arial"/>
          <w:color w:val="000000"/>
          <w:sz w:val="22"/>
          <w:szCs w:val="22"/>
          <w:lang w:val="es-CO" w:eastAsia="es-CO"/>
        </w:rPr>
        <w:t xml:space="preserve">estar firmados por el Ministro de Hacienda y Crédito Público (o su delegado), por el Subdirector Financiero </w:t>
      </w:r>
      <w:r w:rsidR="00612E69" w:rsidRPr="00AD11B7">
        <w:rPr>
          <w:rFonts w:ascii="Arial" w:hAnsi="Arial" w:cs="Arial"/>
          <w:color w:val="000000"/>
          <w:sz w:val="22"/>
          <w:szCs w:val="22"/>
          <w:lang w:val="es-CO" w:eastAsia="es-CO"/>
        </w:rPr>
        <w:t xml:space="preserve">(o quien haga sus veces) </w:t>
      </w:r>
      <w:r w:rsidRPr="00AD11B7">
        <w:rPr>
          <w:rFonts w:ascii="Arial" w:hAnsi="Arial" w:cs="Arial"/>
          <w:color w:val="000000"/>
          <w:sz w:val="22"/>
          <w:szCs w:val="22"/>
          <w:lang w:val="es-CO" w:eastAsia="es-CO"/>
        </w:rPr>
        <w:t xml:space="preserve">y el </w:t>
      </w:r>
      <w:r w:rsidR="003F2906" w:rsidRPr="00AD11B7">
        <w:rPr>
          <w:rFonts w:ascii="Arial" w:hAnsi="Arial" w:cs="Arial"/>
          <w:sz w:val="22"/>
          <w:szCs w:val="22"/>
        </w:rPr>
        <w:t>Contador de la entidad incluyendo los datos de nombres y números de identidad y, en el caso del Contador, el número de la tarjeta profesional.</w:t>
      </w:r>
    </w:p>
    <w:p w14:paraId="27789DDB" w14:textId="77777777" w:rsidR="006A18B6" w:rsidRPr="00AD11B7" w:rsidRDefault="006A18B6" w:rsidP="00CA76B9">
      <w:pPr>
        <w:autoSpaceDE w:val="0"/>
        <w:autoSpaceDN w:val="0"/>
        <w:adjustRightInd w:val="0"/>
        <w:spacing w:line="288" w:lineRule="auto"/>
        <w:jc w:val="both"/>
        <w:rPr>
          <w:rFonts w:ascii="Arial" w:hAnsi="Arial" w:cs="Arial"/>
          <w:color w:val="000000"/>
          <w:sz w:val="22"/>
          <w:szCs w:val="22"/>
          <w:lang w:val="es-CO" w:eastAsia="es-CO"/>
        </w:rPr>
      </w:pPr>
    </w:p>
    <w:p w14:paraId="5E3B65E5" w14:textId="7DCD1CCF" w:rsidR="009C19F6" w:rsidRPr="00C67577" w:rsidRDefault="006A18B6" w:rsidP="00CA76B9">
      <w:pPr>
        <w:autoSpaceDE w:val="0"/>
        <w:autoSpaceDN w:val="0"/>
        <w:adjustRightInd w:val="0"/>
        <w:spacing w:line="288" w:lineRule="auto"/>
        <w:jc w:val="both"/>
        <w:rPr>
          <w:rFonts w:ascii="Arial" w:hAnsi="Arial" w:cs="Arial"/>
          <w:sz w:val="22"/>
          <w:szCs w:val="22"/>
          <w:lang w:val="es-CO"/>
        </w:rPr>
      </w:pPr>
      <w:r w:rsidRPr="00AD11B7">
        <w:rPr>
          <w:rFonts w:ascii="Arial" w:hAnsi="Arial" w:cs="Arial"/>
          <w:color w:val="000000"/>
          <w:sz w:val="22"/>
          <w:szCs w:val="22"/>
          <w:lang w:val="es-CO" w:eastAsia="es-CO"/>
        </w:rPr>
        <w:t xml:space="preserve">Asimismo, estos funcionarios deberán certificar los mencionados estados, </w:t>
      </w:r>
      <w:r w:rsidR="009C19F6">
        <w:rPr>
          <w:rFonts w:ascii="Arial" w:hAnsi="Arial" w:cs="Arial"/>
          <w:color w:val="000000"/>
          <w:sz w:val="22"/>
          <w:szCs w:val="22"/>
          <w:lang w:val="es-CO" w:eastAsia="es-CO"/>
        </w:rPr>
        <w:t xml:space="preserve">de conformidad con lo establecido por la </w:t>
      </w:r>
      <w:r w:rsidRPr="00AD11B7">
        <w:rPr>
          <w:rFonts w:ascii="Arial" w:hAnsi="Arial" w:cs="Arial"/>
          <w:color w:val="000000"/>
          <w:sz w:val="22"/>
          <w:szCs w:val="22"/>
          <w:lang w:val="es-CO" w:eastAsia="es-CO"/>
        </w:rPr>
        <w:t xml:space="preserve">Contaduría General de la Nación. </w:t>
      </w:r>
      <w:r w:rsidR="00914853">
        <w:rPr>
          <w:rFonts w:ascii="Arial" w:hAnsi="Arial" w:cs="Arial"/>
          <w:color w:val="000000"/>
          <w:sz w:val="22"/>
          <w:szCs w:val="22"/>
          <w:lang w:val="es-CO" w:eastAsia="es-CO"/>
        </w:rPr>
        <w:t xml:space="preserve">De este modo, </w:t>
      </w:r>
      <w:r w:rsidR="009C19F6">
        <w:rPr>
          <w:rFonts w:ascii="Arial" w:hAnsi="Arial" w:cs="Arial"/>
          <w:sz w:val="22"/>
          <w:szCs w:val="22"/>
          <w:lang w:val="es-CO"/>
        </w:rPr>
        <w:t xml:space="preserve">la certificación corresponderá a un </w:t>
      </w:r>
      <w:r w:rsidR="009C19F6" w:rsidRPr="00C67577">
        <w:rPr>
          <w:rFonts w:ascii="Arial" w:hAnsi="Arial" w:cs="Arial"/>
          <w:sz w:val="22"/>
          <w:szCs w:val="22"/>
          <w:lang w:val="es-CO"/>
        </w:rPr>
        <w:t xml:space="preserve">escrito que contiene la declaración expresa y breve de que: </w:t>
      </w:r>
    </w:p>
    <w:p w14:paraId="27C0E9F8" w14:textId="77777777" w:rsidR="009C19F6" w:rsidRPr="00C67577" w:rsidRDefault="009C19F6" w:rsidP="00CA76B9">
      <w:pPr>
        <w:spacing w:line="288" w:lineRule="auto"/>
        <w:jc w:val="both"/>
        <w:rPr>
          <w:rFonts w:ascii="Arial" w:hAnsi="Arial" w:cs="Arial"/>
          <w:sz w:val="22"/>
          <w:szCs w:val="22"/>
          <w:lang w:val="es-CO"/>
        </w:rPr>
      </w:pPr>
    </w:p>
    <w:p w14:paraId="2EDC9886" w14:textId="77777777" w:rsidR="009C19F6" w:rsidRPr="00C67577" w:rsidRDefault="009C19F6" w:rsidP="00343ECE">
      <w:pPr>
        <w:numPr>
          <w:ilvl w:val="2"/>
          <w:numId w:val="38"/>
        </w:numPr>
        <w:spacing w:line="288" w:lineRule="auto"/>
        <w:ind w:left="284" w:hanging="284"/>
        <w:jc w:val="both"/>
        <w:rPr>
          <w:rFonts w:ascii="Arial" w:hAnsi="Arial" w:cs="Arial"/>
          <w:sz w:val="22"/>
          <w:szCs w:val="22"/>
          <w:lang w:val="es-CO"/>
        </w:rPr>
      </w:pPr>
      <w:r w:rsidRPr="00C67577">
        <w:rPr>
          <w:rFonts w:ascii="Arial" w:hAnsi="Arial" w:cs="Arial"/>
          <w:sz w:val="22"/>
          <w:szCs w:val="22"/>
          <w:lang w:val="es-CO"/>
        </w:rPr>
        <w:t>Los saldos fueron tomados fielmente de los libros de contabilidad</w:t>
      </w:r>
    </w:p>
    <w:p w14:paraId="5FD426D1" w14:textId="77777777" w:rsidR="009C19F6" w:rsidRPr="00C67577" w:rsidRDefault="009C19F6" w:rsidP="00CA76B9">
      <w:pPr>
        <w:spacing w:line="288" w:lineRule="auto"/>
        <w:ind w:left="284"/>
        <w:jc w:val="both"/>
        <w:rPr>
          <w:rFonts w:ascii="Arial" w:hAnsi="Arial" w:cs="Arial"/>
          <w:sz w:val="22"/>
          <w:szCs w:val="22"/>
          <w:lang w:val="es-CO"/>
        </w:rPr>
      </w:pPr>
    </w:p>
    <w:p w14:paraId="68E20D78" w14:textId="77777777" w:rsidR="009C19F6" w:rsidRPr="00C67577" w:rsidRDefault="009C19F6" w:rsidP="00343ECE">
      <w:pPr>
        <w:numPr>
          <w:ilvl w:val="2"/>
          <w:numId w:val="38"/>
        </w:numPr>
        <w:spacing w:line="288" w:lineRule="auto"/>
        <w:ind w:left="284" w:hanging="284"/>
        <w:jc w:val="both"/>
        <w:rPr>
          <w:rFonts w:ascii="Arial" w:hAnsi="Arial" w:cs="Arial"/>
          <w:sz w:val="22"/>
          <w:szCs w:val="22"/>
          <w:lang w:val="es-CO"/>
        </w:rPr>
      </w:pPr>
      <w:r w:rsidRPr="00C67577">
        <w:rPr>
          <w:rFonts w:ascii="Arial" w:hAnsi="Arial" w:cs="Arial"/>
          <w:sz w:val="22"/>
          <w:szCs w:val="22"/>
          <w:lang w:val="es-CO"/>
        </w:rPr>
        <w:t>La contabilidad se elaboró conforme al Marco Normativo para Entidades de Gobierno</w:t>
      </w:r>
    </w:p>
    <w:p w14:paraId="432BA3DD" w14:textId="77777777" w:rsidR="009C19F6" w:rsidRPr="00C67577" w:rsidRDefault="009C19F6" w:rsidP="00CA76B9">
      <w:pPr>
        <w:pStyle w:val="Prrafodelista"/>
        <w:spacing w:line="288" w:lineRule="auto"/>
        <w:rPr>
          <w:rFonts w:ascii="Arial" w:hAnsi="Arial" w:cs="Arial"/>
          <w:sz w:val="22"/>
          <w:szCs w:val="22"/>
          <w:lang w:val="es-CO"/>
        </w:rPr>
      </w:pPr>
    </w:p>
    <w:p w14:paraId="3D0B13FA" w14:textId="77777777" w:rsidR="005478B2" w:rsidRPr="005478B2" w:rsidRDefault="009C19F6" w:rsidP="00343ECE">
      <w:pPr>
        <w:numPr>
          <w:ilvl w:val="2"/>
          <w:numId w:val="38"/>
        </w:numPr>
        <w:autoSpaceDE w:val="0"/>
        <w:autoSpaceDN w:val="0"/>
        <w:adjustRightInd w:val="0"/>
        <w:spacing w:line="288" w:lineRule="auto"/>
        <w:ind w:left="284" w:hanging="284"/>
        <w:jc w:val="both"/>
        <w:rPr>
          <w:rFonts w:ascii="Arial" w:hAnsi="Arial" w:cs="Arial"/>
          <w:color w:val="000000"/>
          <w:sz w:val="22"/>
          <w:szCs w:val="22"/>
          <w:lang w:val="es-CO" w:eastAsia="es-CO"/>
        </w:rPr>
      </w:pPr>
      <w:r w:rsidRPr="005478B2">
        <w:rPr>
          <w:rFonts w:ascii="Arial" w:hAnsi="Arial" w:cs="Arial"/>
          <w:sz w:val="22"/>
          <w:szCs w:val="22"/>
          <w:lang w:val="es-CO"/>
        </w:rPr>
        <w:t xml:space="preserve">Se han verificado las afirmaciones contenidas en los estados financieros y la información revelada refleja en forma fidedigna la situación financiera, el resultado del periodo, los cambios en el patrimonio y los flujos de efectivo de la entidad; y </w:t>
      </w:r>
    </w:p>
    <w:p w14:paraId="6D0A218E" w14:textId="77777777" w:rsidR="005478B2" w:rsidRDefault="005478B2" w:rsidP="00CA76B9">
      <w:pPr>
        <w:pStyle w:val="Prrafodelista"/>
        <w:spacing w:line="288" w:lineRule="auto"/>
        <w:rPr>
          <w:rFonts w:ascii="Arial" w:hAnsi="Arial" w:cs="Arial"/>
          <w:sz w:val="22"/>
          <w:szCs w:val="22"/>
          <w:lang w:val="es-CO"/>
        </w:rPr>
      </w:pPr>
    </w:p>
    <w:p w14:paraId="603095F3" w14:textId="65C7CCDC" w:rsidR="009C19F6" w:rsidRPr="005478B2" w:rsidRDefault="009C19F6" w:rsidP="00343ECE">
      <w:pPr>
        <w:numPr>
          <w:ilvl w:val="2"/>
          <w:numId w:val="38"/>
        </w:numPr>
        <w:autoSpaceDE w:val="0"/>
        <w:autoSpaceDN w:val="0"/>
        <w:adjustRightInd w:val="0"/>
        <w:spacing w:line="288" w:lineRule="auto"/>
        <w:ind w:left="284" w:hanging="284"/>
        <w:jc w:val="both"/>
        <w:rPr>
          <w:rFonts w:ascii="Arial" w:hAnsi="Arial" w:cs="Arial"/>
          <w:color w:val="000000"/>
          <w:sz w:val="22"/>
          <w:szCs w:val="22"/>
          <w:lang w:val="es-CO" w:eastAsia="es-CO"/>
        </w:rPr>
      </w:pPr>
      <w:r w:rsidRPr="005478B2">
        <w:rPr>
          <w:rFonts w:ascii="Arial" w:hAnsi="Arial" w:cs="Arial"/>
          <w:sz w:val="22"/>
          <w:szCs w:val="22"/>
          <w:lang w:val="es-CO"/>
        </w:rPr>
        <w:lastRenderedPageBreak/>
        <w:t>Se dio cumplimiento al control interno en cuanto a la correcta preparación y presentación de los estados financieros libres de errores significativos</w:t>
      </w:r>
    </w:p>
    <w:p w14:paraId="6056A677" w14:textId="40D73F7D" w:rsidR="009C19F6" w:rsidRDefault="009C19F6" w:rsidP="00CA76B9">
      <w:pPr>
        <w:autoSpaceDE w:val="0"/>
        <w:autoSpaceDN w:val="0"/>
        <w:adjustRightInd w:val="0"/>
        <w:spacing w:line="288" w:lineRule="auto"/>
        <w:jc w:val="both"/>
        <w:rPr>
          <w:rFonts w:ascii="Arial" w:hAnsi="Arial" w:cs="Arial"/>
          <w:color w:val="000000"/>
          <w:sz w:val="22"/>
          <w:szCs w:val="22"/>
          <w:lang w:val="es-CO" w:eastAsia="es-CO"/>
        </w:rPr>
      </w:pPr>
    </w:p>
    <w:p w14:paraId="78D5050F" w14:textId="77777777" w:rsidR="00914853" w:rsidRPr="00C67577" w:rsidRDefault="00914853" w:rsidP="00CA76B9">
      <w:pPr>
        <w:spacing w:line="288" w:lineRule="auto"/>
        <w:jc w:val="both"/>
        <w:rPr>
          <w:rFonts w:ascii="Arial" w:hAnsi="Arial" w:cs="Arial"/>
          <w:sz w:val="22"/>
          <w:szCs w:val="22"/>
          <w:lang w:val="es-CO"/>
        </w:rPr>
      </w:pPr>
      <w:r w:rsidRPr="00C67577">
        <w:rPr>
          <w:rFonts w:ascii="Arial" w:hAnsi="Arial" w:cs="Arial"/>
          <w:sz w:val="22"/>
          <w:szCs w:val="22"/>
          <w:lang w:val="es-CO"/>
        </w:rPr>
        <w:t xml:space="preserve">La referida certificación deberá estar firmada por el representante legal de la entidad y por el contador público con el número de tarjeta profesional. </w:t>
      </w:r>
    </w:p>
    <w:p w14:paraId="1CAB75DB" w14:textId="77777777" w:rsidR="00914853" w:rsidRPr="00AD11B7" w:rsidRDefault="00914853" w:rsidP="00CA76B9">
      <w:pPr>
        <w:autoSpaceDE w:val="0"/>
        <w:autoSpaceDN w:val="0"/>
        <w:adjustRightInd w:val="0"/>
        <w:spacing w:line="288" w:lineRule="auto"/>
        <w:jc w:val="both"/>
        <w:rPr>
          <w:rFonts w:ascii="Arial" w:hAnsi="Arial" w:cs="Arial"/>
          <w:color w:val="000000"/>
          <w:sz w:val="22"/>
          <w:szCs w:val="22"/>
          <w:lang w:val="es-CO" w:eastAsia="es-CO"/>
        </w:rPr>
      </w:pPr>
    </w:p>
    <w:p w14:paraId="541AE8E7" w14:textId="77777777" w:rsidR="006A18B6" w:rsidRPr="00AD11B7" w:rsidRDefault="006A18B6" w:rsidP="00CA76B9">
      <w:pPr>
        <w:pStyle w:val="Ttulo5"/>
        <w:spacing w:line="288" w:lineRule="auto"/>
        <w:jc w:val="left"/>
        <w:rPr>
          <w:rFonts w:ascii="Arial" w:hAnsi="Arial" w:cs="Arial"/>
          <w:color w:val="000000"/>
          <w:sz w:val="22"/>
          <w:szCs w:val="22"/>
          <w:lang w:val="es-CO" w:eastAsia="es-CO"/>
        </w:rPr>
      </w:pPr>
      <w:bookmarkStart w:id="208" w:name="_Toc529890575"/>
      <w:r w:rsidRPr="00AD11B7">
        <w:rPr>
          <w:rFonts w:ascii="Arial" w:hAnsi="Arial" w:cs="Arial"/>
          <w:color w:val="000000"/>
          <w:sz w:val="22"/>
          <w:szCs w:val="22"/>
          <w:lang w:val="es-CO" w:eastAsia="es-CO"/>
        </w:rPr>
        <w:t xml:space="preserve">Publicación de los Estados Financieros </w:t>
      </w:r>
      <w:bookmarkEnd w:id="208"/>
    </w:p>
    <w:p w14:paraId="2765D557" w14:textId="77777777" w:rsidR="006A18B6" w:rsidRPr="00AD11B7" w:rsidRDefault="006A18B6" w:rsidP="00CA76B9">
      <w:pPr>
        <w:spacing w:line="288" w:lineRule="auto"/>
        <w:rPr>
          <w:rFonts w:ascii="Arial" w:hAnsi="Arial" w:cs="Arial"/>
          <w:sz w:val="22"/>
          <w:szCs w:val="22"/>
          <w:lang w:val="es-CO" w:eastAsia="es-CO"/>
        </w:rPr>
      </w:pPr>
    </w:p>
    <w:p w14:paraId="08B621E8" w14:textId="0D930D5A" w:rsidR="00EC476E" w:rsidRPr="00AD11B7" w:rsidRDefault="00EC476E" w:rsidP="00CA76B9">
      <w:pPr>
        <w:spacing w:line="288" w:lineRule="auto"/>
        <w:jc w:val="both"/>
        <w:rPr>
          <w:rFonts w:ascii="Arial" w:hAnsi="Arial" w:cs="Arial"/>
          <w:sz w:val="22"/>
          <w:szCs w:val="22"/>
        </w:rPr>
      </w:pPr>
      <w:r w:rsidRPr="00AD11B7">
        <w:rPr>
          <w:rFonts w:ascii="Arial" w:hAnsi="Arial" w:cs="Arial"/>
          <w:sz w:val="22"/>
          <w:szCs w:val="22"/>
        </w:rPr>
        <w:t xml:space="preserve">El juego completo de los Estados Financieros del Ministerio de Hacienda y Crédito Público </w:t>
      </w:r>
      <w:r w:rsidR="00AD227C">
        <w:rPr>
          <w:rFonts w:ascii="Arial" w:hAnsi="Arial" w:cs="Arial"/>
          <w:sz w:val="22"/>
          <w:szCs w:val="22"/>
        </w:rPr>
        <w:t xml:space="preserve">elaborado a 31 de diciembre de la respectiva vigencia </w:t>
      </w:r>
      <w:r w:rsidR="001F15EF" w:rsidRPr="00AD11B7">
        <w:rPr>
          <w:rFonts w:ascii="Arial" w:hAnsi="Arial" w:cs="Arial"/>
          <w:sz w:val="22"/>
          <w:szCs w:val="22"/>
        </w:rPr>
        <w:t>se publicará</w:t>
      </w:r>
      <w:r w:rsidRPr="00AD11B7">
        <w:rPr>
          <w:rFonts w:ascii="Arial" w:hAnsi="Arial" w:cs="Arial"/>
          <w:sz w:val="22"/>
          <w:szCs w:val="22"/>
        </w:rPr>
        <w:t>, como máximo</w:t>
      </w:r>
      <w:r w:rsidRPr="00D965CC">
        <w:rPr>
          <w:rFonts w:ascii="Arial" w:hAnsi="Arial" w:cs="Arial"/>
          <w:sz w:val="22"/>
          <w:szCs w:val="22"/>
        </w:rPr>
        <w:t>, el último día calendario del mes de febrero</w:t>
      </w:r>
      <w:r w:rsidRPr="00D965CC">
        <w:rPr>
          <w:rStyle w:val="Refdenotaalpie"/>
          <w:rFonts w:ascii="Arial" w:hAnsi="Arial" w:cs="Arial"/>
          <w:sz w:val="22"/>
          <w:szCs w:val="22"/>
        </w:rPr>
        <w:footnoteReference w:id="14"/>
      </w:r>
      <w:r w:rsidR="009B15E7">
        <w:rPr>
          <w:rFonts w:ascii="Arial" w:hAnsi="Arial" w:cs="Arial"/>
          <w:sz w:val="22"/>
          <w:szCs w:val="22"/>
        </w:rPr>
        <w:t xml:space="preserve"> del año siguiente</w:t>
      </w:r>
      <w:r w:rsidRPr="00D965CC">
        <w:rPr>
          <w:rFonts w:ascii="Arial" w:hAnsi="Arial" w:cs="Arial"/>
          <w:sz w:val="22"/>
          <w:szCs w:val="22"/>
        </w:rPr>
        <w:t>.</w:t>
      </w:r>
      <w:r w:rsidRPr="00AD11B7">
        <w:rPr>
          <w:rFonts w:ascii="Arial" w:hAnsi="Arial" w:cs="Arial"/>
          <w:sz w:val="22"/>
          <w:szCs w:val="22"/>
        </w:rPr>
        <w:t xml:space="preserve"> </w:t>
      </w:r>
    </w:p>
    <w:p w14:paraId="4E3F76B4" w14:textId="77777777" w:rsidR="008F1CC9" w:rsidRPr="00AD11B7" w:rsidRDefault="008F1CC9" w:rsidP="00CA76B9">
      <w:pPr>
        <w:spacing w:line="288" w:lineRule="auto"/>
        <w:jc w:val="both"/>
        <w:rPr>
          <w:rFonts w:ascii="Arial" w:hAnsi="Arial" w:cs="Arial"/>
          <w:sz w:val="22"/>
          <w:szCs w:val="22"/>
        </w:rPr>
      </w:pPr>
    </w:p>
    <w:p w14:paraId="73B9C4C8" w14:textId="4DA36022" w:rsidR="00EC476E" w:rsidRPr="00AD11B7" w:rsidRDefault="00CF6268" w:rsidP="00CA76B9">
      <w:pPr>
        <w:spacing w:line="288" w:lineRule="auto"/>
        <w:jc w:val="both"/>
        <w:rPr>
          <w:rFonts w:ascii="Arial" w:hAnsi="Arial" w:cs="Arial"/>
          <w:b/>
          <w:sz w:val="22"/>
          <w:szCs w:val="22"/>
        </w:rPr>
      </w:pPr>
      <w:r>
        <w:rPr>
          <w:rFonts w:ascii="Arial" w:hAnsi="Arial" w:cs="Arial"/>
          <w:sz w:val="22"/>
          <w:szCs w:val="22"/>
        </w:rPr>
        <w:t>Asimismo, l</w:t>
      </w:r>
      <w:r w:rsidR="00EC476E" w:rsidRPr="00AD11B7">
        <w:rPr>
          <w:rFonts w:ascii="Arial" w:hAnsi="Arial" w:cs="Arial"/>
          <w:sz w:val="22"/>
          <w:szCs w:val="22"/>
        </w:rPr>
        <w:t>a publicación de</w:t>
      </w:r>
      <w:r>
        <w:rPr>
          <w:rFonts w:ascii="Arial" w:hAnsi="Arial" w:cs="Arial"/>
          <w:sz w:val="22"/>
          <w:szCs w:val="22"/>
        </w:rPr>
        <w:t xml:space="preserve">l juego completo de los Estados Financieros </w:t>
      </w:r>
      <w:r w:rsidR="00EC476E" w:rsidRPr="00AD11B7">
        <w:rPr>
          <w:rFonts w:ascii="Arial" w:hAnsi="Arial" w:cs="Arial"/>
          <w:sz w:val="22"/>
          <w:szCs w:val="22"/>
        </w:rPr>
        <w:t xml:space="preserve">se deberá realizar en la página web del Ministerio de Hacienda y Crédito Público </w:t>
      </w:r>
      <w:hyperlink r:id="rId25" w:history="1">
        <w:r w:rsidR="00EC476E" w:rsidRPr="00AD11B7">
          <w:rPr>
            <w:rStyle w:val="Hipervnculo"/>
            <w:rFonts w:ascii="Arial" w:hAnsi="Arial" w:cs="Arial"/>
            <w:sz w:val="22"/>
            <w:szCs w:val="22"/>
          </w:rPr>
          <w:t>www.minhacienda.gov.co</w:t>
        </w:r>
      </w:hyperlink>
      <w:r w:rsidR="00EC476E" w:rsidRPr="00AD11B7">
        <w:rPr>
          <w:rFonts w:ascii="Arial" w:hAnsi="Arial" w:cs="Arial"/>
          <w:sz w:val="22"/>
          <w:szCs w:val="22"/>
        </w:rPr>
        <w:t xml:space="preserve">. </w:t>
      </w:r>
    </w:p>
    <w:p w14:paraId="38BF345A" w14:textId="77777777" w:rsidR="006A18B6" w:rsidRPr="00AD11B7" w:rsidRDefault="006A18B6" w:rsidP="00CA76B9">
      <w:pPr>
        <w:spacing w:line="288" w:lineRule="auto"/>
        <w:jc w:val="both"/>
        <w:rPr>
          <w:rFonts w:ascii="Arial" w:hAnsi="Arial" w:cs="Arial"/>
          <w:sz w:val="22"/>
          <w:szCs w:val="22"/>
        </w:rPr>
      </w:pPr>
    </w:p>
    <w:p w14:paraId="1A4838BD" w14:textId="77777777" w:rsidR="00300EF9" w:rsidRPr="00AD11B7" w:rsidRDefault="00300EF9" w:rsidP="00343ECE">
      <w:pPr>
        <w:pStyle w:val="Ttulo3"/>
        <w:numPr>
          <w:ilvl w:val="2"/>
          <w:numId w:val="9"/>
        </w:numPr>
        <w:spacing w:line="288" w:lineRule="auto"/>
        <w:rPr>
          <w:rFonts w:ascii="Arial" w:hAnsi="Arial" w:cs="Arial"/>
          <w:b/>
          <w:sz w:val="22"/>
          <w:szCs w:val="22"/>
        </w:rPr>
      </w:pPr>
      <w:bookmarkStart w:id="209" w:name="_Toc59377857"/>
      <w:r w:rsidRPr="00AD11B7">
        <w:rPr>
          <w:rFonts w:ascii="Arial" w:hAnsi="Arial" w:cs="Arial"/>
          <w:b/>
          <w:sz w:val="22"/>
          <w:szCs w:val="22"/>
        </w:rPr>
        <w:t xml:space="preserve">Elaboración </w:t>
      </w:r>
      <w:r w:rsidR="00A17365" w:rsidRPr="00AD11B7">
        <w:rPr>
          <w:rFonts w:ascii="Arial" w:hAnsi="Arial" w:cs="Arial"/>
          <w:b/>
          <w:sz w:val="22"/>
          <w:szCs w:val="22"/>
        </w:rPr>
        <w:t xml:space="preserve">y presentación </w:t>
      </w:r>
      <w:r w:rsidR="00726B11" w:rsidRPr="00AD11B7">
        <w:rPr>
          <w:rFonts w:ascii="Arial" w:hAnsi="Arial" w:cs="Arial"/>
          <w:b/>
          <w:sz w:val="22"/>
          <w:szCs w:val="22"/>
        </w:rPr>
        <w:t xml:space="preserve">de </w:t>
      </w:r>
      <w:r w:rsidRPr="00AD11B7">
        <w:rPr>
          <w:rFonts w:ascii="Arial" w:hAnsi="Arial" w:cs="Arial"/>
          <w:b/>
          <w:sz w:val="22"/>
          <w:szCs w:val="22"/>
        </w:rPr>
        <w:t>reportes contables</w:t>
      </w:r>
      <w:bookmarkEnd w:id="209"/>
    </w:p>
    <w:p w14:paraId="5FB56E8B" w14:textId="77777777" w:rsidR="00761A55" w:rsidRPr="00AD11B7" w:rsidRDefault="00761A55" w:rsidP="00CA76B9">
      <w:pPr>
        <w:spacing w:line="288" w:lineRule="auto"/>
        <w:rPr>
          <w:rFonts w:ascii="Arial" w:hAnsi="Arial" w:cs="Arial"/>
          <w:sz w:val="22"/>
          <w:szCs w:val="22"/>
        </w:rPr>
      </w:pPr>
    </w:p>
    <w:p w14:paraId="4E5EBA10" w14:textId="08FF6B33" w:rsidR="008F1CC9" w:rsidRPr="00AD11B7" w:rsidRDefault="008F1CC9" w:rsidP="00CA76B9">
      <w:pPr>
        <w:spacing w:line="288" w:lineRule="auto"/>
        <w:jc w:val="both"/>
        <w:rPr>
          <w:rFonts w:ascii="Arial" w:hAnsi="Arial" w:cs="Arial"/>
          <w:sz w:val="22"/>
          <w:szCs w:val="22"/>
        </w:rPr>
      </w:pPr>
      <w:r w:rsidRPr="00AD11B7">
        <w:rPr>
          <w:rFonts w:ascii="Arial" w:hAnsi="Arial" w:cs="Arial"/>
          <w:sz w:val="22"/>
          <w:szCs w:val="22"/>
        </w:rPr>
        <w:t xml:space="preserve">La información contable del Ministerio de Hacienda y Crédito Público, se </w:t>
      </w:r>
      <w:r w:rsidR="004A65CA" w:rsidRPr="00AD11B7">
        <w:rPr>
          <w:rFonts w:ascii="Arial" w:hAnsi="Arial" w:cs="Arial"/>
          <w:sz w:val="22"/>
          <w:szCs w:val="22"/>
        </w:rPr>
        <w:t xml:space="preserve">debe </w:t>
      </w:r>
      <w:r w:rsidRPr="00AD11B7">
        <w:rPr>
          <w:rFonts w:ascii="Arial" w:hAnsi="Arial" w:cs="Arial"/>
          <w:sz w:val="22"/>
          <w:szCs w:val="22"/>
        </w:rPr>
        <w:t>reporta</w:t>
      </w:r>
      <w:r w:rsidR="004A65CA" w:rsidRPr="00AD11B7">
        <w:rPr>
          <w:rFonts w:ascii="Arial" w:hAnsi="Arial" w:cs="Arial"/>
          <w:sz w:val="22"/>
          <w:szCs w:val="22"/>
        </w:rPr>
        <w:t>r</w:t>
      </w:r>
      <w:r w:rsidRPr="00AD11B7">
        <w:rPr>
          <w:rFonts w:ascii="Arial" w:hAnsi="Arial" w:cs="Arial"/>
          <w:sz w:val="22"/>
          <w:szCs w:val="22"/>
        </w:rPr>
        <w:t xml:space="preserve"> a la Contaduría General de la Nación de conformidad con los plazos, fechas y requerimientos establecidos por el organismo regulador de la contabilidad pública, a través del Sistema Consolidador de Hacienda e Información Financiera Pública (CHIP)</w:t>
      </w:r>
      <w:r w:rsidR="00866FA5">
        <w:rPr>
          <w:rStyle w:val="Refdenotaalpie"/>
          <w:rFonts w:ascii="Arial" w:hAnsi="Arial" w:cs="Arial"/>
          <w:sz w:val="22"/>
          <w:szCs w:val="22"/>
        </w:rPr>
        <w:footnoteReference w:id="15"/>
      </w:r>
      <w:r w:rsidRPr="00AD11B7">
        <w:rPr>
          <w:rFonts w:ascii="Arial" w:hAnsi="Arial" w:cs="Arial"/>
          <w:sz w:val="22"/>
          <w:szCs w:val="22"/>
        </w:rPr>
        <w:t>, y realizando las respectivas validaciones en el referido sistema.</w:t>
      </w:r>
    </w:p>
    <w:p w14:paraId="2314E369" w14:textId="484E9498" w:rsidR="008F1CC9" w:rsidRPr="00EB7709" w:rsidRDefault="008F1CC9" w:rsidP="00CA76B9">
      <w:pPr>
        <w:spacing w:line="288" w:lineRule="auto"/>
        <w:jc w:val="both"/>
        <w:rPr>
          <w:rFonts w:ascii="Arial" w:hAnsi="Arial" w:cs="Arial"/>
          <w:sz w:val="22"/>
          <w:szCs w:val="22"/>
        </w:rPr>
      </w:pPr>
    </w:p>
    <w:p w14:paraId="561A6390" w14:textId="5511EE43" w:rsidR="00821530" w:rsidRPr="00CC4043" w:rsidRDefault="00821530" w:rsidP="00CA76B9">
      <w:pPr>
        <w:pStyle w:val="nueve"/>
        <w:spacing w:before="0" w:beforeAutospacing="0" w:after="0" w:afterAutospacing="0" w:line="288" w:lineRule="auto"/>
        <w:jc w:val="both"/>
        <w:rPr>
          <w:rFonts w:ascii="Arial" w:hAnsi="Arial" w:cs="Arial"/>
          <w:color w:val="000000"/>
          <w:sz w:val="22"/>
          <w:szCs w:val="22"/>
        </w:rPr>
      </w:pPr>
      <w:r w:rsidRPr="00CC4043">
        <w:rPr>
          <w:rFonts w:ascii="Arial" w:hAnsi="Arial" w:cs="Arial"/>
          <w:bCs/>
          <w:color w:val="000000"/>
          <w:sz w:val="22"/>
          <w:szCs w:val="22"/>
        </w:rPr>
        <w:t>Las categorías de información que se deben reportar a la Contaduría General de la Nación son: I</w:t>
      </w:r>
      <w:r w:rsidRPr="00EB7709">
        <w:rPr>
          <w:rFonts w:ascii="Arial" w:hAnsi="Arial" w:cs="Arial"/>
          <w:color w:val="000000"/>
          <w:sz w:val="22"/>
          <w:szCs w:val="22"/>
        </w:rPr>
        <w:t>nformación C</w:t>
      </w:r>
      <w:r w:rsidRPr="00CC4043">
        <w:rPr>
          <w:rFonts w:ascii="Arial" w:hAnsi="Arial" w:cs="Arial"/>
          <w:color w:val="000000"/>
          <w:sz w:val="22"/>
          <w:szCs w:val="22"/>
        </w:rPr>
        <w:t xml:space="preserve">ontable </w:t>
      </w:r>
      <w:r>
        <w:rPr>
          <w:rFonts w:ascii="Arial" w:hAnsi="Arial" w:cs="Arial"/>
          <w:color w:val="000000"/>
          <w:sz w:val="22"/>
          <w:szCs w:val="22"/>
        </w:rPr>
        <w:t>P</w:t>
      </w:r>
      <w:r w:rsidRPr="00CC4043">
        <w:rPr>
          <w:rFonts w:ascii="Arial" w:hAnsi="Arial" w:cs="Arial"/>
          <w:color w:val="000000"/>
          <w:sz w:val="22"/>
          <w:szCs w:val="22"/>
        </w:rPr>
        <w:t xml:space="preserve">ública - </w:t>
      </w:r>
      <w:r>
        <w:rPr>
          <w:rFonts w:ascii="Arial" w:hAnsi="Arial" w:cs="Arial"/>
          <w:color w:val="000000"/>
          <w:sz w:val="22"/>
          <w:szCs w:val="22"/>
        </w:rPr>
        <w:t>C</w:t>
      </w:r>
      <w:r w:rsidRPr="00CC4043">
        <w:rPr>
          <w:rFonts w:ascii="Arial" w:hAnsi="Arial" w:cs="Arial"/>
          <w:color w:val="000000"/>
          <w:sz w:val="22"/>
          <w:szCs w:val="22"/>
        </w:rPr>
        <w:t xml:space="preserve">onvergencia, </w:t>
      </w:r>
      <w:r w:rsidRPr="00EB7709">
        <w:rPr>
          <w:rFonts w:ascii="Arial" w:hAnsi="Arial" w:cs="Arial"/>
          <w:color w:val="000000"/>
          <w:sz w:val="22"/>
          <w:szCs w:val="22"/>
        </w:rPr>
        <w:t>E</w:t>
      </w:r>
      <w:r>
        <w:rPr>
          <w:rFonts w:ascii="Arial" w:hAnsi="Arial" w:cs="Arial"/>
          <w:color w:val="000000"/>
          <w:sz w:val="22"/>
          <w:szCs w:val="22"/>
        </w:rPr>
        <w:t>valuación de</w:t>
      </w:r>
      <w:r w:rsidRPr="00CC4043">
        <w:rPr>
          <w:rFonts w:ascii="Arial" w:hAnsi="Arial" w:cs="Arial"/>
          <w:color w:val="000000"/>
          <w:sz w:val="22"/>
          <w:szCs w:val="22"/>
        </w:rPr>
        <w:t xml:space="preserve"> </w:t>
      </w:r>
      <w:r>
        <w:rPr>
          <w:rFonts w:ascii="Arial" w:hAnsi="Arial" w:cs="Arial"/>
          <w:color w:val="000000"/>
          <w:sz w:val="22"/>
          <w:szCs w:val="22"/>
        </w:rPr>
        <w:t>C</w:t>
      </w:r>
      <w:r w:rsidRPr="00CC4043">
        <w:rPr>
          <w:rFonts w:ascii="Arial" w:hAnsi="Arial" w:cs="Arial"/>
          <w:color w:val="000000"/>
          <w:sz w:val="22"/>
          <w:szCs w:val="22"/>
        </w:rPr>
        <w:t xml:space="preserve">ontrol </w:t>
      </w:r>
      <w:r>
        <w:rPr>
          <w:rFonts w:ascii="Arial" w:hAnsi="Arial" w:cs="Arial"/>
          <w:color w:val="000000"/>
          <w:sz w:val="22"/>
          <w:szCs w:val="22"/>
        </w:rPr>
        <w:t>I</w:t>
      </w:r>
      <w:r w:rsidRPr="00EB7709">
        <w:rPr>
          <w:rFonts w:ascii="Arial" w:hAnsi="Arial" w:cs="Arial"/>
          <w:color w:val="000000"/>
          <w:sz w:val="22"/>
          <w:szCs w:val="22"/>
        </w:rPr>
        <w:t>nterno C</w:t>
      </w:r>
      <w:r w:rsidRPr="00CC4043">
        <w:rPr>
          <w:rFonts w:ascii="Arial" w:hAnsi="Arial" w:cs="Arial"/>
          <w:color w:val="000000"/>
          <w:sz w:val="22"/>
          <w:szCs w:val="22"/>
        </w:rPr>
        <w:t xml:space="preserve">ontable y </w:t>
      </w:r>
      <w:r>
        <w:rPr>
          <w:rFonts w:ascii="Arial" w:hAnsi="Arial" w:cs="Arial"/>
          <w:color w:val="000000"/>
          <w:sz w:val="22"/>
          <w:szCs w:val="22"/>
        </w:rPr>
        <w:t>B</w:t>
      </w:r>
      <w:r w:rsidRPr="00EB7709">
        <w:rPr>
          <w:rFonts w:ascii="Arial" w:hAnsi="Arial" w:cs="Arial"/>
          <w:color w:val="000000"/>
          <w:sz w:val="22"/>
          <w:szCs w:val="22"/>
        </w:rPr>
        <w:t>oletín</w:t>
      </w:r>
      <w:r>
        <w:rPr>
          <w:rFonts w:ascii="Arial" w:hAnsi="Arial" w:cs="Arial"/>
          <w:color w:val="000000"/>
          <w:sz w:val="22"/>
          <w:szCs w:val="22"/>
        </w:rPr>
        <w:t xml:space="preserve"> de Deudores M</w:t>
      </w:r>
      <w:r w:rsidRPr="00CC4043">
        <w:rPr>
          <w:rFonts w:ascii="Arial" w:hAnsi="Arial" w:cs="Arial"/>
          <w:color w:val="000000"/>
          <w:sz w:val="22"/>
          <w:szCs w:val="22"/>
        </w:rPr>
        <w:t xml:space="preserve">orosos del Estado (BDME). </w:t>
      </w:r>
    </w:p>
    <w:p w14:paraId="09A75780" w14:textId="77777777" w:rsidR="00821530" w:rsidRPr="00AD11B7" w:rsidRDefault="00821530" w:rsidP="00CA76B9">
      <w:pPr>
        <w:spacing w:line="288" w:lineRule="auto"/>
        <w:jc w:val="both"/>
        <w:rPr>
          <w:rFonts w:ascii="Arial" w:hAnsi="Arial" w:cs="Arial"/>
          <w:sz w:val="22"/>
          <w:szCs w:val="22"/>
        </w:rPr>
      </w:pPr>
    </w:p>
    <w:p w14:paraId="68C07A45" w14:textId="043DF17B" w:rsidR="00821530" w:rsidRDefault="00821530" w:rsidP="00343ECE">
      <w:pPr>
        <w:numPr>
          <w:ilvl w:val="3"/>
          <w:numId w:val="9"/>
        </w:numPr>
        <w:spacing w:line="288" w:lineRule="auto"/>
        <w:jc w:val="both"/>
        <w:rPr>
          <w:rFonts w:ascii="Arial" w:hAnsi="Arial" w:cs="Arial"/>
          <w:b/>
          <w:color w:val="000000"/>
          <w:sz w:val="22"/>
          <w:szCs w:val="22"/>
        </w:rPr>
      </w:pPr>
      <w:r w:rsidRPr="00CC4043">
        <w:rPr>
          <w:rFonts w:ascii="Arial" w:hAnsi="Arial" w:cs="Arial"/>
          <w:b/>
          <w:bCs/>
          <w:color w:val="000000"/>
          <w:sz w:val="22"/>
          <w:szCs w:val="22"/>
        </w:rPr>
        <w:t>I</w:t>
      </w:r>
      <w:r w:rsidRPr="00CC4043">
        <w:rPr>
          <w:rFonts w:ascii="Arial" w:hAnsi="Arial" w:cs="Arial"/>
          <w:b/>
          <w:color w:val="000000"/>
          <w:sz w:val="22"/>
          <w:szCs w:val="22"/>
        </w:rPr>
        <w:t>nformación Contable Pública – Convergencia</w:t>
      </w:r>
    </w:p>
    <w:p w14:paraId="1E2BE9BD" w14:textId="3DCFD613" w:rsidR="00821530" w:rsidRPr="00EB7709" w:rsidRDefault="00821530" w:rsidP="00CA76B9">
      <w:pPr>
        <w:spacing w:line="288" w:lineRule="auto"/>
        <w:jc w:val="both"/>
        <w:rPr>
          <w:rFonts w:ascii="Arial" w:hAnsi="Arial" w:cs="Arial"/>
          <w:sz w:val="22"/>
          <w:szCs w:val="22"/>
        </w:rPr>
      </w:pPr>
    </w:p>
    <w:p w14:paraId="69546B0B" w14:textId="57177B5A" w:rsidR="00821530" w:rsidRPr="00DE1B37" w:rsidRDefault="00821530" w:rsidP="00CA76B9">
      <w:pPr>
        <w:spacing w:line="288" w:lineRule="auto"/>
        <w:jc w:val="both"/>
        <w:rPr>
          <w:rFonts w:ascii="Arial" w:hAnsi="Arial" w:cs="Arial"/>
          <w:color w:val="000000"/>
          <w:sz w:val="22"/>
          <w:szCs w:val="22"/>
        </w:rPr>
      </w:pPr>
      <w:r w:rsidRPr="00CC4043">
        <w:rPr>
          <w:rFonts w:ascii="Arial" w:hAnsi="Arial" w:cs="Arial"/>
          <w:color w:val="000000"/>
          <w:sz w:val="22"/>
          <w:szCs w:val="22"/>
        </w:rPr>
        <w:t xml:space="preserve">Corresponde a la información financiera de carácter contable que reportan las entidades públicas a la Contaduría </w:t>
      </w:r>
      <w:r w:rsidRPr="00DE1B37">
        <w:rPr>
          <w:rFonts w:ascii="Arial" w:hAnsi="Arial" w:cs="Arial"/>
          <w:color w:val="000000"/>
          <w:sz w:val="22"/>
          <w:szCs w:val="22"/>
        </w:rPr>
        <w:t>General de la Nación respecto a los saldos y movimientos, operaciones recíprocas y variaciones trimestrales significativas, en aplicación de los nuevos marcos normativos.</w:t>
      </w:r>
    </w:p>
    <w:p w14:paraId="3AE40084" w14:textId="77777777" w:rsidR="00821530" w:rsidRPr="00EB7709" w:rsidRDefault="00821530" w:rsidP="00CA76B9">
      <w:pPr>
        <w:spacing w:line="288" w:lineRule="auto"/>
        <w:jc w:val="both"/>
        <w:rPr>
          <w:rFonts w:ascii="Arial" w:hAnsi="Arial" w:cs="Arial"/>
          <w:sz w:val="22"/>
          <w:szCs w:val="22"/>
        </w:rPr>
      </w:pPr>
    </w:p>
    <w:p w14:paraId="736506B0" w14:textId="65D2F2FB" w:rsidR="008F1CC9" w:rsidRPr="00AD11B7" w:rsidRDefault="008F1CC9" w:rsidP="00CA76B9">
      <w:pPr>
        <w:spacing w:line="288" w:lineRule="auto"/>
        <w:jc w:val="both"/>
        <w:rPr>
          <w:rFonts w:ascii="Arial" w:hAnsi="Arial" w:cs="Arial"/>
          <w:sz w:val="22"/>
          <w:szCs w:val="22"/>
        </w:rPr>
      </w:pPr>
      <w:r w:rsidRPr="00821530">
        <w:rPr>
          <w:rFonts w:ascii="Arial" w:hAnsi="Arial" w:cs="Arial"/>
          <w:sz w:val="22"/>
          <w:szCs w:val="22"/>
        </w:rPr>
        <w:t>Las fechas de presentación de información son las</w:t>
      </w:r>
      <w:r w:rsidRPr="00AD11B7">
        <w:rPr>
          <w:rFonts w:ascii="Arial" w:hAnsi="Arial" w:cs="Arial"/>
          <w:sz w:val="22"/>
          <w:szCs w:val="22"/>
        </w:rPr>
        <w:t xml:space="preserve"> siguientes: </w:t>
      </w:r>
    </w:p>
    <w:p w14:paraId="05BE7C16" w14:textId="77777777" w:rsidR="008F1CC9" w:rsidRPr="00B80246" w:rsidRDefault="008F1CC9" w:rsidP="00D16469">
      <w:pPr>
        <w:spacing w:line="288" w:lineRule="auto"/>
        <w:jc w:val="both"/>
        <w:rPr>
          <w:rFonts w:ascii="Arial" w:hAnsi="Arial" w:cs="Arial"/>
          <w:sz w:val="22"/>
          <w:szCs w:val="22"/>
        </w:rPr>
      </w:pPr>
    </w:p>
    <w:tbl>
      <w:tblPr>
        <w:tblW w:w="84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84"/>
        <w:gridCol w:w="5076"/>
      </w:tblGrid>
      <w:tr w:rsidR="008F1CC9" w:rsidRPr="00767A5C" w14:paraId="6B53755E" w14:textId="77777777" w:rsidTr="009B15E7">
        <w:trPr>
          <w:trHeight w:val="240"/>
          <w:tblHeader/>
          <w:jc w:val="center"/>
        </w:trPr>
        <w:tc>
          <w:tcPr>
            <w:tcW w:w="2000" w:type="pct"/>
            <w:tcBorders>
              <w:top w:val="single" w:sz="4" w:space="0" w:color="FFFFFF"/>
              <w:left w:val="single" w:sz="4" w:space="0" w:color="FFFFFF"/>
              <w:bottom w:val="single" w:sz="4" w:space="0" w:color="FFFFFF"/>
              <w:right w:val="single" w:sz="4" w:space="0" w:color="FFFFFF"/>
            </w:tcBorders>
            <w:shd w:val="clear" w:color="auto" w:fill="3366CC"/>
            <w:hideMark/>
          </w:tcPr>
          <w:p w14:paraId="77AB0C10" w14:textId="77777777" w:rsidR="008F1CC9" w:rsidRPr="00767A5C" w:rsidRDefault="008F1CC9" w:rsidP="00767A5C">
            <w:pPr>
              <w:jc w:val="center"/>
              <w:rPr>
                <w:rFonts w:ascii="Arial" w:hAnsi="Arial" w:cs="Arial"/>
                <w:b/>
                <w:bCs/>
                <w:color w:val="FFFFFF"/>
                <w:lang w:val="es-CO" w:eastAsia="es-CO"/>
              </w:rPr>
            </w:pPr>
            <w:r w:rsidRPr="00767A5C">
              <w:rPr>
                <w:rFonts w:ascii="Arial" w:hAnsi="Arial" w:cs="Arial"/>
                <w:b/>
                <w:bCs/>
                <w:color w:val="FFFFFF"/>
                <w:lang w:val="es-CO" w:eastAsia="es-CO"/>
              </w:rPr>
              <w:lastRenderedPageBreak/>
              <w:t>Fecha de corte</w:t>
            </w:r>
          </w:p>
        </w:tc>
        <w:tc>
          <w:tcPr>
            <w:tcW w:w="3000" w:type="pct"/>
            <w:tcBorders>
              <w:top w:val="single" w:sz="4" w:space="0" w:color="FFFFFF"/>
              <w:left w:val="single" w:sz="4" w:space="0" w:color="FFFFFF"/>
              <w:bottom w:val="single" w:sz="4" w:space="0" w:color="3366CC"/>
              <w:right w:val="single" w:sz="4" w:space="0" w:color="FFFFFF"/>
            </w:tcBorders>
            <w:shd w:val="clear" w:color="auto" w:fill="3366CC"/>
            <w:hideMark/>
          </w:tcPr>
          <w:p w14:paraId="77FACB3A" w14:textId="77777777" w:rsidR="008F1CC9" w:rsidRPr="00767A5C" w:rsidRDefault="008F1CC9" w:rsidP="00C23CAA">
            <w:pPr>
              <w:jc w:val="center"/>
              <w:rPr>
                <w:rFonts w:ascii="Arial" w:hAnsi="Arial" w:cs="Arial"/>
                <w:b/>
                <w:bCs/>
                <w:color w:val="FFFFFF"/>
                <w:lang w:val="es-CO" w:eastAsia="es-CO"/>
              </w:rPr>
            </w:pPr>
            <w:r w:rsidRPr="00767A5C">
              <w:rPr>
                <w:rFonts w:ascii="Arial" w:hAnsi="Arial" w:cs="Arial"/>
                <w:b/>
                <w:bCs/>
                <w:color w:val="FFFFFF"/>
                <w:lang w:val="es-CO" w:eastAsia="es-CO"/>
              </w:rPr>
              <w:t>Fecha límite de presentación</w:t>
            </w:r>
            <w:r w:rsidR="00C23CAA">
              <w:rPr>
                <w:rStyle w:val="Refdenotaalpie"/>
                <w:rFonts w:ascii="Arial" w:hAnsi="Arial" w:cs="Arial"/>
                <w:b/>
                <w:bCs/>
                <w:color w:val="FFFFFF"/>
                <w:lang w:val="es-CO" w:eastAsia="es-CO"/>
              </w:rPr>
              <w:footnoteReference w:id="16"/>
            </w:r>
          </w:p>
        </w:tc>
      </w:tr>
      <w:tr w:rsidR="008F1CC9" w:rsidRPr="00767A5C" w14:paraId="3EC5B498" w14:textId="77777777" w:rsidTr="009B15E7">
        <w:trPr>
          <w:trHeight w:val="240"/>
          <w:jc w:val="center"/>
        </w:trPr>
        <w:tc>
          <w:tcPr>
            <w:tcW w:w="2000" w:type="pct"/>
            <w:tcBorders>
              <w:top w:val="single" w:sz="4" w:space="0" w:color="FFFFFF"/>
              <w:left w:val="single" w:sz="4" w:space="0" w:color="FFFFFF"/>
              <w:right w:val="single" w:sz="4" w:space="0" w:color="3366CC"/>
            </w:tcBorders>
            <w:shd w:val="clear" w:color="auto" w:fill="3366CC"/>
            <w:hideMark/>
          </w:tcPr>
          <w:p w14:paraId="7BCA7661" w14:textId="77777777" w:rsidR="008F1CC9" w:rsidRPr="00767A5C" w:rsidRDefault="008F1CC9" w:rsidP="00767A5C">
            <w:pPr>
              <w:rPr>
                <w:rFonts w:ascii="Arial" w:hAnsi="Arial" w:cs="Arial"/>
                <w:b/>
                <w:bCs/>
                <w:color w:val="FFFFFF"/>
                <w:lang w:val="es-CO" w:eastAsia="es-CO"/>
              </w:rPr>
            </w:pPr>
            <w:r w:rsidRPr="00767A5C">
              <w:rPr>
                <w:rFonts w:ascii="Arial" w:hAnsi="Arial" w:cs="Arial"/>
                <w:b/>
                <w:bCs/>
                <w:color w:val="FFFFFF"/>
                <w:lang w:val="es-CO" w:eastAsia="es-CO"/>
              </w:rPr>
              <w:t xml:space="preserve">31 de marzo </w:t>
            </w:r>
          </w:p>
        </w:tc>
        <w:tc>
          <w:tcPr>
            <w:tcW w:w="3000" w:type="pct"/>
            <w:tcBorders>
              <w:top w:val="single" w:sz="4" w:space="0" w:color="3366CC"/>
              <w:left w:val="single" w:sz="4" w:space="0" w:color="3366CC"/>
              <w:bottom w:val="single" w:sz="4" w:space="0" w:color="3366CC"/>
              <w:right w:val="single" w:sz="4" w:space="0" w:color="3366CC"/>
            </w:tcBorders>
            <w:shd w:val="clear" w:color="auto" w:fill="FFFFFF" w:themeFill="background1"/>
            <w:hideMark/>
          </w:tcPr>
          <w:p w14:paraId="212C6259" w14:textId="77777777" w:rsidR="008F1CC9" w:rsidRPr="00767A5C" w:rsidRDefault="008F1CC9" w:rsidP="00767A5C">
            <w:pPr>
              <w:rPr>
                <w:rFonts w:ascii="Arial" w:hAnsi="Arial" w:cs="Arial"/>
                <w:lang w:val="es-CO" w:eastAsia="es-CO"/>
              </w:rPr>
            </w:pPr>
            <w:r w:rsidRPr="00767A5C">
              <w:rPr>
                <w:rFonts w:ascii="Arial" w:hAnsi="Arial" w:cs="Arial"/>
                <w:lang w:val="es-CO" w:eastAsia="es-CO"/>
              </w:rPr>
              <w:t>30 de abril</w:t>
            </w:r>
          </w:p>
        </w:tc>
      </w:tr>
      <w:tr w:rsidR="008F1CC9" w:rsidRPr="00767A5C" w14:paraId="12665411" w14:textId="77777777" w:rsidTr="009B15E7">
        <w:trPr>
          <w:trHeight w:val="240"/>
          <w:jc w:val="center"/>
        </w:trPr>
        <w:tc>
          <w:tcPr>
            <w:tcW w:w="2000" w:type="pct"/>
            <w:tcBorders>
              <w:left w:val="single" w:sz="4" w:space="0" w:color="FFFFFF"/>
              <w:right w:val="single" w:sz="4" w:space="0" w:color="3366CC"/>
            </w:tcBorders>
            <w:shd w:val="clear" w:color="auto" w:fill="3366CC"/>
            <w:hideMark/>
          </w:tcPr>
          <w:p w14:paraId="41ADF0E7" w14:textId="77777777" w:rsidR="008F1CC9" w:rsidRPr="00767A5C" w:rsidRDefault="008F1CC9" w:rsidP="00767A5C">
            <w:pPr>
              <w:rPr>
                <w:rFonts w:ascii="Arial" w:hAnsi="Arial" w:cs="Arial"/>
                <w:b/>
                <w:bCs/>
                <w:color w:val="FFFFFF"/>
                <w:lang w:val="es-CO" w:eastAsia="es-CO"/>
              </w:rPr>
            </w:pPr>
            <w:r w:rsidRPr="00767A5C">
              <w:rPr>
                <w:rFonts w:ascii="Arial" w:hAnsi="Arial" w:cs="Arial"/>
                <w:b/>
                <w:bCs/>
                <w:color w:val="FFFFFF"/>
                <w:lang w:val="es-CO" w:eastAsia="es-CO"/>
              </w:rPr>
              <w:t xml:space="preserve">30 de junio </w:t>
            </w:r>
          </w:p>
        </w:tc>
        <w:tc>
          <w:tcPr>
            <w:tcW w:w="3000" w:type="pct"/>
            <w:tcBorders>
              <w:top w:val="single" w:sz="4" w:space="0" w:color="3366CC"/>
              <w:left w:val="single" w:sz="4" w:space="0" w:color="3366CC"/>
              <w:bottom w:val="single" w:sz="4" w:space="0" w:color="3366CC"/>
              <w:right w:val="single" w:sz="4" w:space="0" w:color="3366CC"/>
            </w:tcBorders>
            <w:shd w:val="clear" w:color="auto" w:fill="FFFFFF" w:themeFill="background1"/>
            <w:hideMark/>
          </w:tcPr>
          <w:p w14:paraId="48FFA4E9" w14:textId="77777777" w:rsidR="008F1CC9" w:rsidRPr="00767A5C" w:rsidRDefault="008F1CC9" w:rsidP="00767A5C">
            <w:pPr>
              <w:rPr>
                <w:rFonts w:ascii="Arial" w:hAnsi="Arial" w:cs="Arial"/>
                <w:lang w:val="es-CO" w:eastAsia="es-CO"/>
              </w:rPr>
            </w:pPr>
            <w:r w:rsidRPr="00767A5C">
              <w:rPr>
                <w:rFonts w:ascii="Arial" w:hAnsi="Arial" w:cs="Arial"/>
                <w:lang w:val="es-CO" w:eastAsia="es-CO"/>
              </w:rPr>
              <w:t>31 de julio</w:t>
            </w:r>
          </w:p>
        </w:tc>
      </w:tr>
      <w:tr w:rsidR="008F1CC9" w:rsidRPr="00767A5C" w14:paraId="22EB5A36" w14:textId="77777777" w:rsidTr="009B15E7">
        <w:trPr>
          <w:trHeight w:val="240"/>
          <w:jc w:val="center"/>
        </w:trPr>
        <w:tc>
          <w:tcPr>
            <w:tcW w:w="2000" w:type="pct"/>
            <w:tcBorders>
              <w:left w:val="single" w:sz="4" w:space="0" w:color="FFFFFF"/>
              <w:right w:val="single" w:sz="4" w:space="0" w:color="3366CC"/>
            </w:tcBorders>
            <w:shd w:val="clear" w:color="auto" w:fill="3366CC"/>
            <w:hideMark/>
          </w:tcPr>
          <w:p w14:paraId="7AB3C658" w14:textId="77777777" w:rsidR="008F1CC9" w:rsidRPr="00767A5C" w:rsidRDefault="008F1CC9" w:rsidP="00767A5C">
            <w:pPr>
              <w:rPr>
                <w:rFonts w:ascii="Arial" w:hAnsi="Arial" w:cs="Arial"/>
                <w:b/>
                <w:bCs/>
                <w:color w:val="FFFFFF"/>
                <w:lang w:val="es-CO" w:eastAsia="es-CO"/>
              </w:rPr>
            </w:pPr>
            <w:r w:rsidRPr="00767A5C">
              <w:rPr>
                <w:rFonts w:ascii="Arial" w:hAnsi="Arial" w:cs="Arial"/>
                <w:b/>
                <w:bCs/>
                <w:color w:val="FFFFFF"/>
                <w:lang w:val="es-CO" w:eastAsia="es-CO"/>
              </w:rPr>
              <w:t>30 de septiembre</w:t>
            </w:r>
          </w:p>
        </w:tc>
        <w:tc>
          <w:tcPr>
            <w:tcW w:w="3000" w:type="pct"/>
            <w:tcBorders>
              <w:top w:val="single" w:sz="4" w:space="0" w:color="3366CC"/>
              <w:left w:val="single" w:sz="4" w:space="0" w:color="3366CC"/>
              <w:bottom w:val="single" w:sz="4" w:space="0" w:color="3366CC"/>
              <w:right w:val="single" w:sz="4" w:space="0" w:color="3366CC"/>
            </w:tcBorders>
            <w:shd w:val="clear" w:color="auto" w:fill="FFFFFF" w:themeFill="background1"/>
            <w:hideMark/>
          </w:tcPr>
          <w:p w14:paraId="5DCD2AAF" w14:textId="77777777" w:rsidR="008F1CC9" w:rsidRPr="00767A5C" w:rsidRDefault="008F1CC9" w:rsidP="00767A5C">
            <w:pPr>
              <w:rPr>
                <w:rFonts w:ascii="Arial" w:hAnsi="Arial" w:cs="Arial"/>
                <w:lang w:val="es-CO" w:eastAsia="es-CO"/>
              </w:rPr>
            </w:pPr>
            <w:r w:rsidRPr="00767A5C">
              <w:rPr>
                <w:rFonts w:ascii="Arial" w:hAnsi="Arial" w:cs="Arial"/>
                <w:lang w:val="es-CO" w:eastAsia="es-CO"/>
              </w:rPr>
              <w:t>31 de octubre</w:t>
            </w:r>
          </w:p>
        </w:tc>
      </w:tr>
      <w:tr w:rsidR="008F1CC9" w:rsidRPr="00767A5C" w14:paraId="10F2C3A7" w14:textId="77777777" w:rsidTr="009B15E7">
        <w:trPr>
          <w:trHeight w:val="240"/>
          <w:jc w:val="center"/>
        </w:trPr>
        <w:tc>
          <w:tcPr>
            <w:tcW w:w="2000" w:type="pct"/>
            <w:tcBorders>
              <w:left w:val="single" w:sz="4" w:space="0" w:color="FFFFFF"/>
              <w:bottom w:val="single" w:sz="4" w:space="0" w:color="FFFFFF"/>
              <w:right w:val="single" w:sz="4" w:space="0" w:color="3366CC"/>
            </w:tcBorders>
            <w:shd w:val="clear" w:color="auto" w:fill="3366CC"/>
            <w:hideMark/>
          </w:tcPr>
          <w:p w14:paraId="39F08CE7" w14:textId="77777777" w:rsidR="008F1CC9" w:rsidRPr="00767A5C" w:rsidRDefault="008F1CC9" w:rsidP="00767A5C">
            <w:pPr>
              <w:rPr>
                <w:rFonts w:ascii="Arial" w:hAnsi="Arial" w:cs="Arial"/>
                <w:b/>
                <w:bCs/>
                <w:color w:val="FFFFFF"/>
                <w:lang w:val="es-CO" w:eastAsia="es-CO"/>
              </w:rPr>
            </w:pPr>
            <w:r w:rsidRPr="00767A5C">
              <w:rPr>
                <w:rFonts w:ascii="Arial" w:hAnsi="Arial" w:cs="Arial"/>
                <w:b/>
                <w:bCs/>
                <w:color w:val="FFFFFF"/>
                <w:lang w:val="es-CO" w:eastAsia="es-CO"/>
              </w:rPr>
              <w:t xml:space="preserve">31 de diciembre </w:t>
            </w:r>
          </w:p>
        </w:tc>
        <w:tc>
          <w:tcPr>
            <w:tcW w:w="3000" w:type="pct"/>
            <w:tcBorders>
              <w:top w:val="single" w:sz="4" w:space="0" w:color="3366CC"/>
              <w:left w:val="single" w:sz="4" w:space="0" w:color="3366CC"/>
              <w:bottom w:val="single" w:sz="4" w:space="0" w:color="3366CC"/>
              <w:right w:val="single" w:sz="4" w:space="0" w:color="3366CC"/>
            </w:tcBorders>
            <w:shd w:val="clear" w:color="auto" w:fill="FFFFFF" w:themeFill="background1"/>
            <w:hideMark/>
          </w:tcPr>
          <w:p w14:paraId="5C5A581A" w14:textId="77777777" w:rsidR="008F1CC9" w:rsidRPr="00767A5C" w:rsidRDefault="008F1CC9" w:rsidP="00C23CAA">
            <w:pPr>
              <w:rPr>
                <w:rFonts w:ascii="Arial" w:hAnsi="Arial" w:cs="Arial"/>
                <w:lang w:val="es-CO" w:eastAsia="es-CO"/>
              </w:rPr>
            </w:pPr>
            <w:r w:rsidRPr="00767A5C">
              <w:rPr>
                <w:rFonts w:ascii="Arial" w:hAnsi="Arial" w:cs="Arial"/>
                <w:lang w:val="es-CO" w:eastAsia="es-CO"/>
              </w:rPr>
              <w:t>15 de febrero del año siguiente al del período contable</w:t>
            </w:r>
          </w:p>
        </w:tc>
      </w:tr>
    </w:tbl>
    <w:p w14:paraId="4C4887DA" w14:textId="480650AF" w:rsidR="008F1CC9" w:rsidRDefault="008F1CC9" w:rsidP="00761A55"/>
    <w:p w14:paraId="35522B5B" w14:textId="35FC6DA7" w:rsidR="00821530" w:rsidRPr="00CC4043" w:rsidRDefault="00821530" w:rsidP="00CC4043">
      <w:pPr>
        <w:pStyle w:val="nueve"/>
        <w:spacing w:before="0" w:beforeAutospacing="0" w:after="0" w:afterAutospacing="0" w:line="288" w:lineRule="auto"/>
        <w:jc w:val="both"/>
        <w:rPr>
          <w:sz w:val="22"/>
          <w:szCs w:val="22"/>
        </w:rPr>
      </w:pPr>
      <w:r w:rsidRPr="00CC4043">
        <w:rPr>
          <w:rFonts w:ascii="Arial" w:hAnsi="Arial" w:cs="Arial"/>
          <w:bCs/>
          <w:color w:val="000000"/>
          <w:sz w:val="22"/>
          <w:szCs w:val="22"/>
        </w:rPr>
        <w:t>Los </w:t>
      </w:r>
      <w:r w:rsidRPr="00CC4043">
        <w:rPr>
          <w:rFonts w:ascii="Arial" w:hAnsi="Arial" w:cs="Arial"/>
          <w:b/>
          <w:bCs/>
          <w:color w:val="000000"/>
          <w:sz w:val="22"/>
          <w:szCs w:val="22"/>
        </w:rPr>
        <w:t>f</w:t>
      </w:r>
      <w:r w:rsidR="00391A35" w:rsidRPr="00EB7709">
        <w:rPr>
          <w:rFonts w:ascii="Arial" w:hAnsi="Arial" w:cs="Arial"/>
          <w:b/>
          <w:bCs/>
          <w:color w:val="000000"/>
          <w:sz w:val="22"/>
          <w:szCs w:val="22"/>
        </w:rPr>
        <w:t>ormularios de la categoría I</w:t>
      </w:r>
      <w:r w:rsidRPr="00CC4043">
        <w:rPr>
          <w:rFonts w:ascii="Arial" w:hAnsi="Arial" w:cs="Arial"/>
          <w:b/>
          <w:bCs/>
          <w:color w:val="000000"/>
          <w:sz w:val="22"/>
          <w:szCs w:val="22"/>
        </w:rPr>
        <w:t xml:space="preserve">nformación </w:t>
      </w:r>
      <w:r w:rsidR="00391A35" w:rsidRPr="00EB7709">
        <w:rPr>
          <w:rFonts w:ascii="Arial" w:hAnsi="Arial" w:cs="Arial"/>
          <w:b/>
          <w:bCs/>
          <w:color w:val="000000"/>
          <w:sz w:val="22"/>
          <w:szCs w:val="22"/>
        </w:rPr>
        <w:t>C</w:t>
      </w:r>
      <w:r w:rsidR="00391A35" w:rsidRPr="00261FFB">
        <w:rPr>
          <w:rFonts w:ascii="Arial" w:hAnsi="Arial" w:cs="Arial"/>
          <w:b/>
          <w:bCs/>
          <w:color w:val="000000"/>
          <w:sz w:val="22"/>
          <w:szCs w:val="22"/>
        </w:rPr>
        <w:t>ontable P</w:t>
      </w:r>
      <w:r w:rsidRPr="00CC4043">
        <w:rPr>
          <w:rFonts w:ascii="Arial" w:hAnsi="Arial" w:cs="Arial"/>
          <w:b/>
          <w:bCs/>
          <w:color w:val="000000"/>
          <w:sz w:val="22"/>
          <w:szCs w:val="22"/>
        </w:rPr>
        <w:t xml:space="preserve">ública – </w:t>
      </w:r>
      <w:r w:rsidR="00391A35">
        <w:rPr>
          <w:rFonts w:ascii="Arial" w:hAnsi="Arial" w:cs="Arial"/>
          <w:b/>
          <w:bCs/>
          <w:color w:val="000000"/>
          <w:sz w:val="22"/>
          <w:szCs w:val="22"/>
        </w:rPr>
        <w:t>C</w:t>
      </w:r>
      <w:r w:rsidRPr="00CC4043">
        <w:rPr>
          <w:rFonts w:ascii="Arial" w:hAnsi="Arial" w:cs="Arial"/>
          <w:b/>
          <w:bCs/>
          <w:color w:val="000000"/>
          <w:sz w:val="22"/>
          <w:szCs w:val="22"/>
        </w:rPr>
        <w:t>onvergencia</w:t>
      </w:r>
      <w:r w:rsidRPr="00EB7709">
        <w:rPr>
          <w:rFonts w:ascii="Arial" w:hAnsi="Arial" w:cs="Arial"/>
          <w:bCs/>
          <w:color w:val="000000"/>
          <w:sz w:val="22"/>
          <w:szCs w:val="22"/>
        </w:rPr>
        <w:t>,</w:t>
      </w:r>
      <w:r>
        <w:rPr>
          <w:rFonts w:ascii="Arial" w:hAnsi="Arial" w:cs="Arial"/>
          <w:bCs/>
          <w:color w:val="000000"/>
          <w:sz w:val="22"/>
          <w:szCs w:val="22"/>
        </w:rPr>
        <w:t xml:space="preserve"> s</w:t>
      </w:r>
      <w:r w:rsidRPr="00CC4043">
        <w:rPr>
          <w:rFonts w:ascii="Arial" w:hAnsi="Arial" w:cs="Arial"/>
          <w:color w:val="000000"/>
          <w:sz w:val="22"/>
          <w:szCs w:val="22"/>
        </w:rPr>
        <w:t xml:space="preserve">on los medios a través de los cuales las entidades públicas reportan la información financiera de naturaleza cuantitativa y cualitativa, que se integran teniendo en </w:t>
      </w:r>
      <w:r w:rsidR="00B03C8C">
        <w:rPr>
          <w:rFonts w:ascii="Arial" w:hAnsi="Arial" w:cs="Arial"/>
          <w:color w:val="000000"/>
          <w:sz w:val="22"/>
          <w:szCs w:val="22"/>
        </w:rPr>
        <w:tab/>
      </w:r>
      <w:r w:rsidRPr="00CC4043">
        <w:rPr>
          <w:rFonts w:ascii="Arial" w:hAnsi="Arial" w:cs="Arial"/>
          <w:color w:val="000000"/>
          <w:sz w:val="22"/>
          <w:szCs w:val="22"/>
        </w:rPr>
        <w:t>cuenta la agrupación de conceptos y variables, en aplicación de los nuevos marcos normativos.</w:t>
      </w:r>
    </w:p>
    <w:p w14:paraId="0F50A2F0" w14:textId="77777777" w:rsidR="00821530" w:rsidRDefault="00821530" w:rsidP="00AD11B7">
      <w:pPr>
        <w:spacing w:line="288" w:lineRule="auto"/>
        <w:jc w:val="both"/>
        <w:rPr>
          <w:rFonts w:ascii="Arial" w:hAnsi="Arial" w:cs="Arial"/>
          <w:color w:val="000000"/>
          <w:sz w:val="22"/>
          <w:szCs w:val="22"/>
          <w:lang w:val="es-CO" w:eastAsia="es-CO"/>
        </w:rPr>
      </w:pPr>
      <w:bookmarkStart w:id="210" w:name="6"/>
    </w:p>
    <w:p w14:paraId="15909A27" w14:textId="58042C14" w:rsidR="004A65CA" w:rsidRPr="00AD11B7" w:rsidRDefault="004A65CA" w:rsidP="00AD11B7">
      <w:pPr>
        <w:spacing w:line="288" w:lineRule="auto"/>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 xml:space="preserve">Los formularios de la categoría </w:t>
      </w:r>
      <w:r w:rsidR="00CD08C0" w:rsidRPr="00AD11B7">
        <w:rPr>
          <w:rFonts w:ascii="Arial" w:hAnsi="Arial" w:cs="Arial"/>
          <w:color w:val="000000"/>
          <w:sz w:val="22"/>
          <w:szCs w:val="22"/>
          <w:lang w:val="es-CO" w:eastAsia="es-CO"/>
        </w:rPr>
        <w:t xml:space="preserve">Información Contable Pública – Convergencia </w:t>
      </w:r>
      <w:r w:rsidRPr="00AD11B7">
        <w:rPr>
          <w:rFonts w:ascii="Arial" w:hAnsi="Arial" w:cs="Arial"/>
          <w:color w:val="000000"/>
          <w:sz w:val="22"/>
          <w:szCs w:val="22"/>
          <w:lang w:val="es-CO" w:eastAsia="es-CO"/>
        </w:rPr>
        <w:t>que deben ser transmitidos por el Ministerio de Hacienda y Crédito Público, son</w:t>
      </w:r>
      <w:r w:rsidR="00A116FE">
        <w:rPr>
          <w:rStyle w:val="Refdenotaalpie"/>
          <w:rFonts w:ascii="Arial" w:hAnsi="Arial" w:cs="Arial"/>
          <w:color w:val="000000"/>
          <w:sz w:val="22"/>
          <w:szCs w:val="22"/>
          <w:lang w:val="es-CO" w:eastAsia="es-CO"/>
        </w:rPr>
        <w:footnoteReference w:id="17"/>
      </w:r>
      <w:r w:rsidRPr="00AD11B7">
        <w:rPr>
          <w:rFonts w:ascii="Arial" w:hAnsi="Arial" w:cs="Arial"/>
          <w:color w:val="000000"/>
          <w:sz w:val="22"/>
          <w:szCs w:val="22"/>
          <w:lang w:val="es-CO" w:eastAsia="es-CO"/>
        </w:rPr>
        <w:t xml:space="preserve">: </w:t>
      </w:r>
    </w:p>
    <w:p w14:paraId="6776897B" w14:textId="77777777" w:rsidR="004A65CA" w:rsidRPr="00AD11B7" w:rsidRDefault="004A65CA" w:rsidP="00AD11B7">
      <w:pPr>
        <w:spacing w:line="288" w:lineRule="auto"/>
        <w:jc w:val="both"/>
        <w:rPr>
          <w:rFonts w:ascii="Arial" w:hAnsi="Arial" w:cs="Arial"/>
          <w:b/>
          <w:bCs/>
          <w:color w:val="E5842C"/>
          <w:sz w:val="22"/>
          <w:szCs w:val="22"/>
          <w:bdr w:val="none" w:sz="0" w:space="0" w:color="auto" w:frame="1"/>
          <w:lang w:val="es-CO" w:eastAsia="es-CO"/>
        </w:rPr>
      </w:pPr>
    </w:p>
    <w:bookmarkEnd w:id="210"/>
    <w:p w14:paraId="4985202E" w14:textId="77777777" w:rsidR="004A65CA" w:rsidRPr="00AD11B7" w:rsidRDefault="004A65CA" w:rsidP="00343ECE">
      <w:pPr>
        <w:numPr>
          <w:ilvl w:val="1"/>
          <w:numId w:val="36"/>
        </w:numPr>
        <w:spacing w:line="288" w:lineRule="auto"/>
        <w:ind w:left="142" w:hanging="142"/>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CGN2015_001_SALDOS_Y_MOVIMIENTOS_CONVERGENCIA</w:t>
      </w:r>
    </w:p>
    <w:p w14:paraId="13305F27" w14:textId="77777777" w:rsidR="004A65CA" w:rsidRPr="00AD11B7" w:rsidRDefault="004A65CA" w:rsidP="00343ECE">
      <w:pPr>
        <w:numPr>
          <w:ilvl w:val="1"/>
          <w:numId w:val="36"/>
        </w:numPr>
        <w:spacing w:line="288" w:lineRule="auto"/>
        <w:ind w:left="142" w:hanging="142"/>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CGN2015_002_OPERACIONES_RECIPROCAS_CONVERGENCIA</w:t>
      </w:r>
    </w:p>
    <w:p w14:paraId="41BF17DC" w14:textId="4175962E" w:rsidR="004A65CA" w:rsidRPr="00AD11B7" w:rsidRDefault="004A65CA" w:rsidP="00343ECE">
      <w:pPr>
        <w:numPr>
          <w:ilvl w:val="1"/>
          <w:numId w:val="36"/>
        </w:numPr>
        <w:spacing w:line="288" w:lineRule="auto"/>
        <w:ind w:left="142" w:hanging="142"/>
        <w:jc w:val="both"/>
        <w:rPr>
          <w:rFonts w:ascii="Arial" w:hAnsi="Arial" w:cs="Arial"/>
          <w:color w:val="000000"/>
          <w:sz w:val="22"/>
          <w:szCs w:val="22"/>
          <w:lang w:val="es-CO" w:eastAsia="es-CO"/>
        </w:rPr>
      </w:pPr>
      <w:r w:rsidRPr="00AD11B7">
        <w:rPr>
          <w:rFonts w:ascii="Arial" w:hAnsi="Arial" w:cs="Arial"/>
          <w:color w:val="000000"/>
          <w:sz w:val="22"/>
          <w:szCs w:val="22"/>
          <w:lang w:val="es-CO" w:eastAsia="es-CO"/>
        </w:rPr>
        <w:t>CGN2016C01_VARIACIONES_TRIMESTRALES_SIGNIFICATIVAS</w:t>
      </w:r>
      <w:r w:rsidR="00A116FE">
        <w:rPr>
          <w:rStyle w:val="Refdenotaalpie"/>
          <w:rFonts w:ascii="Arial" w:hAnsi="Arial" w:cs="Arial"/>
          <w:color w:val="000000"/>
          <w:sz w:val="22"/>
          <w:szCs w:val="22"/>
          <w:lang w:val="es-CO" w:eastAsia="es-CO"/>
        </w:rPr>
        <w:footnoteReference w:id="18"/>
      </w:r>
    </w:p>
    <w:p w14:paraId="5B0331B4" w14:textId="67600381" w:rsidR="004A65CA" w:rsidRDefault="004A65CA" w:rsidP="00AD11B7">
      <w:pPr>
        <w:spacing w:line="288" w:lineRule="auto"/>
        <w:jc w:val="both"/>
        <w:rPr>
          <w:rFonts w:ascii="Arial" w:hAnsi="Arial" w:cs="Arial"/>
          <w:color w:val="000000"/>
          <w:sz w:val="22"/>
          <w:szCs w:val="22"/>
          <w:lang w:val="es-CO" w:eastAsia="es-CO"/>
        </w:rPr>
      </w:pPr>
    </w:p>
    <w:p w14:paraId="0138AEFA" w14:textId="0B235BA2" w:rsidR="004E32E8" w:rsidRDefault="0067059B" w:rsidP="00AD11B7">
      <w:pPr>
        <w:spacing w:line="288" w:lineRule="auto"/>
        <w:jc w:val="both"/>
        <w:rPr>
          <w:rFonts w:ascii="Arial" w:hAnsi="Arial" w:cs="Arial"/>
          <w:sz w:val="22"/>
          <w:szCs w:val="22"/>
        </w:rPr>
      </w:pPr>
      <w:r w:rsidRPr="0067059B">
        <w:rPr>
          <w:rFonts w:ascii="Arial" w:hAnsi="Arial" w:cs="Arial"/>
          <w:color w:val="000000"/>
          <w:sz w:val="22"/>
          <w:szCs w:val="22"/>
          <w:lang w:val="es-CO" w:eastAsia="es-CO"/>
        </w:rPr>
        <w:t>De acuerdo con lo definido por la Contaduría General de la Naci</w:t>
      </w:r>
      <w:r w:rsidRPr="004E32E8">
        <w:rPr>
          <w:rFonts w:ascii="Arial" w:hAnsi="Arial" w:cs="Arial"/>
          <w:color w:val="000000"/>
          <w:sz w:val="22"/>
          <w:szCs w:val="22"/>
          <w:lang w:val="es-CO" w:eastAsia="es-CO"/>
        </w:rPr>
        <w:t xml:space="preserve">ón el formulario </w:t>
      </w:r>
      <w:r w:rsidRPr="00DE1B37">
        <w:rPr>
          <w:rFonts w:ascii="Arial" w:hAnsi="Arial" w:cs="Arial"/>
          <w:b/>
          <w:color w:val="000000"/>
          <w:sz w:val="22"/>
          <w:szCs w:val="22"/>
          <w:lang w:val="es-CO" w:eastAsia="es-CO"/>
        </w:rPr>
        <w:t>CGN2015_001_SALDOS_Y_MOVIMIENTOS_CONVERGENCIA</w:t>
      </w:r>
      <w:r w:rsidRPr="0067059B">
        <w:rPr>
          <w:rFonts w:ascii="Arial" w:hAnsi="Arial" w:cs="Arial"/>
          <w:b/>
          <w:color w:val="000000"/>
          <w:sz w:val="22"/>
          <w:szCs w:val="22"/>
          <w:lang w:val="es-CO" w:eastAsia="es-CO"/>
        </w:rPr>
        <w:t xml:space="preserve"> </w:t>
      </w:r>
      <w:r w:rsidR="00085360">
        <w:rPr>
          <w:rFonts w:ascii="Arial" w:hAnsi="Arial" w:cs="Arial"/>
          <w:color w:val="000000"/>
          <w:sz w:val="22"/>
          <w:szCs w:val="22"/>
          <w:lang w:val="es-CO" w:eastAsia="es-CO"/>
        </w:rPr>
        <w:t>se</w:t>
      </w:r>
      <w:r w:rsidRPr="00DE1B37">
        <w:rPr>
          <w:rFonts w:ascii="Arial" w:hAnsi="Arial" w:cs="Arial"/>
          <w:sz w:val="22"/>
          <w:szCs w:val="22"/>
        </w:rPr>
        <w:t xml:space="preserve"> utiliza para reportar la información contable correspondiente al saldo inicial, movimientos débito y crédito y saldo final, en las fechas de corte y por cada trimestre definido. El saldo final se discrimina en porción corriente y no corriente. </w:t>
      </w:r>
    </w:p>
    <w:p w14:paraId="5CE4F6C5" w14:textId="77777777" w:rsidR="004E32E8" w:rsidRDefault="004E32E8" w:rsidP="00AD11B7">
      <w:pPr>
        <w:spacing w:line="288" w:lineRule="auto"/>
        <w:jc w:val="both"/>
        <w:rPr>
          <w:rFonts w:ascii="Arial" w:hAnsi="Arial" w:cs="Arial"/>
          <w:sz w:val="22"/>
          <w:szCs w:val="22"/>
        </w:rPr>
      </w:pPr>
    </w:p>
    <w:p w14:paraId="69734BFE" w14:textId="1EDE9ACA" w:rsidR="0067059B" w:rsidRPr="0067059B" w:rsidRDefault="0067059B" w:rsidP="00AD11B7">
      <w:pPr>
        <w:spacing w:line="288" w:lineRule="auto"/>
        <w:jc w:val="both"/>
        <w:rPr>
          <w:rFonts w:ascii="Arial" w:hAnsi="Arial" w:cs="Arial"/>
          <w:color w:val="000000"/>
          <w:sz w:val="22"/>
          <w:szCs w:val="22"/>
          <w:lang w:val="es-CO" w:eastAsia="es-CO"/>
        </w:rPr>
      </w:pPr>
      <w:r w:rsidRPr="00DE1B37">
        <w:rPr>
          <w:rFonts w:ascii="Arial" w:hAnsi="Arial" w:cs="Arial"/>
          <w:sz w:val="22"/>
          <w:szCs w:val="22"/>
        </w:rPr>
        <w:t xml:space="preserve">El saldo inicial corresponde al saldo final del trimestre inmediatamente anterior, el cual se cruza de forma automática por el Sistema CHIP en el momento del envío. La sumatoria de los movimientos débito debe ser igual a la sumatoria de los movimientos crédito. Los saldos </w:t>
      </w:r>
      <w:r w:rsidRPr="00DE1B37">
        <w:rPr>
          <w:rFonts w:ascii="Arial" w:hAnsi="Arial" w:cs="Arial"/>
          <w:sz w:val="22"/>
          <w:szCs w:val="22"/>
        </w:rPr>
        <w:lastRenderedPageBreak/>
        <w:t xml:space="preserve">al final de cada trimestre deben conservar la ecuación contable, y constituyen el balance de prueba. </w:t>
      </w:r>
      <w:r w:rsidRPr="0067059B">
        <w:rPr>
          <w:rFonts w:ascii="Arial" w:hAnsi="Arial" w:cs="Arial"/>
          <w:color w:val="000000"/>
          <w:sz w:val="22"/>
          <w:szCs w:val="22"/>
          <w:lang w:val="es-CO" w:eastAsia="es-CO"/>
        </w:rPr>
        <w:t xml:space="preserve"> </w:t>
      </w:r>
    </w:p>
    <w:p w14:paraId="7CFE0AED" w14:textId="0A3F3467" w:rsidR="0067059B" w:rsidRDefault="0067059B" w:rsidP="00AD11B7">
      <w:pPr>
        <w:spacing w:line="288" w:lineRule="auto"/>
        <w:jc w:val="both"/>
        <w:rPr>
          <w:rFonts w:ascii="Arial" w:hAnsi="Arial" w:cs="Arial"/>
          <w:color w:val="000000"/>
          <w:sz w:val="22"/>
          <w:szCs w:val="22"/>
          <w:lang w:val="es-CO" w:eastAsia="es-CO"/>
        </w:rPr>
      </w:pPr>
    </w:p>
    <w:p w14:paraId="66D9F9E5" w14:textId="12B3287E" w:rsidR="006F7910" w:rsidRPr="00DE1B37" w:rsidRDefault="006F7910" w:rsidP="00055B9F">
      <w:pPr>
        <w:spacing w:line="288" w:lineRule="auto"/>
        <w:jc w:val="both"/>
        <w:rPr>
          <w:rFonts w:ascii="Arial" w:hAnsi="Arial" w:cs="Arial"/>
          <w:sz w:val="22"/>
          <w:szCs w:val="22"/>
        </w:rPr>
      </w:pPr>
      <w:r w:rsidRPr="00055B9F">
        <w:rPr>
          <w:rFonts w:ascii="Arial" w:hAnsi="Arial" w:cs="Arial"/>
          <w:color w:val="000000"/>
          <w:sz w:val="22"/>
          <w:szCs w:val="22"/>
          <w:lang w:val="es-CO" w:eastAsia="es-CO"/>
        </w:rPr>
        <w:t xml:space="preserve">Por su parte, el </w:t>
      </w:r>
      <w:r w:rsidR="00055B9F" w:rsidRPr="00055B9F">
        <w:rPr>
          <w:rFonts w:ascii="Arial" w:hAnsi="Arial" w:cs="Arial"/>
          <w:color w:val="000000"/>
          <w:sz w:val="22"/>
          <w:szCs w:val="22"/>
          <w:lang w:val="es-CO" w:eastAsia="es-CO"/>
        </w:rPr>
        <w:t xml:space="preserve">formulario </w:t>
      </w:r>
      <w:r w:rsidR="00055B9F" w:rsidRPr="00DE1B37">
        <w:rPr>
          <w:rFonts w:ascii="Arial" w:hAnsi="Arial" w:cs="Arial"/>
          <w:b/>
          <w:color w:val="000000"/>
          <w:sz w:val="22"/>
          <w:szCs w:val="22"/>
          <w:lang w:val="es-CO" w:eastAsia="es-CO"/>
        </w:rPr>
        <w:t>CGN2015_002_OPERACIONES_RECIPROCAS_CONVERGENCIA</w:t>
      </w:r>
      <w:r w:rsidR="00055B9F" w:rsidRPr="00055B9F">
        <w:rPr>
          <w:rFonts w:ascii="Arial" w:hAnsi="Arial" w:cs="Arial"/>
          <w:color w:val="000000"/>
          <w:sz w:val="22"/>
          <w:szCs w:val="22"/>
          <w:lang w:val="es-CO" w:eastAsia="es-CO"/>
        </w:rPr>
        <w:t xml:space="preserve"> s</w:t>
      </w:r>
      <w:proofErr w:type="spellStart"/>
      <w:r w:rsidR="00055B9F" w:rsidRPr="00DE1B37">
        <w:rPr>
          <w:rFonts w:ascii="Arial" w:hAnsi="Arial" w:cs="Arial"/>
          <w:sz w:val="22"/>
          <w:szCs w:val="22"/>
        </w:rPr>
        <w:t>e</w:t>
      </w:r>
      <w:proofErr w:type="spellEnd"/>
      <w:r w:rsidRPr="00DE1B37">
        <w:rPr>
          <w:rFonts w:ascii="Arial" w:hAnsi="Arial" w:cs="Arial"/>
          <w:sz w:val="22"/>
          <w:szCs w:val="22"/>
        </w:rPr>
        <w:t xml:space="preserve"> utiliza para reportar los saldos de las transacciones realizadas entre entidades que reportan, los cuales están asociados con activos, pasivos, ingresos, gastos y costos de ventas, que son objeto de eliminación en el proceso de consolidación, de acuerdo con las</w:t>
      </w:r>
      <w:r w:rsidR="00626435">
        <w:rPr>
          <w:rFonts w:ascii="Arial" w:hAnsi="Arial" w:cs="Arial"/>
          <w:sz w:val="22"/>
          <w:szCs w:val="22"/>
        </w:rPr>
        <w:t xml:space="preserve"> directrices y r</w:t>
      </w:r>
      <w:r w:rsidRPr="00DE1B37">
        <w:rPr>
          <w:rFonts w:ascii="Arial" w:hAnsi="Arial" w:cs="Arial"/>
          <w:sz w:val="22"/>
          <w:szCs w:val="22"/>
        </w:rPr>
        <w:t>eglas de eliminación definidas por la CGN</w:t>
      </w:r>
      <w:r w:rsidR="00626435">
        <w:rPr>
          <w:rFonts w:ascii="Arial" w:hAnsi="Arial" w:cs="Arial"/>
          <w:sz w:val="22"/>
          <w:szCs w:val="22"/>
        </w:rPr>
        <w:t>.</w:t>
      </w:r>
    </w:p>
    <w:p w14:paraId="1905075A" w14:textId="79D85B26" w:rsidR="00055B9F" w:rsidRPr="00055B9F" w:rsidRDefault="00055B9F" w:rsidP="00AD11B7">
      <w:pPr>
        <w:spacing w:line="288" w:lineRule="auto"/>
        <w:jc w:val="both"/>
        <w:rPr>
          <w:rFonts w:ascii="Arial" w:hAnsi="Arial" w:cs="Arial"/>
          <w:color w:val="000000"/>
          <w:sz w:val="22"/>
          <w:szCs w:val="22"/>
          <w:lang w:val="es-CO" w:eastAsia="es-CO"/>
        </w:rPr>
      </w:pPr>
    </w:p>
    <w:p w14:paraId="5F6DC3A4" w14:textId="4A1A3274" w:rsidR="00055B9F" w:rsidRDefault="00055B9F" w:rsidP="00AD11B7">
      <w:pPr>
        <w:spacing w:line="288" w:lineRule="auto"/>
        <w:jc w:val="both"/>
        <w:rPr>
          <w:rFonts w:ascii="Arial" w:hAnsi="Arial" w:cs="Arial"/>
          <w:sz w:val="22"/>
          <w:szCs w:val="22"/>
        </w:rPr>
      </w:pPr>
      <w:r>
        <w:rPr>
          <w:rFonts w:ascii="Arial" w:hAnsi="Arial" w:cs="Arial"/>
          <w:color w:val="000000"/>
          <w:sz w:val="22"/>
          <w:szCs w:val="22"/>
          <w:lang w:val="es-CO" w:eastAsia="es-CO"/>
        </w:rPr>
        <w:t xml:space="preserve">El formulario </w:t>
      </w:r>
      <w:r w:rsidRPr="00DE1B37">
        <w:rPr>
          <w:rFonts w:ascii="Arial" w:hAnsi="Arial" w:cs="Arial"/>
          <w:b/>
          <w:color w:val="000000"/>
          <w:sz w:val="22"/>
          <w:szCs w:val="22"/>
          <w:lang w:val="es-CO" w:eastAsia="es-CO"/>
        </w:rPr>
        <w:t>CGN2016C01_VARIACIONES_TRIMESTRALES_SIGNIFICATIVAS</w:t>
      </w:r>
      <w:r w:rsidRPr="00055B9F">
        <w:rPr>
          <w:rFonts w:ascii="Arial" w:hAnsi="Arial" w:cs="Arial"/>
          <w:sz w:val="22"/>
          <w:szCs w:val="22"/>
        </w:rPr>
        <w:t xml:space="preserve"> </w:t>
      </w:r>
      <w:r>
        <w:rPr>
          <w:rFonts w:ascii="Arial" w:hAnsi="Arial" w:cs="Arial"/>
          <w:sz w:val="22"/>
          <w:szCs w:val="22"/>
        </w:rPr>
        <w:t>s</w:t>
      </w:r>
      <w:r w:rsidRPr="00DE1B37">
        <w:rPr>
          <w:rFonts w:ascii="Arial" w:hAnsi="Arial" w:cs="Arial"/>
          <w:sz w:val="22"/>
          <w:szCs w:val="22"/>
        </w:rPr>
        <w:t xml:space="preserve">e utiliza con el propósito de explicar el origen de las variaciones </w:t>
      </w:r>
      <w:r w:rsidR="00667075">
        <w:rPr>
          <w:rFonts w:ascii="Arial" w:hAnsi="Arial" w:cs="Arial"/>
          <w:sz w:val="22"/>
          <w:szCs w:val="22"/>
        </w:rPr>
        <w:t xml:space="preserve">trimestrales </w:t>
      </w:r>
      <w:r w:rsidRPr="00DE1B37">
        <w:rPr>
          <w:rFonts w:ascii="Arial" w:hAnsi="Arial" w:cs="Arial"/>
          <w:sz w:val="22"/>
          <w:szCs w:val="22"/>
        </w:rPr>
        <w:t xml:space="preserve">significativas </w:t>
      </w:r>
      <w:r w:rsidR="00667075">
        <w:rPr>
          <w:rFonts w:ascii="Arial" w:hAnsi="Arial" w:cs="Arial"/>
          <w:sz w:val="22"/>
          <w:szCs w:val="22"/>
        </w:rPr>
        <w:t>que se presenten en las diferentes subcuentas, al comparar los saldos del trimestre reportado con el mismo corte del año anterior</w:t>
      </w:r>
      <w:r w:rsidR="00874710">
        <w:rPr>
          <w:rFonts w:ascii="Arial" w:hAnsi="Arial" w:cs="Arial"/>
          <w:sz w:val="22"/>
          <w:szCs w:val="22"/>
        </w:rPr>
        <w:t xml:space="preserve">, así: </w:t>
      </w:r>
    </w:p>
    <w:p w14:paraId="6A0E57AB" w14:textId="6BD10774" w:rsidR="00874710" w:rsidRDefault="00874710" w:rsidP="00AD11B7">
      <w:pPr>
        <w:spacing w:line="288" w:lineRule="auto"/>
        <w:jc w:val="both"/>
        <w:rPr>
          <w:rFonts w:ascii="Arial" w:hAnsi="Arial" w:cs="Arial"/>
          <w:sz w:val="22"/>
          <w:szCs w:val="22"/>
        </w:rPr>
      </w:pPr>
    </w:p>
    <w:p w14:paraId="4569B4DA" w14:textId="7C93DEE1" w:rsidR="00FE532F" w:rsidRDefault="00FE532F" w:rsidP="00FE532F">
      <w:pPr>
        <w:spacing w:line="288" w:lineRule="auto"/>
        <w:jc w:val="center"/>
        <w:rPr>
          <w:rFonts w:ascii="Arial" w:hAnsi="Arial" w:cs="Arial"/>
          <w:sz w:val="22"/>
          <w:szCs w:val="22"/>
        </w:rPr>
      </w:pPr>
      <w:r>
        <w:rPr>
          <w:rFonts w:ascii="Arial" w:hAnsi="Arial" w:cs="Arial"/>
          <w:noProof/>
          <w:sz w:val="22"/>
          <w:szCs w:val="22"/>
          <w:lang w:val="es-CO" w:eastAsia="es-CO"/>
        </w:rPr>
        <w:drawing>
          <wp:inline distT="0" distB="0" distL="0" distR="0" wp14:anchorId="31DC913D" wp14:editId="60EB66EE">
            <wp:extent cx="2653030" cy="207878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661" cy="2088683"/>
                    </a:xfrm>
                    <a:prstGeom prst="rect">
                      <a:avLst/>
                    </a:prstGeom>
                    <a:noFill/>
                  </pic:spPr>
                </pic:pic>
              </a:graphicData>
            </a:graphic>
          </wp:inline>
        </w:drawing>
      </w:r>
    </w:p>
    <w:p w14:paraId="4F7BB950" w14:textId="2E38CB66" w:rsidR="00FE532F" w:rsidRDefault="00FE532F" w:rsidP="00AD11B7">
      <w:pPr>
        <w:spacing w:line="288" w:lineRule="auto"/>
        <w:jc w:val="both"/>
        <w:rPr>
          <w:rFonts w:ascii="Arial" w:hAnsi="Arial" w:cs="Arial"/>
          <w:sz w:val="22"/>
          <w:szCs w:val="22"/>
        </w:rPr>
      </w:pPr>
    </w:p>
    <w:p w14:paraId="7D1B7036" w14:textId="226282E5" w:rsidR="00F243CF" w:rsidRDefault="00741D88" w:rsidP="00CA76B9">
      <w:pPr>
        <w:spacing w:line="288" w:lineRule="auto"/>
        <w:jc w:val="both"/>
        <w:rPr>
          <w:rFonts w:ascii="Arial" w:hAnsi="Arial" w:cs="Arial"/>
          <w:sz w:val="22"/>
          <w:szCs w:val="22"/>
        </w:rPr>
      </w:pPr>
      <w:r>
        <w:rPr>
          <w:rFonts w:ascii="Arial" w:hAnsi="Arial" w:cs="Arial"/>
          <w:sz w:val="22"/>
          <w:szCs w:val="22"/>
        </w:rPr>
        <w:t>Ahora bien, p</w:t>
      </w:r>
      <w:r w:rsidR="00F243CF">
        <w:rPr>
          <w:rFonts w:ascii="Arial" w:hAnsi="Arial" w:cs="Arial"/>
          <w:sz w:val="22"/>
          <w:szCs w:val="22"/>
        </w:rPr>
        <w:t xml:space="preserve">or regla general, el Ministerio de Hacienda y Crédito Público </w:t>
      </w:r>
      <w:r w:rsidR="00B161DE">
        <w:rPr>
          <w:rFonts w:ascii="Arial" w:hAnsi="Arial" w:cs="Arial"/>
          <w:sz w:val="22"/>
          <w:szCs w:val="22"/>
        </w:rPr>
        <w:t>revelará información cualitativa sobre transacciones, hechos y operaciones cuando</w:t>
      </w:r>
      <w:r w:rsidR="007F3622">
        <w:rPr>
          <w:rFonts w:ascii="Arial" w:hAnsi="Arial" w:cs="Arial"/>
          <w:sz w:val="22"/>
          <w:szCs w:val="22"/>
        </w:rPr>
        <w:t>: a)</w:t>
      </w:r>
      <w:r w:rsidR="00B161DE">
        <w:rPr>
          <w:rFonts w:ascii="Arial" w:hAnsi="Arial" w:cs="Arial"/>
          <w:sz w:val="22"/>
          <w:szCs w:val="22"/>
        </w:rPr>
        <w:t xml:space="preserve"> </w:t>
      </w:r>
      <w:r>
        <w:rPr>
          <w:rFonts w:ascii="Arial" w:hAnsi="Arial" w:cs="Arial"/>
          <w:sz w:val="22"/>
          <w:szCs w:val="22"/>
        </w:rPr>
        <w:t xml:space="preserve">las variaciones de una vigencia a otra en los saldos de las subcuentas superan el </w:t>
      </w:r>
      <w:r w:rsidR="00964329">
        <w:rPr>
          <w:rFonts w:ascii="Arial" w:hAnsi="Arial" w:cs="Arial"/>
          <w:sz w:val="22"/>
          <w:szCs w:val="22"/>
        </w:rPr>
        <w:t>2</w:t>
      </w:r>
      <w:r>
        <w:rPr>
          <w:rFonts w:ascii="Arial" w:hAnsi="Arial" w:cs="Arial"/>
          <w:sz w:val="22"/>
          <w:szCs w:val="22"/>
        </w:rPr>
        <w:t>0%</w:t>
      </w:r>
      <w:r w:rsidR="007F3622">
        <w:rPr>
          <w:rFonts w:ascii="Arial" w:hAnsi="Arial" w:cs="Arial"/>
          <w:sz w:val="22"/>
          <w:szCs w:val="22"/>
        </w:rPr>
        <w:t xml:space="preserve"> y</w:t>
      </w:r>
      <w:r w:rsidR="001C61C8">
        <w:rPr>
          <w:rFonts w:ascii="Arial" w:hAnsi="Arial" w:cs="Arial"/>
          <w:sz w:val="22"/>
          <w:szCs w:val="22"/>
        </w:rPr>
        <w:t>,</w:t>
      </w:r>
      <w:r w:rsidR="007F3622">
        <w:rPr>
          <w:rFonts w:ascii="Arial" w:hAnsi="Arial" w:cs="Arial"/>
          <w:sz w:val="22"/>
          <w:szCs w:val="22"/>
        </w:rPr>
        <w:t xml:space="preserve"> b) la subcuenta en la cual se presenta la variación represent</w:t>
      </w:r>
      <w:r w:rsidR="001C61C8">
        <w:rPr>
          <w:rFonts w:ascii="Arial" w:hAnsi="Arial" w:cs="Arial"/>
          <w:sz w:val="22"/>
          <w:szCs w:val="22"/>
        </w:rPr>
        <w:t>e</w:t>
      </w:r>
      <w:r w:rsidR="007F3622">
        <w:rPr>
          <w:rFonts w:ascii="Arial" w:hAnsi="Arial" w:cs="Arial"/>
          <w:sz w:val="22"/>
          <w:szCs w:val="22"/>
        </w:rPr>
        <w:t xml:space="preserve"> más </w:t>
      </w:r>
      <w:r w:rsidR="00274D4B">
        <w:rPr>
          <w:rFonts w:ascii="Arial" w:hAnsi="Arial" w:cs="Arial"/>
          <w:sz w:val="22"/>
          <w:szCs w:val="22"/>
        </w:rPr>
        <w:t xml:space="preserve">del </w:t>
      </w:r>
      <w:r w:rsidR="00964329">
        <w:rPr>
          <w:rFonts w:ascii="Arial" w:hAnsi="Arial" w:cs="Arial"/>
          <w:sz w:val="22"/>
          <w:szCs w:val="22"/>
        </w:rPr>
        <w:t>2</w:t>
      </w:r>
      <w:r w:rsidR="00274D4B">
        <w:rPr>
          <w:rFonts w:ascii="Arial" w:hAnsi="Arial" w:cs="Arial"/>
          <w:sz w:val="22"/>
          <w:szCs w:val="22"/>
        </w:rPr>
        <w:t xml:space="preserve">0% de la clase (activo, pasivo, patrimonio, ingresos, </w:t>
      </w:r>
      <w:r w:rsidR="00BA56C6">
        <w:rPr>
          <w:rFonts w:ascii="Arial" w:hAnsi="Arial" w:cs="Arial"/>
          <w:sz w:val="22"/>
          <w:szCs w:val="22"/>
        </w:rPr>
        <w:t>etc.</w:t>
      </w:r>
      <w:r w:rsidR="00274D4B">
        <w:rPr>
          <w:rFonts w:ascii="Arial" w:hAnsi="Arial" w:cs="Arial"/>
          <w:sz w:val="22"/>
          <w:szCs w:val="22"/>
        </w:rPr>
        <w:t xml:space="preserve">) a la que pertenece. </w:t>
      </w:r>
    </w:p>
    <w:p w14:paraId="00676FD2" w14:textId="77777777" w:rsidR="00F243CF" w:rsidRDefault="00F243CF" w:rsidP="00CA76B9">
      <w:pPr>
        <w:spacing w:line="288" w:lineRule="auto"/>
        <w:jc w:val="both"/>
        <w:rPr>
          <w:rFonts w:ascii="Arial" w:hAnsi="Arial" w:cs="Arial"/>
          <w:sz w:val="22"/>
          <w:szCs w:val="22"/>
        </w:rPr>
      </w:pPr>
    </w:p>
    <w:p w14:paraId="44D13BB5" w14:textId="46ABF493" w:rsidR="00F243CF" w:rsidRDefault="0065370B" w:rsidP="00CA76B9">
      <w:pPr>
        <w:spacing w:line="288" w:lineRule="auto"/>
        <w:jc w:val="both"/>
        <w:rPr>
          <w:rFonts w:ascii="Arial" w:hAnsi="Arial" w:cs="Arial"/>
          <w:sz w:val="22"/>
          <w:szCs w:val="22"/>
        </w:rPr>
      </w:pPr>
      <w:r>
        <w:rPr>
          <w:rFonts w:ascii="Arial" w:hAnsi="Arial" w:cs="Arial"/>
          <w:sz w:val="22"/>
          <w:szCs w:val="22"/>
        </w:rPr>
        <w:t xml:space="preserve">No </w:t>
      </w:r>
      <w:proofErr w:type="gramStart"/>
      <w:r>
        <w:rPr>
          <w:rFonts w:ascii="Arial" w:hAnsi="Arial" w:cs="Arial"/>
          <w:sz w:val="22"/>
          <w:szCs w:val="22"/>
        </w:rPr>
        <w:t>obstante</w:t>
      </w:r>
      <w:proofErr w:type="gramEnd"/>
      <w:r w:rsidR="00167C29">
        <w:rPr>
          <w:rFonts w:ascii="Arial" w:hAnsi="Arial" w:cs="Arial"/>
          <w:sz w:val="22"/>
          <w:szCs w:val="22"/>
        </w:rPr>
        <w:t xml:space="preserve"> lo anterior</w:t>
      </w:r>
      <w:r w:rsidR="00F243CF">
        <w:rPr>
          <w:rFonts w:ascii="Arial" w:hAnsi="Arial" w:cs="Arial"/>
          <w:sz w:val="22"/>
          <w:szCs w:val="22"/>
        </w:rPr>
        <w:t>, y cuando a ello hubiere lugar, podrán</w:t>
      </w:r>
      <w:r w:rsidR="00B161DE">
        <w:rPr>
          <w:rFonts w:ascii="Arial" w:hAnsi="Arial" w:cs="Arial"/>
          <w:sz w:val="22"/>
          <w:szCs w:val="22"/>
        </w:rPr>
        <w:t xml:space="preserve"> reportarse otras variaciones significativas, ya sea por </w:t>
      </w:r>
      <w:r w:rsidR="00F243CF">
        <w:rPr>
          <w:rFonts w:ascii="Arial" w:hAnsi="Arial" w:cs="Arial"/>
          <w:sz w:val="22"/>
          <w:szCs w:val="22"/>
        </w:rPr>
        <w:t xml:space="preserve">la </w:t>
      </w:r>
      <w:r w:rsidR="00055B9F" w:rsidRPr="00CC4043">
        <w:rPr>
          <w:rFonts w:ascii="Arial" w:hAnsi="Arial" w:cs="Arial"/>
          <w:sz w:val="22"/>
          <w:szCs w:val="22"/>
        </w:rPr>
        <w:t xml:space="preserve">importancia del concepto o </w:t>
      </w:r>
      <w:r w:rsidR="00B161DE">
        <w:rPr>
          <w:rFonts w:ascii="Arial" w:hAnsi="Arial" w:cs="Arial"/>
          <w:sz w:val="22"/>
          <w:szCs w:val="22"/>
        </w:rPr>
        <w:t xml:space="preserve">por </w:t>
      </w:r>
      <w:r w:rsidR="00055B9F" w:rsidRPr="00CC4043">
        <w:rPr>
          <w:rFonts w:ascii="Arial" w:hAnsi="Arial" w:cs="Arial"/>
          <w:sz w:val="22"/>
          <w:szCs w:val="22"/>
        </w:rPr>
        <w:t xml:space="preserve">comportamientos de valores por fuera de rangos normales, </w:t>
      </w:r>
      <w:r w:rsidR="00F243CF">
        <w:rPr>
          <w:rFonts w:ascii="Arial" w:hAnsi="Arial" w:cs="Arial"/>
          <w:sz w:val="22"/>
          <w:szCs w:val="22"/>
        </w:rPr>
        <w:t xml:space="preserve">que </w:t>
      </w:r>
      <w:r w:rsidR="00055B9F" w:rsidRPr="00CC4043">
        <w:rPr>
          <w:rFonts w:ascii="Arial" w:hAnsi="Arial" w:cs="Arial"/>
          <w:sz w:val="22"/>
          <w:szCs w:val="22"/>
        </w:rPr>
        <w:t>pueden originarse por diferentes situaciones, incluidas reclasificaciones, ajustes o corrección de errores.</w:t>
      </w:r>
    </w:p>
    <w:p w14:paraId="15D2DCA4" w14:textId="77777777" w:rsidR="00F243CF" w:rsidRDefault="00F243CF" w:rsidP="00CA76B9">
      <w:pPr>
        <w:spacing w:line="288" w:lineRule="auto"/>
        <w:jc w:val="both"/>
        <w:rPr>
          <w:rFonts w:ascii="Arial" w:hAnsi="Arial" w:cs="Arial"/>
          <w:sz w:val="22"/>
          <w:szCs w:val="22"/>
        </w:rPr>
      </w:pPr>
    </w:p>
    <w:p w14:paraId="7C2DCAAB" w14:textId="6D17B487" w:rsidR="00055B9F" w:rsidRPr="00055B9F" w:rsidRDefault="00055B9F" w:rsidP="00CA76B9">
      <w:pPr>
        <w:spacing w:line="288" w:lineRule="auto"/>
        <w:jc w:val="both"/>
        <w:rPr>
          <w:rFonts w:ascii="Arial" w:hAnsi="Arial" w:cs="Arial"/>
          <w:color w:val="000000"/>
          <w:sz w:val="22"/>
          <w:szCs w:val="22"/>
          <w:lang w:val="es-CO" w:eastAsia="es-CO"/>
        </w:rPr>
      </w:pPr>
      <w:r w:rsidRPr="00CC4043">
        <w:rPr>
          <w:rFonts w:ascii="Arial" w:hAnsi="Arial" w:cs="Arial"/>
          <w:sz w:val="22"/>
          <w:szCs w:val="22"/>
        </w:rPr>
        <w:lastRenderedPageBreak/>
        <w:t>En caso de que la entidad no presente variaciones significativas para los cortes objeto de comparación, deberá reportar el formulario para la subcuenta que presente la mayor variación con la explicación correspondiente al origen de la misma.</w:t>
      </w:r>
    </w:p>
    <w:p w14:paraId="16285CC1" w14:textId="77777777" w:rsidR="006F7910" w:rsidRPr="004E32E8" w:rsidRDefault="006F7910" w:rsidP="00CA76B9">
      <w:pPr>
        <w:spacing w:line="288" w:lineRule="auto"/>
        <w:jc w:val="both"/>
        <w:rPr>
          <w:rFonts w:ascii="Arial" w:hAnsi="Arial" w:cs="Arial"/>
          <w:color w:val="000000"/>
          <w:sz w:val="22"/>
          <w:szCs w:val="22"/>
          <w:lang w:val="es-CO" w:eastAsia="es-CO"/>
        </w:rPr>
      </w:pPr>
    </w:p>
    <w:p w14:paraId="2496BDFA" w14:textId="2436C9C8" w:rsidR="004A65CA" w:rsidRPr="00391A35" w:rsidRDefault="004A65CA" w:rsidP="00CA76B9">
      <w:pPr>
        <w:spacing w:line="288" w:lineRule="auto"/>
        <w:jc w:val="both"/>
        <w:rPr>
          <w:rFonts w:ascii="Arial" w:hAnsi="Arial" w:cs="Arial"/>
          <w:color w:val="000000"/>
          <w:sz w:val="22"/>
          <w:szCs w:val="22"/>
          <w:lang w:val="es-CO" w:eastAsia="es-CO"/>
        </w:rPr>
      </w:pPr>
      <w:r w:rsidRPr="006F7910">
        <w:rPr>
          <w:rFonts w:ascii="Arial" w:hAnsi="Arial" w:cs="Arial"/>
          <w:color w:val="000000"/>
          <w:sz w:val="22"/>
          <w:szCs w:val="22"/>
          <w:lang w:val="es-CO" w:eastAsia="es-CO"/>
        </w:rPr>
        <w:t xml:space="preserve">Adicionalmente, los estados financieros de la entidad pública hacen parte de </w:t>
      </w:r>
      <w:r w:rsidR="000C28A3">
        <w:rPr>
          <w:rFonts w:ascii="Arial" w:hAnsi="Arial" w:cs="Arial"/>
          <w:color w:val="000000"/>
          <w:sz w:val="22"/>
          <w:szCs w:val="22"/>
          <w:lang w:val="es-CO" w:eastAsia="es-CO"/>
        </w:rPr>
        <w:t xml:space="preserve">la categoría de Información Contable Pública – </w:t>
      </w:r>
      <w:r w:rsidR="00CC4043">
        <w:rPr>
          <w:rFonts w:ascii="Arial" w:hAnsi="Arial" w:cs="Arial"/>
          <w:color w:val="000000"/>
          <w:sz w:val="22"/>
          <w:szCs w:val="22"/>
          <w:lang w:val="es-CO" w:eastAsia="es-CO"/>
        </w:rPr>
        <w:t>Convergencia.</w:t>
      </w:r>
      <w:r w:rsidRPr="006F7910">
        <w:rPr>
          <w:rFonts w:ascii="Arial" w:hAnsi="Arial" w:cs="Arial"/>
          <w:color w:val="000000"/>
          <w:sz w:val="22"/>
          <w:szCs w:val="22"/>
          <w:lang w:val="es-CO" w:eastAsia="es-CO"/>
        </w:rPr>
        <w:t xml:space="preserve"> En </w:t>
      </w:r>
      <w:r w:rsidR="00452082" w:rsidRPr="000C28A3">
        <w:rPr>
          <w:rFonts w:ascii="Arial" w:hAnsi="Arial" w:cs="Arial"/>
          <w:color w:val="000000"/>
          <w:sz w:val="22"/>
          <w:szCs w:val="22"/>
          <w:lang w:val="es-CO" w:eastAsia="es-CO"/>
        </w:rPr>
        <w:t xml:space="preserve">este </w:t>
      </w:r>
      <w:r w:rsidRPr="000C28A3">
        <w:rPr>
          <w:rFonts w:ascii="Arial" w:hAnsi="Arial" w:cs="Arial"/>
          <w:color w:val="000000"/>
          <w:sz w:val="22"/>
          <w:szCs w:val="22"/>
          <w:lang w:val="es-CO" w:eastAsia="es-CO"/>
        </w:rPr>
        <w:t xml:space="preserve">sentido, </w:t>
      </w:r>
      <w:r w:rsidR="00D34563">
        <w:rPr>
          <w:rFonts w:ascii="Arial" w:hAnsi="Arial" w:cs="Arial"/>
          <w:color w:val="000000"/>
          <w:sz w:val="22"/>
          <w:szCs w:val="22"/>
          <w:lang w:val="es-CO" w:eastAsia="es-CO"/>
        </w:rPr>
        <w:t>si la</w:t>
      </w:r>
      <w:r w:rsidRPr="000C28A3">
        <w:rPr>
          <w:rFonts w:ascii="Arial" w:hAnsi="Arial" w:cs="Arial"/>
          <w:color w:val="000000"/>
          <w:sz w:val="22"/>
          <w:szCs w:val="22"/>
          <w:lang w:val="es-CO" w:eastAsia="es-CO"/>
        </w:rPr>
        <w:t xml:space="preserve"> información a transmitir correspond</w:t>
      </w:r>
      <w:r w:rsidR="00D34563">
        <w:rPr>
          <w:rFonts w:ascii="Arial" w:hAnsi="Arial" w:cs="Arial"/>
          <w:color w:val="000000"/>
          <w:sz w:val="22"/>
          <w:szCs w:val="22"/>
          <w:lang w:val="es-CO" w:eastAsia="es-CO"/>
        </w:rPr>
        <w:t>e</w:t>
      </w:r>
      <w:r w:rsidRPr="000C28A3">
        <w:rPr>
          <w:rFonts w:ascii="Arial" w:hAnsi="Arial" w:cs="Arial"/>
          <w:color w:val="000000"/>
          <w:sz w:val="22"/>
          <w:szCs w:val="22"/>
          <w:lang w:val="es-CO" w:eastAsia="es-CO"/>
        </w:rPr>
        <w:t xml:space="preserve"> al corte terminado en diciembre 31, se incluirá en el envío </w:t>
      </w:r>
      <w:r w:rsidR="000351A6" w:rsidRPr="000C28A3">
        <w:rPr>
          <w:rFonts w:ascii="Arial" w:hAnsi="Arial" w:cs="Arial"/>
          <w:color w:val="000000"/>
          <w:sz w:val="22"/>
          <w:szCs w:val="22"/>
          <w:lang w:val="es-CO" w:eastAsia="es-CO"/>
        </w:rPr>
        <w:t xml:space="preserve">a través del CHIP </w:t>
      </w:r>
      <w:r w:rsidRPr="000C28A3">
        <w:rPr>
          <w:rFonts w:ascii="Arial" w:hAnsi="Arial" w:cs="Arial"/>
          <w:color w:val="000000"/>
          <w:sz w:val="22"/>
          <w:szCs w:val="22"/>
          <w:lang w:val="es-CO" w:eastAsia="es-CO"/>
        </w:rPr>
        <w:t xml:space="preserve">y en formato PDF, </w:t>
      </w:r>
      <w:r w:rsidR="00CD08C0" w:rsidRPr="000C28A3">
        <w:rPr>
          <w:rFonts w:ascii="Arial" w:hAnsi="Arial" w:cs="Arial"/>
          <w:color w:val="000000"/>
          <w:sz w:val="22"/>
          <w:szCs w:val="22"/>
          <w:lang w:val="es-CO" w:eastAsia="es-CO"/>
        </w:rPr>
        <w:t xml:space="preserve">el juego completo de </w:t>
      </w:r>
      <w:r w:rsidRPr="000C28A3">
        <w:rPr>
          <w:rFonts w:ascii="Arial" w:hAnsi="Arial" w:cs="Arial"/>
          <w:color w:val="000000"/>
          <w:sz w:val="22"/>
          <w:szCs w:val="22"/>
          <w:lang w:val="es-CO" w:eastAsia="es-CO"/>
        </w:rPr>
        <w:t>Esta</w:t>
      </w:r>
      <w:r w:rsidR="00CD08C0" w:rsidRPr="000C28A3">
        <w:rPr>
          <w:rFonts w:ascii="Arial" w:hAnsi="Arial" w:cs="Arial"/>
          <w:color w:val="000000"/>
          <w:sz w:val="22"/>
          <w:szCs w:val="22"/>
          <w:lang w:val="es-CO" w:eastAsia="es-CO"/>
        </w:rPr>
        <w:t>dos Financieros</w:t>
      </w:r>
      <w:r w:rsidR="00C61D23" w:rsidRPr="000C28A3">
        <w:rPr>
          <w:rFonts w:ascii="Arial" w:hAnsi="Arial" w:cs="Arial"/>
          <w:color w:val="000000"/>
          <w:sz w:val="22"/>
          <w:szCs w:val="22"/>
          <w:lang w:val="es-CO" w:eastAsia="es-CO"/>
        </w:rPr>
        <w:t xml:space="preserve"> </w:t>
      </w:r>
      <w:r w:rsidR="000351A6" w:rsidRPr="000C28A3">
        <w:rPr>
          <w:rFonts w:ascii="Arial" w:hAnsi="Arial" w:cs="Arial"/>
          <w:color w:val="000000"/>
          <w:sz w:val="22"/>
          <w:szCs w:val="22"/>
          <w:lang w:val="es-CO" w:eastAsia="es-CO"/>
        </w:rPr>
        <w:t>del Ministerio d</w:t>
      </w:r>
      <w:r w:rsidR="000351A6" w:rsidRPr="00AD11B7">
        <w:rPr>
          <w:rFonts w:ascii="Arial" w:hAnsi="Arial" w:cs="Arial"/>
          <w:color w:val="000000"/>
          <w:sz w:val="22"/>
          <w:szCs w:val="22"/>
          <w:lang w:val="es-CO" w:eastAsia="es-CO"/>
        </w:rPr>
        <w:t xml:space="preserve">e Hacienda y Crédito Público, el cual </w:t>
      </w:r>
      <w:r w:rsidR="00D04940" w:rsidRPr="00AD11B7">
        <w:rPr>
          <w:rFonts w:ascii="Arial" w:hAnsi="Arial" w:cs="Arial"/>
          <w:color w:val="000000"/>
          <w:sz w:val="22"/>
          <w:szCs w:val="22"/>
          <w:lang w:eastAsia="es-CO"/>
        </w:rPr>
        <w:t>incluye el Estado de Situación Financiera, el Estado de Resultad</w:t>
      </w:r>
      <w:r w:rsidR="000351A6" w:rsidRPr="00AD11B7">
        <w:rPr>
          <w:rFonts w:ascii="Arial" w:hAnsi="Arial" w:cs="Arial"/>
          <w:color w:val="000000"/>
          <w:sz w:val="22"/>
          <w:szCs w:val="22"/>
          <w:lang w:eastAsia="es-CO"/>
        </w:rPr>
        <w:t>os, el Estado de Cambios en el P</w:t>
      </w:r>
      <w:r w:rsidR="00D04940" w:rsidRPr="00AD11B7">
        <w:rPr>
          <w:rFonts w:ascii="Arial" w:hAnsi="Arial" w:cs="Arial"/>
          <w:color w:val="000000"/>
          <w:sz w:val="22"/>
          <w:szCs w:val="22"/>
          <w:lang w:eastAsia="es-CO"/>
        </w:rPr>
        <w:t>atrimonio, el Estado de Flujos de Efectivo</w:t>
      </w:r>
      <w:r w:rsidR="00D34563">
        <w:rPr>
          <w:rStyle w:val="Refdenotaalpie"/>
          <w:rFonts w:ascii="Arial" w:hAnsi="Arial" w:cs="Arial"/>
          <w:color w:val="000000"/>
          <w:sz w:val="22"/>
          <w:szCs w:val="22"/>
          <w:lang w:eastAsia="es-CO"/>
        </w:rPr>
        <w:footnoteReference w:id="19"/>
      </w:r>
      <w:r w:rsidR="00D04940" w:rsidRPr="00AD11B7">
        <w:rPr>
          <w:rFonts w:ascii="Arial" w:hAnsi="Arial" w:cs="Arial"/>
          <w:color w:val="000000"/>
          <w:sz w:val="22"/>
          <w:szCs w:val="22"/>
          <w:lang w:eastAsia="es-CO"/>
        </w:rPr>
        <w:t xml:space="preserve"> y las </w:t>
      </w:r>
      <w:r w:rsidR="000351A6" w:rsidRPr="00AD11B7">
        <w:rPr>
          <w:rFonts w:ascii="Arial" w:hAnsi="Arial" w:cs="Arial"/>
          <w:color w:val="000000"/>
          <w:sz w:val="22"/>
          <w:szCs w:val="22"/>
          <w:lang w:eastAsia="es-CO"/>
        </w:rPr>
        <w:t>N</w:t>
      </w:r>
      <w:r w:rsidR="00D04940" w:rsidRPr="00AD11B7">
        <w:rPr>
          <w:rFonts w:ascii="Arial" w:hAnsi="Arial" w:cs="Arial"/>
          <w:color w:val="000000"/>
          <w:sz w:val="22"/>
          <w:szCs w:val="22"/>
          <w:lang w:eastAsia="es-CO"/>
        </w:rPr>
        <w:t>ot</w:t>
      </w:r>
      <w:r w:rsidR="00D04940" w:rsidRPr="00EB7709">
        <w:rPr>
          <w:rFonts w:ascii="Arial" w:hAnsi="Arial" w:cs="Arial"/>
          <w:color w:val="000000"/>
          <w:sz w:val="22"/>
          <w:szCs w:val="22"/>
          <w:lang w:eastAsia="es-CO"/>
        </w:rPr>
        <w:t xml:space="preserve">as a los </w:t>
      </w:r>
      <w:r w:rsidR="000351A6" w:rsidRPr="00391A35">
        <w:rPr>
          <w:rFonts w:ascii="Arial" w:hAnsi="Arial" w:cs="Arial"/>
          <w:color w:val="000000"/>
          <w:sz w:val="22"/>
          <w:szCs w:val="22"/>
          <w:lang w:eastAsia="es-CO"/>
        </w:rPr>
        <w:t>Estados F</w:t>
      </w:r>
      <w:r w:rsidR="00D04940" w:rsidRPr="00391A35">
        <w:rPr>
          <w:rFonts w:ascii="Arial" w:hAnsi="Arial" w:cs="Arial"/>
          <w:color w:val="000000"/>
          <w:sz w:val="22"/>
          <w:szCs w:val="22"/>
          <w:lang w:eastAsia="es-CO"/>
        </w:rPr>
        <w:t>inancieros</w:t>
      </w:r>
      <w:r w:rsidR="00CD08C0" w:rsidRPr="00391A35">
        <w:rPr>
          <w:rFonts w:ascii="Arial" w:hAnsi="Arial" w:cs="Arial"/>
          <w:color w:val="000000"/>
          <w:sz w:val="22"/>
          <w:szCs w:val="22"/>
          <w:lang w:val="es-CO" w:eastAsia="es-CO"/>
        </w:rPr>
        <w:t>.</w:t>
      </w:r>
    </w:p>
    <w:p w14:paraId="4602F5C3" w14:textId="219B753F" w:rsidR="008F1CC9" w:rsidRPr="00391A35" w:rsidRDefault="008F1CC9" w:rsidP="00CA76B9">
      <w:pPr>
        <w:spacing w:line="288" w:lineRule="auto"/>
        <w:jc w:val="both"/>
        <w:rPr>
          <w:rFonts w:ascii="Arial" w:hAnsi="Arial" w:cs="Arial"/>
          <w:color w:val="000000"/>
          <w:sz w:val="22"/>
          <w:szCs w:val="22"/>
          <w:lang w:val="es-CO" w:eastAsia="es-CO"/>
        </w:rPr>
      </w:pPr>
    </w:p>
    <w:p w14:paraId="6181108A" w14:textId="059CD708" w:rsidR="00391A35" w:rsidRPr="00DE1B37" w:rsidRDefault="00391A35" w:rsidP="00343ECE">
      <w:pPr>
        <w:numPr>
          <w:ilvl w:val="3"/>
          <w:numId w:val="9"/>
        </w:numPr>
        <w:spacing w:line="288" w:lineRule="auto"/>
        <w:jc w:val="both"/>
        <w:rPr>
          <w:rFonts w:ascii="Arial" w:hAnsi="Arial" w:cs="Arial"/>
          <w:b/>
          <w:color w:val="000000"/>
          <w:sz w:val="22"/>
          <w:szCs w:val="22"/>
        </w:rPr>
      </w:pPr>
      <w:r w:rsidRPr="00DE1B37">
        <w:rPr>
          <w:rFonts w:ascii="Arial" w:hAnsi="Arial" w:cs="Arial"/>
          <w:b/>
          <w:bCs/>
          <w:color w:val="000000"/>
          <w:sz w:val="22"/>
          <w:szCs w:val="22"/>
        </w:rPr>
        <w:t>Categoría evaluación de control interno contable </w:t>
      </w:r>
    </w:p>
    <w:p w14:paraId="6489BBB8" w14:textId="77777777" w:rsidR="00391A35" w:rsidRPr="00DE1B37" w:rsidRDefault="00391A35" w:rsidP="00CA76B9">
      <w:pPr>
        <w:spacing w:line="288" w:lineRule="auto"/>
        <w:jc w:val="both"/>
        <w:rPr>
          <w:rFonts w:ascii="Arial" w:hAnsi="Arial" w:cs="Arial"/>
          <w:b/>
          <w:bCs/>
          <w:color w:val="000000"/>
          <w:sz w:val="22"/>
          <w:szCs w:val="22"/>
        </w:rPr>
      </w:pPr>
    </w:p>
    <w:p w14:paraId="63EDAFB3" w14:textId="4FE5644A" w:rsidR="00391A35" w:rsidRPr="00EB7709" w:rsidRDefault="00391A35" w:rsidP="00CA76B9">
      <w:pPr>
        <w:spacing w:line="288" w:lineRule="auto"/>
        <w:jc w:val="both"/>
        <w:rPr>
          <w:rFonts w:ascii="Arial" w:hAnsi="Arial" w:cs="Arial"/>
          <w:color w:val="000000"/>
          <w:sz w:val="22"/>
          <w:szCs w:val="22"/>
        </w:rPr>
      </w:pPr>
      <w:r w:rsidRPr="00DE1B37">
        <w:rPr>
          <w:rFonts w:ascii="Arial" w:hAnsi="Arial" w:cs="Arial"/>
          <w:color w:val="000000"/>
          <w:sz w:val="22"/>
          <w:szCs w:val="22"/>
        </w:rPr>
        <w:t>Esta se relaciona con la información que corresponde a la evaluación del control interno contable que se estructura en aplicación de la Resolución 193 del 5 de mayo de 2016.</w:t>
      </w:r>
    </w:p>
    <w:p w14:paraId="02C4BFE7" w14:textId="77777777" w:rsidR="005864E8" w:rsidRPr="00D273F0" w:rsidRDefault="005864E8" w:rsidP="00CA76B9">
      <w:pPr>
        <w:spacing w:line="288" w:lineRule="auto"/>
        <w:jc w:val="both"/>
        <w:rPr>
          <w:rFonts w:ascii="Arial" w:hAnsi="Arial" w:cs="Arial"/>
          <w:color w:val="000000"/>
          <w:sz w:val="22"/>
          <w:szCs w:val="22"/>
        </w:rPr>
      </w:pPr>
    </w:p>
    <w:p w14:paraId="729CC83C" w14:textId="4CF4DD81" w:rsidR="005864E8" w:rsidRDefault="005864E8" w:rsidP="00CA76B9">
      <w:pPr>
        <w:spacing w:line="288" w:lineRule="auto"/>
        <w:jc w:val="both"/>
        <w:rPr>
          <w:rFonts w:ascii="Arial" w:hAnsi="Arial" w:cs="Arial"/>
          <w:color w:val="000000"/>
          <w:sz w:val="22"/>
          <w:szCs w:val="22"/>
        </w:rPr>
      </w:pPr>
      <w:r w:rsidRPr="00D273F0">
        <w:rPr>
          <w:rFonts w:ascii="Arial" w:hAnsi="Arial" w:cs="Arial"/>
          <w:color w:val="000000"/>
          <w:sz w:val="22"/>
          <w:szCs w:val="22"/>
        </w:rPr>
        <w:t>En esta categoría se in</w:t>
      </w:r>
      <w:r w:rsidRPr="00912B25">
        <w:rPr>
          <w:rFonts w:ascii="Arial" w:hAnsi="Arial" w:cs="Arial"/>
          <w:color w:val="000000"/>
          <w:sz w:val="22"/>
          <w:szCs w:val="22"/>
        </w:rPr>
        <w:t>cluye el fo</w:t>
      </w:r>
      <w:r w:rsidRPr="00DE1B37">
        <w:rPr>
          <w:rFonts w:ascii="Arial" w:hAnsi="Arial" w:cs="Arial"/>
          <w:bCs/>
          <w:color w:val="000000"/>
          <w:sz w:val="22"/>
          <w:szCs w:val="22"/>
        </w:rPr>
        <w:t>rmulario de</w:t>
      </w:r>
      <w:r w:rsidR="00D273F0" w:rsidRPr="00DE1B37">
        <w:rPr>
          <w:rFonts w:ascii="Arial" w:hAnsi="Arial" w:cs="Arial"/>
          <w:bCs/>
          <w:color w:val="000000"/>
          <w:sz w:val="22"/>
          <w:szCs w:val="22"/>
        </w:rPr>
        <w:t xml:space="preserve"> </w:t>
      </w:r>
      <w:r w:rsidRPr="00DE1B37">
        <w:rPr>
          <w:rFonts w:ascii="Arial" w:hAnsi="Arial" w:cs="Arial"/>
          <w:bCs/>
          <w:color w:val="000000"/>
          <w:sz w:val="22"/>
          <w:szCs w:val="22"/>
        </w:rPr>
        <w:t>evaluac</w:t>
      </w:r>
      <w:r w:rsidR="00D273F0" w:rsidRPr="00DE1B37">
        <w:rPr>
          <w:rFonts w:ascii="Arial" w:hAnsi="Arial" w:cs="Arial"/>
          <w:bCs/>
          <w:color w:val="000000"/>
          <w:sz w:val="22"/>
          <w:szCs w:val="22"/>
        </w:rPr>
        <w:t xml:space="preserve">ión de control interno contable, el cual corresponde al </w:t>
      </w:r>
      <w:r w:rsidRPr="00DE1B37">
        <w:rPr>
          <w:rFonts w:ascii="Arial" w:hAnsi="Arial" w:cs="Arial"/>
          <w:color w:val="000000"/>
          <w:sz w:val="22"/>
          <w:szCs w:val="22"/>
        </w:rPr>
        <w:t xml:space="preserve">medio a través del cual las entidades públicas reportan la información que se relaciona con la evaluación del control interno contable. </w:t>
      </w:r>
    </w:p>
    <w:p w14:paraId="68E27ED1" w14:textId="599952D3" w:rsidR="00912B25" w:rsidRDefault="00912B25" w:rsidP="00CA76B9">
      <w:pPr>
        <w:spacing w:line="288" w:lineRule="auto"/>
        <w:jc w:val="both"/>
        <w:rPr>
          <w:rFonts w:ascii="Arial" w:hAnsi="Arial" w:cs="Arial"/>
          <w:color w:val="000000"/>
          <w:sz w:val="22"/>
          <w:szCs w:val="22"/>
        </w:rPr>
      </w:pPr>
    </w:p>
    <w:p w14:paraId="6A0B55F8" w14:textId="671487EA" w:rsidR="00912B25" w:rsidRPr="00DE1B37" w:rsidRDefault="00912B25" w:rsidP="00CA76B9">
      <w:pPr>
        <w:spacing w:line="288" w:lineRule="auto"/>
        <w:jc w:val="both"/>
        <w:rPr>
          <w:rFonts w:ascii="Arial" w:hAnsi="Arial" w:cs="Arial"/>
          <w:color w:val="000000"/>
          <w:sz w:val="22"/>
          <w:szCs w:val="22"/>
        </w:rPr>
      </w:pPr>
      <w:r>
        <w:rPr>
          <w:rFonts w:ascii="Arial" w:hAnsi="Arial" w:cs="Arial"/>
          <w:color w:val="000000"/>
          <w:sz w:val="22"/>
          <w:szCs w:val="22"/>
        </w:rPr>
        <w:t xml:space="preserve">El </w:t>
      </w:r>
      <w:r w:rsidR="002E2165">
        <w:rPr>
          <w:rFonts w:ascii="Arial" w:hAnsi="Arial" w:cs="Arial"/>
          <w:color w:val="000000"/>
          <w:sz w:val="22"/>
          <w:szCs w:val="22"/>
        </w:rPr>
        <w:t>R</w:t>
      </w:r>
      <w:r>
        <w:rPr>
          <w:rFonts w:ascii="Arial" w:hAnsi="Arial" w:cs="Arial"/>
          <w:color w:val="000000"/>
          <w:sz w:val="22"/>
          <w:szCs w:val="22"/>
        </w:rPr>
        <w:t xml:space="preserve">epresentante </w:t>
      </w:r>
      <w:r w:rsidR="002E2165">
        <w:rPr>
          <w:rFonts w:ascii="Arial" w:hAnsi="Arial" w:cs="Arial"/>
          <w:color w:val="000000"/>
          <w:sz w:val="22"/>
          <w:szCs w:val="22"/>
        </w:rPr>
        <w:t>L</w:t>
      </w:r>
      <w:r>
        <w:rPr>
          <w:rFonts w:ascii="Arial" w:hAnsi="Arial" w:cs="Arial"/>
          <w:color w:val="000000"/>
          <w:sz w:val="22"/>
          <w:szCs w:val="22"/>
        </w:rPr>
        <w:t xml:space="preserve">egal y el </w:t>
      </w:r>
      <w:r w:rsidR="002E2165">
        <w:rPr>
          <w:rFonts w:ascii="Arial" w:hAnsi="Arial" w:cs="Arial"/>
          <w:color w:val="000000"/>
          <w:sz w:val="22"/>
          <w:szCs w:val="22"/>
        </w:rPr>
        <w:t>Jefe de la O</w:t>
      </w:r>
      <w:r>
        <w:rPr>
          <w:rFonts w:ascii="Arial" w:hAnsi="Arial" w:cs="Arial"/>
          <w:color w:val="000000"/>
          <w:sz w:val="22"/>
          <w:szCs w:val="22"/>
        </w:rPr>
        <w:t>ficina de Control Interno, o quien</w:t>
      </w:r>
      <w:r w:rsidR="00341EF0">
        <w:rPr>
          <w:rFonts w:ascii="Arial" w:hAnsi="Arial" w:cs="Arial"/>
          <w:color w:val="000000"/>
          <w:sz w:val="22"/>
          <w:szCs w:val="22"/>
        </w:rPr>
        <w:t xml:space="preserve"> haga</w:t>
      </w:r>
      <w:r>
        <w:rPr>
          <w:rFonts w:ascii="Arial" w:hAnsi="Arial" w:cs="Arial"/>
          <w:color w:val="000000"/>
          <w:sz w:val="22"/>
          <w:szCs w:val="22"/>
        </w:rPr>
        <w:t xml:space="preserve"> sus veces, son los responsables del informe de evaluación del control interno contable</w:t>
      </w:r>
      <w:r w:rsidR="002E2165">
        <w:rPr>
          <w:rFonts w:ascii="Arial" w:hAnsi="Arial" w:cs="Arial"/>
          <w:color w:val="000000"/>
          <w:sz w:val="22"/>
          <w:szCs w:val="22"/>
        </w:rPr>
        <w:t xml:space="preserve">. El reporte de este informe, será responsabilidad del Jefe de la Oficina de Control Interno, o quien haga sus veces, </w:t>
      </w:r>
      <w:r w:rsidR="003A5F9C">
        <w:rPr>
          <w:rFonts w:ascii="Arial" w:hAnsi="Arial" w:cs="Arial"/>
          <w:color w:val="000000"/>
          <w:sz w:val="22"/>
          <w:szCs w:val="22"/>
        </w:rPr>
        <w:t xml:space="preserve">de acuerdo con las </w:t>
      </w:r>
      <w:r w:rsidR="002E2165">
        <w:rPr>
          <w:rFonts w:ascii="Arial" w:hAnsi="Arial" w:cs="Arial"/>
          <w:color w:val="000000"/>
          <w:sz w:val="22"/>
          <w:szCs w:val="22"/>
        </w:rPr>
        <w:t xml:space="preserve">condiciones </w:t>
      </w:r>
      <w:r w:rsidR="003A5F9C">
        <w:rPr>
          <w:rFonts w:ascii="Arial" w:hAnsi="Arial" w:cs="Arial"/>
          <w:color w:val="000000"/>
          <w:sz w:val="22"/>
          <w:szCs w:val="22"/>
        </w:rPr>
        <w:t xml:space="preserve">y plazos </w:t>
      </w:r>
      <w:r w:rsidR="002E2165">
        <w:rPr>
          <w:rFonts w:ascii="Arial" w:hAnsi="Arial" w:cs="Arial"/>
          <w:color w:val="000000"/>
          <w:sz w:val="22"/>
          <w:szCs w:val="22"/>
        </w:rPr>
        <w:t>que defina la Contaduría General de la Nación.</w:t>
      </w:r>
      <w:r>
        <w:rPr>
          <w:rFonts w:ascii="Arial" w:hAnsi="Arial" w:cs="Arial"/>
          <w:color w:val="000000"/>
          <w:sz w:val="22"/>
          <w:szCs w:val="22"/>
        </w:rPr>
        <w:t xml:space="preserve">  </w:t>
      </w:r>
    </w:p>
    <w:p w14:paraId="29407D48" w14:textId="0B471C26" w:rsidR="00391A35" w:rsidRPr="00EB7709" w:rsidRDefault="00391A35" w:rsidP="00CA76B9">
      <w:pPr>
        <w:spacing w:line="288" w:lineRule="auto"/>
        <w:jc w:val="both"/>
        <w:rPr>
          <w:rFonts w:ascii="Arial" w:hAnsi="Arial" w:cs="Arial"/>
          <w:b/>
          <w:bCs/>
          <w:color w:val="000000"/>
          <w:sz w:val="22"/>
          <w:szCs w:val="22"/>
        </w:rPr>
      </w:pPr>
    </w:p>
    <w:p w14:paraId="29ED6FC8" w14:textId="6A544406" w:rsidR="00391A35" w:rsidRPr="00DE1B37" w:rsidRDefault="00391A35" w:rsidP="00343ECE">
      <w:pPr>
        <w:numPr>
          <w:ilvl w:val="3"/>
          <w:numId w:val="9"/>
        </w:numPr>
        <w:spacing w:line="288" w:lineRule="auto"/>
        <w:jc w:val="both"/>
        <w:rPr>
          <w:rFonts w:ascii="Arial" w:hAnsi="Arial" w:cs="Arial"/>
          <w:b/>
          <w:color w:val="000000"/>
          <w:sz w:val="22"/>
          <w:szCs w:val="22"/>
        </w:rPr>
      </w:pPr>
      <w:r w:rsidRPr="00DE1B37">
        <w:rPr>
          <w:rFonts w:ascii="Arial" w:hAnsi="Arial" w:cs="Arial"/>
          <w:b/>
          <w:bCs/>
          <w:color w:val="000000"/>
          <w:sz w:val="22"/>
          <w:szCs w:val="22"/>
        </w:rPr>
        <w:t xml:space="preserve">Categoría </w:t>
      </w:r>
      <w:r w:rsidR="00B46E42">
        <w:rPr>
          <w:rFonts w:ascii="Arial" w:hAnsi="Arial" w:cs="Arial"/>
          <w:b/>
          <w:bCs/>
          <w:color w:val="000000"/>
          <w:sz w:val="22"/>
          <w:szCs w:val="22"/>
        </w:rPr>
        <w:t>B</w:t>
      </w:r>
      <w:r w:rsidRPr="00DE1B37">
        <w:rPr>
          <w:rFonts w:ascii="Arial" w:hAnsi="Arial" w:cs="Arial"/>
          <w:b/>
          <w:bCs/>
          <w:color w:val="000000"/>
          <w:sz w:val="22"/>
          <w:szCs w:val="22"/>
        </w:rPr>
        <w:t xml:space="preserve">oletín de </w:t>
      </w:r>
      <w:r w:rsidR="00B46E42">
        <w:rPr>
          <w:rFonts w:ascii="Arial" w:hAnsi="Arial" w:cs="Arial"/>
          <w:b/>
          <w:bCs/>
          <w:color w:val="000000"/>
          <w:sz w:val="22"/>
          <w:szCs w:val="22"/>
        </w:rPr>
        <w:t>D</w:t>
      </w:r>
      <w:r w:rsidRPr="00DE1B37">
        <w:rPr>
          <w:rFonts w:ascii="Arial" w:hAnsi="Arial" w:cs="Arial"/>
          <w:b/>
          <w:bCs/>
          <w:color w:val="000000"/>
          <w:sz w:val="22"/>
          <w:szCs w:val="22"/>
        </w:rPr>
        <w:t xml:space="preserve">eudores </w:t>
      </w:r>
      <w:r w:rsidR="00B46E42">
        <w:rPr>
          <w:rFonts w:ascii="Arial" w:hAnsi="Arial" w:cs="Arial"/>
          <w:b/>
          <w:bCs/>
          <w:color w:val="000000"/>
          <w:sz w:val="22"/>
          <w:szCs w:val="22"/>
        </w:rPr>
        <w:t>M</w:t>
      </w:r>
      <w:r w:rsidRPr="00DE1B37">
        <w:rPr>
          <w:rFonts w:ascii="Arial" w:hAnsi="Arial" w:cs="Arial"/>
          <w:b/>
          <w:bCs/>
          <w:color w:val="000000"/>
          <w:sz w:val="22"/>
          <w:szCs w:val="22"/>
        </w:rPr>
        <w:t>orosos del Estado (BDME)</w:t>
      </w:r>
    </w:p>
    <w:p w14:paraId="3F5D13D4" w14:textId="77777777" w:rsidR="00391A35" w:rsidRPr="00DE1B37" w:rsidRDefault="00391A35" w:rsidP="00CA76B9">
      <w:pPr>
        <w:spacing w:line="288" w:lineRule="auto"/>
        <w:jc w:val="both"/>
        <w:rPr>
          <w:rFonts w:ascii="Arial" w:hAnsi="Arial" w:cs="Arial"/>
          <w:color w:val="000000"/>
          <w:sz w:val="22"/>
          <w:szCs w:val="22"/>
        </w:rPr>
      </w:pPr>
    </w:p>
    <w:p w14:paraId="420F9C38" w14:textId="475D86C0" w:rsidR="00391A35" w:rsidRDefault="00391A35" w:rsidP="00CA76B9">
      <w:pPr>
        <w:spacing w:line="288" w:lineRule="auto"/>
        <w:jc w:val="both"/>
        <w:rPr>
          <w:rFonts w:ascii="Arial" w:hAnsi="Arial" w:cs="Arial"/>
          <w:color w:val="000000"/>
          <w:sz w:val="22"/>
          <w:szCs w:val="22"/>
        </w:rPr>
      </w:pPr>
      <w:r w:rsidRPr="00DE1B37">
        <w:rPr>
          <w:rFonts w:ascii="Arial" w:hAnsi="Arial" w:cs="Arial"/>
          <w:color w:val="000000"/>
          <w:sz w:val="22"/>
          <w:szCs w:val="22"/>
        </w:rPr>
        <w:t xml:space="preserve">Esta se relaciona con la información de los deudores cuyas obligaciones tengan un vencimiento superior a seis (6) meses y </w:t>
      </w:r>
      <w:r w:rsidR="00B46E42">
        <w:rPr>
          <w:rFonts w:ascii="Arial" w:hAnsi="Arial" w:cs="Arial"/>
          <w:color w:val="000000"/>
          <w:sz w:val="22"/>
          <w:szCs w:val="22"/>
        </w:rPr>
        <w:t xml:space="preserve">una cuantía </w:t>
      </w:r>
      <w:r w:rsidRPr="00DE1B37">
        <w:rPr>
          <w:rFonts w:ascii="Arial" w:hAnsi="Arial" w:cs="Arial"/>
          <w:color w:val="000000"/>
          <w:sz w:val="22"/>
          <w:szCs w:val="22"/>
        </w:rPr>
        <w:t>mayor a los cinco (5) salarios mínimos mensuales legales vigentes</w:t>
      </w:r>
      <w:r w:rsidR="00B46E42">
        <w:rPr>
          <w:rFonts w:ascii="Arial" w:hAnsi="Arial" w:cs="Arial"/>
          <w:color w:val="000000"/>
          <w:sz w:val="22"/>
          <w:szCs w:val="22"/>
        </w:rPr>
        <w:t xml:space="preserve">, </w:t>
      </w:r>
      <w:r w:rsidRPr="00DE1B37">
        <w:rPr>
          <w:rFonts w:ascii="Arial" w:hAnsi="Arial" w:cs="Arial"/>
          <w:color w:val="000000"/>
          <w:sz w:val="22"/>
          <w:szCs w:val="22"/>
        </w:rPr>
        <w:t>en los términos legales previstos sobre este particular.</w:t>
      </w:r>
    </w:p>
    <w:p w14:paraId="281BD2DB" w14:textId="265D49C9" w:rsidR="00341EF0" w:rsidRDefault="00341EF0" w:rsidP="00CA76B9">
      <w:pPr>
        <w:spacing w:line="288" w:lineRule="auto"/>
        <w:jc w:val="both"/>
        <w:rPr>
          <w:rFonts w:ascii="Arial" w:hAnsi="Arial" w:cs="Arial"/>
          <w:color w:val="000000"/>
          <w:sz w:val="22"/>
          <w:szCs w:val="22"/>
        </w:rPr>
      </w:pPr>
    </w:p>
    <w:p w14:paraId="6F871BEE" w14:textId="48E51566" w:rsidR="00341EF0" w:rsidRDefault="00341EF0" w:rsidP="00CA76B9">
      <w:pPr>
        <w:spacing w:line="288" w:lineRule="auto"/>
        <w:jc w:val="both"/>
        <w:rPr>
          <w:rFonts w:ascii="Arial" w:hAnsi="Arial" w:cs="Arial"/>
          <w:color w:val="000000"/>
          <w:sz w:val="22"/>
          <w:szCs w:val="22"/>
        </w:rPr>
      </w:pPr>
      <w:r>
        <w:rPr>
          <w:rFonts w:ascii="Arial" w:hAnsi="Arial" w:cs="Arial"/>
          <w:color w:val="000000"/>
          <w:sz w:val="22"/>
          <w:szCs w:val="22"/>
        </w:rPr>
        <w:t xml:space="preserve">Esta categoría incluye el </w:t>
      </w:r>
      <w:r w:rsidRPr="00341EF0">
        <w:rPr>
          <w:rFonts w:ascii="Arial" w:hAnsi="Arial" w:cs="Arial"/>
          <w:color w:val="000000"/>
          <w:sz w:val="22"/>
          <w:szCs w:val="22"/>
        </w:rPr>
        <w:t xml:space="preserve">formulario </w:t>
      </w:r>
      <w:r>
        <w:rPr>
          <w:rFonts w:ascii="Arial" w:hAnsi="Arial" w:cs="Arial"/>
          <w:color w:val="000000"/>
          <w:sz w:val="22"/>
          <w:szCs w:val="22"/>
        </w:rPr>
        <w:t>de</w:t>
      </w:r>
      <w:r w:rsidRPr="00341EF0">
        <w:rPr>
          <w:rFonts w:ascii="Arial" w:hAnsi="Arial" w:cs="Arial"/>
          <w:color w:val="000000"/>
          <w:sz w:val="22"/>
          <w:szCs w:val="22"/>
        </w:rPr>
        <w:t xml:space="preserve"> </w:t>
      </w:r>
      <w:r>
        <w:rPr>
          <w:rFonts w:ascii="Arial" w:hAnsi="Arial" w:cs="Arial"/>
          <w:color w:val="000000"/>
          <w:sz w:val="22"/>
          <w:szCs w:val="22"/>
        </w:rPr>
        <w:t>Boletín de Deudores M</w:t>
      </w:r>
      <w:r w:rsidRPr="00341EF0">
        <w:rPr>
          <w:rFonts w:ascii="Arial" w:hAnsi="Arial" w:cs="Arial"/>
          <w:color w:val="000000"/>
          <w:sz w:val="22"/>
          <w:szCs w:val="22"/>
        </w:rPr>
        <w:t>orosos del Estado (BDME)</w:t>
      </w:r>
      <w:r>
        <w:rPr>
          <w:rFonts w:ascii="Arial" w:hAnsi="Arial" w:cs="Arial"/>
          <w:color w:val="000000"/>
          <w:sz w:val="22"/>
          <w:szCs w:val="22"/>
        </w:rPr>
        <w:t xml:space="preserve">, en el cual </w:t>
      </w:r>
      <w:r w:rsidRPr="00341EF0">
        <w:rPr>
          <w:rFonts w:ascii="Arial" w:hAnsi="Arial" w:cs="Arial"/>
          <w:color w:val="000000"/>
          <w:sz w:val="22"/>
          <w:szCs w:val="22"/>
        </w:rPr>
        <w:t xml:space="preserve">debe reportarse la relación de los deudores </w:t>
      </w:r>
      <w:r w:rsidR="003A5F9C">
        <w:rPr>
          <w:rFonts w:ascii="Arial" w:hAnsi="Arial" w:cs="Arial"/>
          <w:color w:val="000000"/>
          <w:sz w:val="22"/>
          <w:szCs w:val="22"/>
        </w:rPr>
        <w:t xml:space="preserve">de Ministerio de Hacienda y Crédito Público </w:t>
      </w:r>
      <w:r w:rsidRPr="00341EF0">
        <w:rPr>
          <w:rFonts w:ascii="Arial" w:hAnsi="Arial" w:cs="Arial"/>
          <w:color w:val="000000"/>
          <w:sz w:val="22"/>
          <w:szCs w:val="22"/>
        </w:rPr>
        <w:t xml:space="preserve">que sean personas naturales o jurídicas y presenten obligaciones morosas mayores </w:t>
      </w:r>
      <w:r w:rsidRPr="00341EF0">
        <w:rPr>
          <w:rFonts w:ascii="Arial" w:hAnsi="Arial" w:cs="Arial"/>
          <w:color w:val="000000"/>
          <w:sz w:val="22"/>
          <w:szCs w:val="22"/>
        </w:rPr>
        <w:lastRenderedPageBreak/>
        <w:t>a seis (6) meses y la cuantía supere los cinco (5) salarios mínimos mensuales</w:t>
      </w:r>
      <w:r>
        <w:rPr>
          <w:rFonts w:ascii="Arial" w:hAnsi="Arial" w:cs="Arial"/>
          <w:color w:val="000000"/>
          <w:sz w:val="22"/>
          <w:szCs w:val="22"/>
        </w:rPr>
        <w:t xml:space="preserve"> legales vigentes</w:t>
      </w:r>
      <w:r w:rsidR="003A5F9C">
        <w:rPr>
          <w:rFonts w:ascii="Arial" w:hAnsi="Arial" w:cs="Arial"/>
          <w:color w:val="000000"/>
          <w:sz w:val="22"/>
          <w:szCs w:val="22"/>
        </w:rPr>
        <w:t>.</w:t>
      </w:r>
    </w:p>
    <w:p w14:paraId="7394E437" w14:textId="60A6EE1C" w:rsidR="002D2633" w:rsidRDefault="002D2633" w:rsidP="00CA76B9">
      <w:pPr>
        <w:spacing w:line="288" w:lineRule="auto"/>
        <w:jc w:val="both"/>
        <w:rPr>
          <w:rFonts w:ascii="Arial" w:hAnsi="Arial" w:cs="Arial"/>
          <w:color w:val="000000"/>
          <w:sz w:val="22"/>
          <w:szCs w:val="22"/>
        </w:rPr>
      </w:pPr>
    </w:p>
    <w:p w14:paraId="7F0984B4" w14:textId="7FB4EAD4" w:rsidR="002D2633" w:rsidRPr="00341EF0" w:rsidRDefault="00FE12E0" w:rsidP="00CA76B9">
      <w:pPr>
        <w:spacing w:line="288" w:lineRule="auto"/>
        <w:jc w:val="both"/>
        <w:rPr>
          <w:rFonts w:ascii="Arial" w:hAnsi="Arial" w:cs="Arial"/>
          <w:color w:val="000000"/>
          <w:sz w:val="22"/>
          <w:szCs w:val="22"/>
        </w:rPr>
      </w:pPr>
      <w:r>
        <w:rPr>
          <w:rFonts w:ascii="Arial" w:hAnsi="Arial" w:cs="Arial"/>
          <w:color w:val="000000"/>
          <w:sz w:val="22"/>
          <w:szCs w:val="22"/>
        </w:rPr>
        <w:t>Para tal efecto, e</w:t>
      </w:r>
      <w:r w:rsidR="002D2633">
        <w:rPr>
          <w:rFonts w:ascii="Arial" w:hAnsi="Arial" w:cs="Arial"/>
          <w:color w:val="000000"/>
          <w:sz w:val="22"/>
          <w:szCs w:val="22"/>
        </w:rPr>
        <w:t xml:space="preserve">l Grupo de Contabilidad agregará y reportará </w:t>
      </w:r>
      <w:r w:rsidR="00B46E42">
        <w:rPr>
          <w:rFonts w:ascii="Arial" w:hAnsi="Arial" w:cs="Arial"/>
          <w:color w:val="000000"/>
          <w:sz w:val="22"/>
          <w:szCs w:val="22"/>
        </w:rPr>
        <w:t xml:space="preserve">a través del </w:t>
      </w:r>
      <w:r w:rsidR="009B31B7">
        <w:rPr>
          <w:rFonts w:ascii="Arial" w:hAnsi="Arial" w:cs="Arial"/>
          <w:color w:val="000000"/>
          <w:sz w:val="22"/>
          <w:szCs w:val="22"/>
        </w:rPr>
        <w:t xml:space="preserve">CHIP </w:t>
      </w:r>
      <w:r w:rsidR="002D2633">
        <w:rPr>
          <w:rFonts w:ascii="Arial" w:hAnsi="Arial" w:cs="Arial"/>
          <w:color w:val="000000"/>
          <w:sz w:val="22"/>
          <w:szCs w:val="22"/>
        </w:rPr>
        <w:t xml:space="preserve">la información de los deudores </w:t>
      </w:r>
      <w:r w:rsidR="009B31B7">
        <w:rPr>
          <w:rFonts w:ascii="Arial" w:hAnsi="Arial" w:cs="Arial"/>
          <w:color w:val="000000"/>
          <w:sz w:val="22"/>
          <w:szCs w:val="22"/>
        </w:rPr>
        <w:t>suministrada</w:t>
      </w:r>
      <w:r w:rsidR="002D2633">
        <w:rPr>
          <w:rFonts w:ascii="Arial" w:hAnsi="Arial" w:cs="Arial"/>
          <w:color w:val="000000"/>
          <w:sz w:val="22"/>
          <w:szCs w:val="22"/>
        </w:rPr>
        <w:t xml:space="preserve"> por cada área responsable </w:t>
      </w:r>
      <w:r w:rsidR="00593636">
        <w:rPr>
          <w:rFonts w:ascii="Arial" w:hAnsi="Arial" w:cs="Arial"/>
          <w:color w:val="000000"/>
          <w:sz w:val="22"/>
          <w:szCs w:val="22"/>
        </w:rPr>
        <w:t>de la administración de la cartera del MHCP</w:t>
      </w:r>
      <w:r w:rsidR="00447D47">
        <w:rPr>
          <w:rFonts w:ascii="Arial" w:hAnsi="Arial" w:cs="Arial"/>
          <w:color w:val="000000"/>
          <w:sz w:val="22"/>
          <w:szCs w:val="22"/>
        </w:rPr>
        <w:t xml:space="preserve">, de acuerdo con </w:t>
      </w:r>
      <w:r w:rsidR="003A5F9C">
        <w:rPr>
          <w:rFonts w:ascii="Arial" w:hAnsi="Arial" w:cs="Arial"/>
          <w:color w:val="000000"/>
          <w:sz w:val="22"/>
          <w:szCs w:val="22"/>
        </w:rPr>
        <w:t>las</w:t>
      </w:r>
      <w:r w:rsidR="00447D47">
        <w:rPr>
          <w:rFonts w:ascii="Arial" w:hAnsi="Arial" w:cs="Arial"/>
          <w:color w:val="000000"/>
          <w:sz w:val="22"/>
          <w:szCs w:val="22"/>
        </w:rPr>
        <w:t xml:space="preserve"> condiciones</w:t>
      </w:r>
      <w:r w:rsidR="003A5F9C">
        <w:rPr>
          <w:rFonts w:ascii="Arial" w:hAnsi="Arial" w:cs="Arial"/>
          <w:color w:val="000000"/>
          <w:sz w:val="22"/>
          <w:szCs w:val="22"/>
        </w:rPr>
        <w:t xml:space="preserve"> y plazos </w:t>
      </w:r>
      <w:r w:rsidR="00447D47">
        <w:rPr>
          <w:rFonts w:ascii="Arial" w:hAnsi="Arial" w:cs="Arial"/>
          <w:color w:val="000000"/>
          <w:sz w:val="22"/>
          <w:szCs w:val="22"/>
        </w:rPr>
        <w:t>que defina la Contaduría General de la Nación.</w:t>
      </w:r>
      <w:r w:rsidR="00593636">
        <w:rPr>
          <w:rFonts w:ascii="Arial" w:hAnsi="Arial" w:cs="Arial"/>
          <w:color w:val="000000"/>
          <w:sz w:val="22"/>
          <w:szCs w:val="22"/>
        </w:rPr>
        <w:t xml:space="preserve"> </w:t>
      </w:r>
    </w:p>
    <w:p w14:paraId="63E45C97" w14:textId="1B1C82C3" w:rsidR="00341EF0" w:rsidRDefault="00341EF0" w:rsidP="00CA76B9">
      <w:pPr>
        <w:spacing w:line="288" w:lineRule="auto"/>
        <w:jc w:val="both"/>
        <w:rPr>
          <w:rFonts w:ascii="Arial" w:hAnsi="Arial" w:cs="Arial"/>
          <w:color w:val="000000"/>
          <w:sz w:val="22"/>
          <w:szCs w:val="22"/>
        </w:rPr>
      </w:pPr>
    </w:p>
    <w:p w14:paraId="7A0BF630" w14:textId="282D1AD2" w:rsidR="0065370B" w:rsidRPr="00AD11B7" w:rsidRDefault="0065370B" w:rsidP="00343ECE">
      <w:pPr>
        <w:pStyle w:val="Ttulo3"/>
        <w:numPr>
          <w:ilvl w:val="2"/>
          <w:numId w:val="9"/>
        </w:numPr>
        <w:spacing w:line="288" w:lineRule="auto"/>
        <w:rPr>
          <w:rFonts w:ascii="Arial" w:hAnsi="Arial" w:cs="Arial"/>
          <w:b/>
          <w:sz w:val="22"/>
          <w:szCs w:val="22"/>
        </w:rPr>
      </w:pPr>
      <w:bookmarkStart w:id="211" w:name="_Toc59377858"/>
      <w:r w:rsidRPr="00AD11B7">
        <w:rPr>
          <w:rFonts w:ascii="Arial" w:hAnsi="Arial" w:cs="Arial"/>
          <w:b/>
          <w:sz w:val="22"/>
          <w:szCs w:val="22"/>
        </w:rPr>
        <w:t xml:space="preserve">Elaboración y presentación de </w:t>
      </w:r>
      <w:r>
        <w:rPr>
          <w:rFonts w:ascii="Arial" w:hAnsi="Arial" w:cs="Arial"/>
          <w:b/>
          <w:sz w:val="22"/>
          <w:szCs w:val="22"/>
        </w:rPr>
        <w:t>otros reportes e informes</w:t>
      </w:r>
      <w:bookmarkEnd w:id="211"/>
    </w:p>
    <w:p w14:paraId="2FD130CF" w14:textId="77777777" w:rsidR="0065370B" w:rsidRPr="00CC4043" w:rsidRDefault="0065370B" w:rsidP="00CA76B9">
      <w:pPr>
        <w:spacing w:line="288" w:lineRule="auto"/>
        <w:jc w:val="both"/>
        <w:rPr>
          <w:rFonts w:ascii="Arial" w:hAnsi="Arial" w:cs="Arial"/>
          <w:color w:val="000000"/>
          <w:sz w:val="22"/>
          <w:szCs w:val="22"/>
        </w:rPr>
      </w:pPr>
    </w:p>
    <w:p w14:paraId="7A9B20CA" w14:textId="354A675A" w:rsidR="008F1CC9" w:rsidRPr="00AD11B7" w:rsidRDefault="0065370B" w:rsidP="00CA76B9">
      <w:pPr>
        <w:spacing w:line="288" w:lineRule="auto"/>
        <w:jc w:val="both"/>
        <w:rPr>
          <w:rFonts w:ascii="Arial" w:hAnsi="Arial" w:cs="Arial"/>
          <w:color w:val="000000"/>
          <w:sz w:val="22"/>
          <w:szCs w:val="22"/>
          <w:lang w:val="es-CO" w:eastAsia="es-CO"/>
        </w:rPr>
      </w:pPr>
      <w:r>
        <w:rPr>
          <w:rFonts w:ascii="Arial" w:hAnsi="Arial" w:cs="Arial"/>
          <w:color w:val="000000"/>
          <w:sz w:val="22"/>
          <w:szCs w:val="22"/>
          <w:lang w:val="es-CO" w:eastAsia="es-CO"/>
        </w:rPr>
        <w:t>E</w:t>
      </w:r>
      <w:r w:rsidR="008F1CC9" w:rsidRPr="00EB7709">
        <w:rPr>
          <w:rFonts w:ascii="Arial" w:hAnsi="Arial" w:cs="Arial"/>
          <w:color w:val="000000"/>
          <w:sz w:val="22"/>
          <w:szCs w:val="22"/>
          <w:lang w:val="es-CO" w:eastAsia="es-CO"/>
        </w:rPr>
        <w:t>l Ministerio de Hacienda y Crédito Público</w:t>
      </w:r>
      <w:r w:rsidR="008F1CC9" w:rsidRPr="00AD11B7">
        <w:rPr>
          <w:rFonts w:ascii="Arial" w:hAnsi="Arial" w:cs="Arial"/>
          <w:color w:val="000000"/>
          <w:sz w:val="22"/>
          <w:szCs w:val="22"/>
          <w:lang w:val="es-CO" w:eastAsia="es-CO"/>
        </w:rPr>
        <w:t xml:space="preserve"> presenta a la Contraloría General de la República la rendición de la cuenta consolidada, de conformidad con los términos, plazos y requisitos fijados por el Órgano de Control Fiscal. El área encargada de la consolidación y rendición de la cuenta de esta cartera Ministerial, es </w:t>
      </w:r>
      <w:r w:rsidR="008F1CC9" w:rsidRPr="00D965CC">
        <w:rPr>
          <w:rFonts w:ascii="Arial" w:hAnsi="Arial" w:cs="Arial"/>
          <w:color w:val="000000"/>
          <w:sz w:val="22"/>
          <w:szCs w:val="22"/>
          <w:lang w:val="es-CO" w:eastAsia="es-CO"/>
        </w:rPr>
        <w:t xml:space="preserve">la </w:t>
      </w:r>
      <w:r w:rsidR="00D04940" w:rsidRPr="00D965CC">
        <w:rPr>
          <w:rFonts w:ascii="Arial" w:hAnsi="Arial" w:cs="Arial"/>
          <w:color w:val="000000"/>
          <w:sz w:val="22"/>
          <w:szCs w:val="22"/>
          <w:lang w:val="es-CO" w:eastAsia="es-CO"/>
        </w:rPr>
        <w:t>Dirección Administrativa</w:t>
      </w:r>
      <w:r w:rsidR="000C28A3">
        <w:rPr>
          <w:rFonts w:ascii="Arial" w:hAnsi="Arial" w:cs="Arial"/>
          <w:color w:val="000000"/>
          <w:sz w:val="22"/>
          <w:szCs w:val="22"/>
          <w:lang w:val="es-CO" w:eastAsia="es-CO"/>
        </w:rPr>
        <w:t>.</w:t>
      </w:r>
    </w:p>
    <w:p w14:paraId="2C45D541" w14:textId="77777777" w:rsidR="008F1CC9" w:rsidRPr="00AD11B7" w:rsidRDefault="008F1CC9" w:rsidP="00CA76B9">
      <w:pPr>
        <w:spacing w:line="288" w:lineRule="auto"/>
        <w:jc w:val="both"/>
        <w:rPr>
          <w:rFonts w:ascii="Arial" w:hAnsi="Arial" w:cs="Arial"/>
          <w:color w:val="000000"/>
          <w:sz w:val="22"/>
          <w:szCs w:val="22"/>
          <w:lang w:val="es-CO" w:eastAsia="es-CO"/>
        </w:rPr>
      </w:pPr>
    </w:p>
    <w:p w14:paraId="59BBD08D" w14:textId="026BC163" w:rsidR="003B2DF4" w:rsidRDefault="0065370B" w:rsidP="00CA76B9">
      <w:pPr>
        <w:spacing w:line="288" w:lineRule="auto"/>
        <w:jc w:val="both"/>
        <w:rPr>
          <w:rFonts w:ascii="Arial" w:hAnsi="Arial" w:cs="Arial"/>
          <w:color w:val="000000"/>
          <w:sz w:val="22"/>
          <w:szCs w:val="22"/>
          <w:lang w:val="es-CO" w:eastAsia="es-CO"/>
        </w:rPr>
      </w:pPr>
      <w:r>
        <w:rPr>
          <w:rFonts w:ascii="Arial" w:hAnsi="Arial" w:cs="Arial"/>
          <w:color w:val="000000"/>
          <w:sz w:val="22"/>
          <w:szCs w:val="22"/>
          <w:lang w:val="es-CO" w:eastAsia="es-CO"/>
        </w:rPr>
        <w:t>De otra parte</w:t>
      </w:r>
      <w:r w:rsidRPr="00EB7709">
        <w:rPr>
          <w:rFonts w:ascii="Arial" w:hAnsi="Arial" w:cs="Arial"/>
          <w:color w:val="000000"/>
          <w:sz w:val="22"/>
          <w:szCs w:val="22"/>
          <w:lang w:val="es-CO" w:eastAsia="es-CO"/>
        </w:rPr>
        <w:t xml:space="preserve">, </w:t>
      </w:r>
      <w:r w:rsidRPr="00EA1FF7">
        <w:rPr>
          <w:rFonts w:ascii="Arial" w:hAnsi="Arial" w:cs="Arial"/>
          <w:color w:val="000000"/>
          <w:sz w:val="22"/>
          <w:szCs w:val="22"/>
          <w:lang w:val="es-CO" w:eastAsia="es-CO"/>
        </w:rPr>
        <w:t>c</w:t>
      </w:r>
      <w:r w:rsidR="00380BC4" w:rsidRPr="00EA1FF7">
        <w:rPr>
          <w:rFonts w:ascii="Arial" w:hAnsi="Arial" w:cs="Arial"/>
          <w:color w:val="000000"/>
          <w:sz w:val="22"/>
          <w:szCs w:val="22"/>
          <w:lang w:val="es-CO" w:eastAsia="es-CO"/>
        </w:rPr>
        <w:t xml:space="preserve">on respecto a la </w:t>
      </w:r>
      <w:r w:rsidR="008F1CC9" w:rsidRPr="00EA1FF7">
        <w:rPr>
          <w:rFonts w:ascii="Arial" w:hAnsi="Arial" w:cs="Arial"/>
          <w:color w:val="000000"/>
          <w:sz w:val="22"/>
          <w:szCs w:val="22"/>
          <w:lang w:val="es-CO" w:eastAsia="es-CO"/>
        </w:rPr>
        <w:t xml:space="preserve">información que se debe presentar a la Comisión Legal de Cuentas de la Cámara de Representantes, </w:t>
      </w:r>
      <w:r w:rsidR="003B2DF4" w:rsidRPr="00EA1FF7">
        <w:rPr>
          <w:rFonts w:ascii="Arial" w:hAnsi="Arial" w:cs="Arial"/>
          <w:color w:val="000000"/>
          <w:sz w:val="22"/>
          <w:szCs w:val="22"/>
          <w:lang w:val="es-CO" w:eastAsia="es-CO"/>
        </w:rPr>
        <w:t xml:space="preserve">el Grupo de Contabilidad se encargará de  suministrar la información financiera requerida, para su posterior consolidación y envío por parte del área </w:t>
      </w:r>
      <w:r w:rsidR="003663D1">
        <w:rPr>
          <w:rFonts w:ascii="Arial" w:hAnsi="Arial" w:cs="Arial"/>
          <w:color w:val="000000"/>
          <w:sz w:val="22"/>
          <w:szCs w:val="22"/>
          <w:lang w:val="es-CO" w:eastAsia="es-CO"/>
        </w:rPr>
        <w:t>designada para tal efecto</w:t>
      </w:r>
      <w:r w:rsidR="003B2DF4" w:rsidRPr="00EB7709">
        <w:rPr>
          <w:rFonts w:ascii="Arial" w:hAnsi="Arial" w:cs="Arial"/>
          <w:color w:val="000000"/>
          <w:sz w:val="22"/>
          <w:szCs w:val="22"/>
          <w:lang w:val="es-CO" w:eastAsia="es-CO"/>
        </w:rPr>
        <w:t>, en los plazos y condiciones definidos por la referida Comisi</w:t>
      </w:r>
      <w:r w:rsidR="003B2DF4" w:rsidRPr="00EA1FF7">
        <w:rPr>
          <w:rFonts w:ascii="Arial" w:hAnsi="Arial" w:cs="Arial"/>
          <w:color w:val="000000"/>
          <w:sz w:val="22"/>
          <w:szCs w:val="22"/>
          <w:lang w:val="es-CO" w:eastAsia="es-CO"/>
        </w:rPr>
        <w:t>ón.</w:t>
      </w:r>
      <w:r w:rsidR="003B2DF4">
        <w:rPr>
          <w:rFonts w:ascii="Arial" w:hAnsi="Arial" w:cs="Arial"/>
          <w:color w:val="000000"/>
          <w:sz w:val="22"/>
          <w:szCs w:val="22"/>
          <w:lang w:val="es-CO" w:eastAsia="es-CO"/>
        </w:rPr>
        <w:t xml:space="preserve">  </w:t>
      </w:r>
    </w:p>
    <w:p w14:paraId="2CDF6C2A" w14:textId="77777777" w:rsidR="00FC3BAA" w:rsidRDefault="00FC3BAA" w:rsidP="00CA76B9">
      <w:pPr>
        <w:spacing w:line="288" w:lineRule="auto"/>
        <w:jc w:val="both"/>
        <w:rPr>
          <w:rFonts w:ascii="Arial" w:hAnsi="Arial" w:cs="Arial"/>
          <w:color w:val="000000"/>
          <w:sz w:val="22"/>
          <w:szCs w:val="22"/>
          <w:lang w:val="es-CO" w:eastAsia="es-CO"/>
        </w:rPr>
      </w:pPr>
    </w:p>
    <w:p w14:paraId="0E12D96F" w14:textId="1A693654" w:rsidR="00300EF9" w:rsidRPr="00AD11B7" w:rsidRDefault="00FC3BAA" w:rsidP="00CA76B9">
      <w:pPr>
        <w:spacing w:line="288" w:lineRule="auto"/>
        <w:jc w:val="both"/>
        <w:rPr>
          <w:rFonts w:ascii="Arial" w:hAnsi="Arial" w:cs="Arial"/>
          <w:color w:val="000000"/>
          <w:sz w:val="22"/>
          <w:szCs w:val="22"/>
          <w:lang w:val="es-CO" w:eastAsia="es-CO"/>
        </w:rPr>
      </w:pPr>
      <w:r>
        <w:rPr>
          <w:rFonts w:ascii="Arial" w:hAnsi="Arial" w:cs="Arial"/>
          <w:color w:val="000000"/>
          <w:sz w:val="22"/>
          <w:szCs w:val="22"/>
          <w:lang w:val="es-CO" w:eastAsia="es-CO"/>
        </w:rPr>
        <w:t xml:space="preserve">La información contable requerida por la </w:t>
      </w:r>
      <w:r w:rsidR="008F1CC9" w:rsidRPr="00AD11B7">
        <w:rPr>
          <w:rFonts w:ascii="Arial" w:hAnsi="Arial" w:cs="Arial"/>
          <w:color w:val="000000"/>
          <w:sz w:val="22"/>
          <w:szCs w:val="22"/>
          <w:lang w:val="es-CO" w:eastAsia="es-CO"/>
        </w:rPr>
        <w:t>Dirección de Impuestos y Aduanas Nacionales</w:t>
      </w:r>
      <w:r>
        <w:rPr>
          <w:rFonts w:ascii="Arial" w:hAnsi="Arial" w:cs="Arial"/>
          <w:color w:val="000000"/>
          <w:sz w:val="22"/>
          <w:szCs w:val="22"/>
          <w:lang w:val="es-CO" w:eastAsia="es-CO"/>
        </w:rPr>
        <w:t xml:space="preserve">, </w:t>
      </w:r>
      <w:r w:rsidR="008F1CC9" w:rsidRPr="00AD11B7">
        <w:rPr>
          <w:rFonts w:ascii="Arial" w:hAnsi="Arial" w:cs="Arial"/>
          <w:color w:val="000000"/>
          <w:sz w:val="22"/>
          <w:szCs w:val="22"/>
          <w:lang w:val="es-CO" w:eastAsia="es-CO"/>
        </w:rPr>
        <w:t xml:space="preserve">la Secretaría de Hacienda Distrital, entre otras, </w:t>
      </w:r>
      <w:r w:rsidR="00380BC4" w:rsidRPr="00AD11B7">
        <w:rPr>
          <w:rFonts w:ascii="Arial" w:hAnsi="Arial" w:cs="Arial"/>
          <w:color w:val="000000"/>
          <w:sz w:val="22"/>
          <w:szCs w:val="22"/>
          <w:lang w:val="es-CO" w:eastAsia="es-CO"/>
        </w:rPr>
        <w:t xml:space="preserve">se </w:t>
      </w:r>
      <w:r w:rsidR="00CC4043">
        <w:rPr>
          <w:rFonts w:ascii="Arial" w:hAnsi="Arial" w:cs="Arial"/>
          <w:color w:val="000000"/>
          <w:sz w:val="22"/>
          <w:szCs w:val="22"/>
          <w:lang w:val="es-CO" w:eastAsia="es-CO"/>
        </w:rPr>
        <w:t>suministrará</w:t>
      </w:r>
      <w:r w:rsidR="00CC4043" w:rsidRPr="00AD11B7">
        <w:rPr>
          <w:rFonts w:ascii="Arial" w:hAnsi="Arial" w:cs="Arial"/>
          <w:color w:val="000000"/>
          <w:sz w:val="22"/>
          <w:szCs w:val="22"/>
          <w:lang w:val="es-CO" w:eastAsia="es-CO"/>
        </w:rPr>
        <w:t xml:space="preserve"> </w:t>
      </w:r>
      <w:r w:rsidR="008F1CC9" w:rsidRPr="00AD11B7">
        <w:rPr>
          <w:rFonts w:ascii="Arial" w:hAnsi="Arial" w:cs="Arial"/>
          <w:color w:val="000000"/>
          <w:sz w:val="22"/>
          <w:szCs w:val="22"/>
          <w:lang w:val="es-CO" w:eastAsia="es-CO"/>
        </w:rPr>
        <w:t>de acuerdo con la normatividad vigente</w:t>
      </w:r>
      <w:r w:rsidR="00DA5832">
        <w:rPr>
          <w:rFonts w:ascii="Arial" w:hAnsi="Arial" w:cs="Arial"/>
          <w:color w:val="000000"/>
          <w:sz w:val="22"/>
          <w:szCs w:val="22"/>
          <w:lang w:val="es-CO" w:eastAsia="es-CO"/>
        </w:rPr>
        <w:t xml:space="preserve"> o los requerimientos que se realicen</w:t>
      </w:r>
      <w:r w:rsidR="008F1CC9" w:rsidRPr="00AD11B7">
        <w:rPr>
          <w:rFonts w:ascii="Arial" w:hAnsi="Arial" w:cs="Arial"/>
          <w:color w:val="000000"/>
          <w:sz w:val="22"/>
          <w:szCs w:val="22"/>
          <w:lang w:val="es-CO" w:eastAsia="es-CO"/>
        </w:rPr>
        <w:t>, y en los plazos establecidos por cada entidad.</w:t>
      </w:r>
    </w:p>
    <w:p w14:paraId="042C415B" w14:textId="77777777" w:rsidR="0046335B" w:rsidRPr="00AD11B7" w:rsidRDefault="0046335B" w:rsidP="00CA76B9">
      <w:pPr>
        <w:spacing w:line="288" w:lineRule="auto"/>
        <w:jc w:val="both"/>
        <w:rPr>
          <w:rFonts w:ascii="Arial" w:hAnsi="Arial" w:cs="Arial"/>
          <w:sz w:val="22"/>
          <w:szCs w:val="22"/>
        </w:rPr>
      </w:pPr>
    </w:p>
    <w:p w14:paraId="30D40538" w14:textId="77777777" w:rsidR="0046335B" w:rsidRPr="00AD11B7" w:rsidRDefault="0046335B" w:rsidP="00343ECE">
      <w:pPr>
        <w:pStyle w:val="Prrafodelista"/>
        <w:numPr>
          <w:ilvl w:val="1"/>
          <w:numId w:val="9"/>
        </w:numPr>
        <w:spacing w:line="288" w:lineRule="auto"/>
        <w:contextualSpacing/>
        <w:jc w:val="both"/>
        <w:outlineLvl w:val="1"/>
        <w:rPr>
          <w:rFonts w:ascii="Arial" w:hAnsi="Arial" w:cs="Arial"/>
          <w:b/>
          <w:sz w:val="22"/>
          <w:szCs w:val="22"/>
          <w:lang w:val="es-MX"/>
        </w:rPr>
      </w:pPr>
      <w:bookmarkStart w:id="212" w:name="_Toc397936285"/>
      <w:bookmarkStart w:id="213" w:name="_Toc459991385"/>
      <w:bookmarkStart w:id="214" w:name="_Toc490726985"/>
      <w:bookmarkStart w:id="215" w:name="_Toc490727933"/>
      <w:bookmarkStart w:id="216" w:name="_Toc59377859"/>
      <w:r w:rsidRPr="00AD11B7">
        <w:rPr>
          <w:rFonts w:ascii="Arial" w:hAnsi="Arial" w:cs="Arial"/>
          <w:b/>
          <w:sz w:val="22"/>
          <w:szCs w:val="22"/>
          <w:lang w:val="es-MX"/>
        </w:rPr>
        <w:t>DEPURACIÓN Y SOSTENIBILIDAD CONTABLE PERMANENTE</w:t>
      </w:r>
      <w:bookmarkEnd w:id="212"/>
      <w:bookmarkEnd w:id="213"/>
      <w:bookmarkEnd w:id="214"/>
      <w:bookmarkEnd w:id="215"/>
      <w:bookmarkEnd w:id="216"/>
    </w:p>
    <w:p w14:paraId="50D901EB" w14:textId="77777777" w:rsidR="008C6FA7" w:rsidRPr="00AD11B7" w:rsidRDefault="008C6FA7" w:rsidP="00CA76B9">
      <w:pPr>
        <w:pStyle w:val="Prrafodelista"/>
        <w:spacing w:line="288" w:lineRule="auto"/>
        <w:ind w:left="360"/>
        <w:contextualSpacing/>
        <w:jc w:val="both"/>
        <w:outlineLvl w:val="1"/>
        <w:rPr>
          <w:rFonts w:ascii="Arial" w:hAnsi="Arial" w:cs="Arial"/>
          <w:b/>
          <w:sz w:val="22"/>
          <w:szCs w:val="22"/>
          <w:lang w:val="es-MX"/>
        </w:rPr>
      </w:pPr>
    </w:p>
    <w:p w14:paraId="302B86A3" w14:textId="228997A6" w:rsidR="0046335B" w:rsidRPr="00AD11B7" w:rsidRDefault="0046335B" w:rsidP="00CA76B9">
      <w:pPr>
        <w:autoSpaceDE w:val="0"/>
        <w:autoSpaceDN w:val="0"/>
        <w:adjustRightInd w:val="0"/>
        <w:spacing w:line="288" w:lineRule="auto"/>
        <w:jc w:val="both"/>
        <w:rPr>
          <w:rFonts w:ascii="Arial" w:eastAsia="Calibri" w:hAnsi="Arial" w:cs="Arial"/>
          <w:sz w:val="22"/>
          <w:szCs w:val="22"/>
        </w:rPr>
      </w:pPr>
      <w:r w:rsidRPr="00AD11B7">
        <w:rPr>
          <w:rFonts w:ascii="Arial" w:hAnsi="Arial" w:cs="Arial"/>
          <w:bCs/>
          <w:sz w:val="22"/>
          <w:szCs w:val="22"/>
          <w:lang w:val="es-MX"/>
        </w:rPr>
        <w:t>En el Ministerio de Hacienda y Crédito Público se aplicarán permanentemente las políticas, prácticas y métodos contables definidos en el</w:t>
      </w:r>
      <w:r w:rsidR="0077787D" w:rsidRPr="00AD11B7">
        <w:rPr>
          <w:rFonts w:ascii="Arial" w:hAnsi="Arial" w:cs="Arial"/>
          <w:bCs/>
          <w:sz w:val="22"/>
          <w:szCs w:val="22"/>
          <w:lang w:val="es-MX"/>
        </w:rPr>
        <w:t xml:space="preserve"> Marco Normativo para Entidades de Gobierno </w:t>
      </w:r>
      <w:r w:rsidR="00C555C5" w:rsidRPr="00AD11B7">
        <w:rPr>
          <w:rFonts w:ascii="Arial" w:hAnsi="Arial" w:cs="Arial"/>
          <w:bCs/>
          <w:sz w:val="22"/>
          <w:szCs w:val="22"/>
          <w:lang w:val="es-MX"/>
        </w:rPr>
        <w:t xml:space="preserve">del Régimen de Contabilidad Pública </w:t>
      </w:r>
      <w:r w:rsidR="0077787D" w:rsidRPr="00AD11B7">
        <w:rPr>
          <w:rFonts w:ascii="Arial" w:hAnsi="Arial" w:cs="Arial"/>
          <w:bCs/>
          <w:sz w:val="22"/>
          <w:szCs w:val="22"/>
          <w:lang w:val="es-MX"/>
        </w:rPr>
        <w:t>expedido por la Contaduría General de la Nación mediante Resolución 533 de 2015 y sus modificatorias, así como en Manual de Políticas Contables adoptado mediante Resolución 3849 de 2018</w:t>
      </w:r>
      <w:r w:rsidR="00C555C5" w:rsidRPr="00AD11B7">
        <w:rPr>
          <w:rFonts w:ascii="Arial" w:hAnsi="Arial" w:cs="Arial"/>
          <w:bCs/>
          <w:sz w:val="22"/>
          <w:szCs w:val="22"/>
          <w:lang w:val="es-MX"/>
        </w:rPr>
        <w:t xml:space="preserve"> del MHCP</w:t>
      </w:r>
      <w:r w:rsidR="005D0FC5">
        <w:rPr>
          <w:rFonts w:ascii="Arial" w:hAnsi="Arial" w:cs="Arial"/>
          <w:bCs/>
          <w:sz w:val="22"/>
          <w:szCs w:val="22"/>
          <w:lang w:val="es-MX"/>
        </w:rPr>
        <w:t xml:space="preserve"> (y sus actualizaciones)</w:t>
      </w:r>
      <w:r w:rsidR="0077787D" w:rsidRPr="00AD11B7">
        <w:rPr>
          <w:rFonts w:ascii="Arial" w:hAnsi="Arial" w:cs="Arial"/>
          <w:bCs/>
          <w:sz w:val="22"/>
          <w:szCs w:val="22"/>
          <w:lang w:val="es-MX"/>
        </w:rPr>
        <w:t xml:space="preserve">, y en el </w:t>
      </w:r>
      <w:r w:rsidRPr="00AD11B7">
        <w:rPr>
          <w:rFonts w:ascii="Arial" w:hAnsi="Arial" w:cs="Arial"/>
          <w:bCs/>
          <w:sz w:val="22"/>
          <w:szCs w:val="22"/>
          <w:lang w:val="es-MX"/>
        </w:rPr>
        <w:t xml:space="preserve">presente Manual </w:t>
      </w:r>
      <w:r w:rsidR="0077787D" w:rsidRPr="00AD11B7">
        <w:rPr>
          <w:rFonts w:ascii="Arial" w:hAnsi="Arial" w:cs="Arial"/>
          <w:bCs/>
          <w:sz w:val="22"/>
          <w:szCs w:val="22"/>
          <w:lang w:val="es-MX"/>
        </w:rPr>
        <w:t xml:space="preserve">Operativo para la </w:t>
      </w:r>
      <w:r w:rsidR="004D6D83" w:rsidRPr="00AD11B7">
        <w:rPr>
          <w:rFonts w:ascii="Arial" w:hAnsi="Arial" w:cs="Arial"/>
          <w:bCs/>
          <w:sz w:val="22"/>
          <w:szCs w:val="22"/>
          <w:lang w:val="es-MX"/>
        </w:rPr>
        <w:t xml:space="preserve">Gestión Contable, </w:t>
      </w:r>
      <w:r w:rsidRPr="00AD11B7">
        <w:rPr>
          <w:rFonts w:ascii="Arial" w:hAnsi="Arial" w:cs="Arial"/>
          <w:bCs/>
          <w:sz w:val="22"/>
          <w:szCs w:val="22"/>
          <w:lang w:val="es-MX"/>
        </w:rPr>
        <w:t xml:space="preserve">procurando que las áreas de gestión optimicen sus procesos y procedimientos con el objeto de garantizar la calidad, eficacia, confiabilidad y oportunidad de la información contable. </w:t>
      </w:r>
    </w:p>
    <w:p w14:paraId="10D8F522" w14:textId="77777777" w:rsidR="0046335B" w:rsidRPr="00AD11B7" w:rsidRDefault="0046335B" w:rsidP="00CA76B9">
      <w:pPr>
        <w:autoSpaceDE w:val="0"/>
        <w:autoSpaceDN w:val="0"/>
        <w:adjustRightInd w:val="0"/>
        <w:spacing w:line="288" w:lineRule="auto"/>
        <w:jc w:val="both"/>
        <w:rPr>
          <w:rFonts w:ascii="Arial" w:eastAsia="Calibri" w:hAnsi="Arial" w:cs="Arial"/>
          <w:sz w:val="22"/>
          <w:szCs w:val="22"/>
        </w:rPr>
      </w:pPr>
    </w:p>
    <w:p w14:paraId="6E40CBA0" w14:textId="77777777" w:rsidR="004E02F4" w:rsidRPr="00AD11B7" w:rsidRDefault="00C555C5" w:rsidP="00CA76B9">
      <w:pPr>
        <w:autoSpaceDE w:val="0"/>
        <w:autoSpaceDN w:val="0"/>
        <w:adjustRightInd w:val="0"/>
        <w:spacing w:line="288" w:lineRule="auto"/>
        <w:jc w:val="both"/>
        <w:rPr>
          <w:rFonts w:ascii="Arial" w:hAnsi="Arial" w:cs="Arial"/>
          <w:sz w:val="22"/>
          <w:szCs w:val="22"/>
        </w:rPr>
      </w:pPr>
      <w:r w:rsidRPr="00AD11B7">
        <w:rPr>
          <w:rFonts w:ascii="Arial" w:hAnsi="Arial" w:cs="Arial"/>
          <w:bCs/>
          <w:sz w:val="22"/>
          <w:szCs w:val="22"/>
          <w:lang w:val="es-MX"/>
        </w:rPr>
        <w:t xml:space="preserve">Asimismo, la Entidad </w:t>
      </w:r>
      <w:r w:rsidR="0046335B" w:rsidRPr="00AD11B7">
        <w:rPr>
          <w:rFonts w:ascii="Arial" w:hAnsi="Arial" w:cs="Arial"/>
          <w:bCs/>
          <w:sz w:val="22"/>
          <w:szCs w:val="22"/>
          <w:lang w:val="es-MX"/>
        </w:rPr>
        <w:t xml:space="preserve">atenderá lo dispuesto </w:t>
      </w:r>
      <w:r w:rsidR="004E02F4" w:rsidRPr="00AD11B7">
        <w:rPr>
          <w:rFonts w:ascii="Arial" w:hAnsi="Arial" w:cs="Arial"/>
          <w:bCs/>
          <w:sz w:val="22"/>
          <w:szCs w:val="22"/>
          <w:lang w:val="es-MX"/>
        </w:rPr>
        <w:t xml:space="preserve">en la Resolución 193 de </w:t>
      </w:r>
      <w:r w:rsidR="004E02F4" w:rsidRPr="006C2EB4">
        <w:rPr>
          <w:rFonts w:ascii="Arial" w:hAnsi="Arial" w:cs="Arial"/>
          <w:bCs/>
          <w:i/>
          <w:iCs/>
          <w:sz w:val="22"/>
          <w:szCs w:val="22"/>
          <w:lang w:val="es-MX"/>
        </w:rPr>
        <w:t>2016 “</w:t>
      </w:r>
      <w:r w:rsidR="004E02F4" w:rsidRPr="006C2EB4">
        <w:rPr>
          <w:rFonts w:ascii="Arial" w:hAnsi="Arial" w:cs="Arial"/>
          <w:i/>
          <w:iCs/>
          <w:sz w:val="22"/>
          <w:szCs w:val="22"/>
        </w:rPr>
        <w:t xml:space="preserve">Por la cual se Incorpora, en los Procedimientos Transversales del </w:t>
      </w:r>
      <w:r w:rsidR="00031726" w:rsidRPr="006C2EB4">
        <w:rPr>
          <w:rFonts w:ascii="Arial" w:hAnsi="Arial" w:cs="Arial"/>
          <w:i/>
          <w:iCs/>
          <w:sz w:val="22"/>
          <w:szCs w:val="22"/>
        </w:rPr>
        <w:t>Régimen</w:t>
      </w:r>
      <w:r w:rsidR="004E02F4" w:rsidRPr="006C2EB4">
        <w:rPr>
          <w:rFonts w:ascii="Arial" w:hAnsi="Arial" w:cs="Arial"/>
          <w:i/>
          <w:iCs/>
          <w:sz w:val="22"/>
          <w:szCs w:val="22"/>
        </w:rPr>
        <w:t xml:space="preserve"> de Contabilidad </w:t>
      </w:r>
      <w:r w:rsidR="00031726" w:rsidRPr="006C2EB4">
        <w:rPr>
          <w:rFonts w:ascii="Arial" w:hAnsi="Arial" w:cs="Arial"/>
          <w:i/>
          <w:iCs/>
          <w:sz w:val="22"/>
          <w:szCs w:val="22"/>
        </w:rPr>
        <w:t>Pública</w:t>
      </w:r>
      <w:r w:rsidR="004E02F4" w:rsidRPr="006C2EB4">
        <w:rPr>
          <w:rFonts w:ascii="Arial" w:hAnsi="Arial" w:cs="Arial"/>
          <w:i/>
          <w:iCs/>
          <w:sz w:val="22"/>
          <w:szCs w:val="22"/>
        </w:rPr>
        <w:t xml:space="preserve">, el </w:t>
      </w:r>
      <w:r w:rsidR="004E02F4" w:rsidRPr="006C2EB4">
        <w:rPr>
          <w:rFonts w:ascii="Arial" w:hAnsi="Arial" w:cs="Arial"/>
          <w:i/>
          <w:iCs/>
          <w:sz w:val="22"/>
          <w:szCs w:val="22"/>
        </w:rPr>
        <w:lastRenderedPageBreak/>
        <w:t xml:space="preserve">Procedimiento para la </w:t>
      </w:r>
      <w:r w:rsidR="00031726" w:rsidRPr="006C2EB4">
        <w:rPr>
          <w:rFonts w:ascii="Arial" w:hAnsi="Arial" w:cs="Arial"/>
          <w:i/>
          <w:iCs/>
          <w:sz w:val="22"/>
          <w:szCs w:val="22"/>
        </w:rPr>
        <w:t>evaluación</w:t>
      </w:r>
      <w:r w:rsidR="004E02F4" w:rsidRPr="006C2EB4">
        <w:rPr>
          <w:rFonts w:ascii="Arial" w:hAnsi="Arial" w:cs="Arial"/>
          <w:i/>
          <w:iCs/>
          <w:sz w:val="22"/>
          <w:szCs w:val="22"/>
        </w:rPr>
        <w:t xml:space="preserve"> del control interno contable”</w:t>
      </w:r>
      <w:r w:rsidR="004E02F4" w:rsidRPr="00AD11B7">
        <w:rPr>
          <w:rFonts w:ascii="Arial" w:hAnsi="Arial" w:cs="Arial"/>
          <w:sz w:val="22"/>
          <w:szCs w:val="22"/>
        </w:rPr>
        <w:t xml:space="preserve">, cuyo anexo establece en su numeral </w:t>
      </w:r>
      <w:r w:rsidR="004E02F4" w:rsidRPr="00AD11B7">
        <w:rPr>
          <w:rFonts w:ascii="Arial" w:hAnsi="Arial" w:cs="Arial"/>
          <w:i/>
          <w:sz w:val="22"/>
          <w:szCs w:val="22"/>
        </w:rPr>
        <w:t xml:space="preserve">3.2.15 Depuración contable permanente y sostenible, </w:t>
      </w:r>
      <w:r w:rsidR="00210214" w:rsidRPr="00AD11B7">
        <w:rPr>
          <w:rFonts w:ascii="Arial" w:hAnsi="Arial" w:cs="Arial"/>
          <w:sz w:val="22"/>
          <w:szCs w:val="22"/>
        </w:rPr>
        <w:t>que:</w:t>
      </w:r>
    </w:p>
    <w:p w14:paraId="46D0B4C2" w14:textId="77777777" w:rsidR="004E02F4" w:rsidRPr="00AD11B7" w:rsidRDefault="004E02F4" w:rsidP="00CA76B9">
      <w:pPr>
        <w:autoSpaceDE w:val="0"/>
        <w:autoSpaceDN w:val="0"/>
        <w:adjustRightInd w:val="0"/>
        <w:spacing w:line="288" w:lineRule="auto"/>
        <w:jc w:val="both"/>
        <w:rPr>
          <w:rFonts w:ascii="Arial" w:hAnsi="Arial" w:cs="Arial"/>
          <w:sz w:val="22"/>
          <w:szCs w:val="22"/>
        </w:rPr>
      </w:pPr>
    </w:p>
    <w:p w14:paraId="4FB3453A" w14:textId="77777777" w:rsidR="00210214"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las entidades adelantarán las acciones pertinentes para depurar la información financiera e implementar los controles que sean necesarios a fin de mejorar la calidad de la información. En todo caso, se deberán realizar las acciones administrativas necesarias para evitar que la información financiera revele situaciones tales como:</w:t>
      </w:r>
    </w:p>
    <w:p w14:paraId="2B73983D" w14:textId="7253CCB5"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p>
    <w:p w14:paraId="0CA431A8" w14:textId="77777777" w:rsidR="00C509C8" w:rsidRPr="006C2EB4" w:rsidRDefault="00C509C8" w:rsidP="00CA76B9">
      <w:pPr>
        <w:autoSpaceDE w:val="0"/>
        <w:autoSpaceDN w:val="0"/>
        <w:adjustRightInd w:val="0"/>
        <w:spacing w:line="288" w:lineRule="auto"/>
        <w:ind w:left="284"/>
        <w:jc w:val="both"/>
        <w:rPr>
          <w:rFonts w:ascii="Arial" w:hAnsi="Arial" w:cs="Arial"/>
          <w:b/>
          <w:i/>
          <w:iCs/>
          <w:sz w:val="22"/>
          <w:szCs w:val="22"/>
        </w:rPr>
      </w:pPr>
      <w:r w:rsidRPr="006C2EB4">
        <w:rPr>
          <w:rFonts w:ascii="Arial" w:hAnsi="Arial" w:cs="Arial"/>
          <w:b/>
          <w:i/>
          <w:iCs/>
          <w:sz w:val="22"/>
          <w:szCs w:val="22"/>
        </w:rPr>
        <w:t xml:space="preserve">Bienes y Derechos </w:t>
      </w:r>
    </w:p>
    <w:p w14:paraId="1211B72D" w14:textId="77777777" w:rsidR="00C509C8" w:rsidRPr="006C2EB4" w:rsidRDefault="00C509C8" w:rsidP="00CA76B9">
      <w:pPr>
        <w:autoSpaceDE w:val="0"/>
        <w:autoSpaceDN w:val="0"/>
        <w:adjustRightInd w:val="0"/>
        <w:spacing w:line="288" w:lineRule="auto"/>
        <w:jc w:val="both"/>
        <w:rPr>
          <w:rFonts w:ascii="Arial" w:hAnsi="Arial" w:cs="Arial"/>
          <w:i/>
          <w:iCs/>
          <w:sz w:val="22"/>
          <w:szCs w:val="22"/>
        </w:rPr>
      </w:pPr>
    </w:p>
    <w:p w14:paraId="4CACF537"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a) Valores que afecten la situación financiera y no representen derechos o bienes para la entidad; </w:t>
      </w:r>
    </w:p>
    <w:p w14:paraId="22481DD8"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b) Derechos que no es posible hacer efectivos mediante la jurisdicción coactiva; </w:t>
      </w:r>
    </w:p>
    <w:p w14:paraId="43AD994C"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c) Derechos respecto de los cuales no es posible ejercer cobro, por cuanto opera alguna causal relacionada con su extinción; </w:t>
      </w:r>
    </w:p>
    <w:p w14:paraId="75DECA6E"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d) Derechos e ingresos reconocidos, sobre los cuales no existe probabilidad de flujo hacia la entidad; </w:t>
      </w:r>
    </w:p>
    <w:p w14:paraId="7F08C549"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e) Valores respecto de los cuales no haya sido legalmente posible su imputación a alguna persona por la pérdida de los bienes o derechos que representan;</w:t>
      </w:r>
    </w:p>
    <w:p w14:paraId="0E856DF2"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p>
    <w:p w14:paraId="2FD78A19"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b/>
          <w:i/>
          <w:iCs/>
          <w:sz w:val="22"/>
          <w:szCs w:val="22"/>
        </w:rPr>
        <w:t>Obligaciones</w:t>
      </w:r>
    </w:p>
    <w:p w14:paraId="7AD9A8DC"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p>
    <w:p w14:paraId="0B300094"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f) Obligaciones reconocidas sobre las cuales no existe probabilidad de salida de recursos, que incorporan beneficios económicos futuros o potencial de servicio; </w:t>
      </w:r>
    </w:p>
    <w:p w14:paraId="4B92DC98"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g) Obligaciones reconocidas que han sido condonadas o sobre las cuales ya no existe derecho exigible de cobro; </w:t>
      </w:r>
    </w:p>
    <w:p w14:paraId="5C25A136"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 xml:space="preserve">h) Obligaciones que jurídicamente se han extinguido, o sobre las cuales la Ley ha establecido su cruce o eliminación. </w:t>
      </w:r>
    </w:p>
    <w:p w14:paraId="2AA68756"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p>
    <w:p w14:paraId="51A2A53D" w14:textId="77777777" w:rsidR="00C509C8" w:rsidRPr="006C2EB4" w:rsidRDefault="00C509C8" w:rsidP="00CA76B9">
      <w:pPr>
        <w:autoSpaceDE w:val="0"/>
        <w:autoSpaceDN w:val="0"/>
        <w:adjustRightInd w:val="0"/>
        <w:spacing w:line="288" w:lineRule="auto"/>
        <w:ind w:left="284" w:right="335"/>
        <w:jc w:val="both"/>
        <w:rPr>
          <w:rFonts w:ascii="Arial" w:hAnsi="Arial" w:cs="Arial"/>
          <w:i/>
          <w:iCs/>
          <w:sz w:val="22"/>
          <w:szCs w:val="22"/>
        </w:rPr>
      </w:pPr>
      <w:r w:rsidRPr="006C2EB4">
        <w:rPr>
          <w:rFonts w:ascii="Arial" w:hAnsi="Arial" w:cs="Arial"/>
          <w:i/>
          <w:iCs/>
          <w:sz w:val="22"/>
          <w:szCs w:val="22"/>
        </w:rPr>
        <w:t>Cuando la información financiera se encuentre afectada por una o varias de las anteriores situaciones, deberán adelantarse las acciones correspondientes para concretar la baja en cuentas y proceder a la exclusión de dichas partidas de los libros de contabilidad, según la norma aplicable en cada caso particular</w:t>
      </w:r>
      <w:r w:rsidR="00896A7B" w:rsidRPr="006C2EB4">
        <w:rPr>
          <w:rFonts w:ascii="Arial" w:hAnsi="Arial" w:cs="Arial"/>
          <w:i/>
          <w:iCs/>
          <w:sz w:val="22"/>
          <w:szCs w:val="22"/>
        </w:rPr>
        <w:t>”</w:t>
      </w:r>
    </w:p>
    <w:p w14:paraId="67A9FB6F" w14:textId="77777777" w:rsidR="00C509C8" w:rsidRPr="00AD11B7" w:rsidRDefault="00C509C8" w:rsidP="00CA76B9">
      <w:pPr>
        <w:autoSpaceDE w:val="0"/>
        <w:autoSpaceDN w:val="0"/>
        <w:adjustRightInd w:val="0"/>
        <w:spacing w:line="288" w:lineRule="auto"/>
        <w:jc w:val="both"/>
        <w:rPr>
          <w:rFonts w:ascii="Arial" w:hAnsi="Arial" w:cs="Arial"/>
          <w:i/>
          <w:sz w:val="22"/>
          <w:szCs w:val="22"/>
        </w:rPr>
      </w:pPr>
    </w:p>
    <w:p w14:paraId="7F1FCF33" w14:textId="77777777" w:rsidR="0046335B" w:rsidRPr="00640BB3" w:rsidRDefault="00C509C8" w:rsidP="00CA76B9">
      <w:pPr>
        <w:autoSpaceDE w:val="0"/>
        <w:autoSpaceDN w:val="0"/>
        <w:adjustRightInd w:val="0"/>
        <w:spacing w:line="288" w:lineRule="auto"/>
        <w:jc w:val="both"/>
        <w:rPr>
          <w:rFonts w:ascii="Arial" w:hAnsi="Arial" w:cs="Arial"/>
          <w:bCs/>
          <w:sz w:val="22"/>
          <w:szCs w:val="22"/>
          <w:lang w:val="es-MX"/>
        </w:rPr>
      </w:pPr>
      <w:r w:rsidRPr="00640BB3">
        <w:rPr>
          <w:rFonts w:ascii="Arial" w:hAnsi="Arial" w:cs="Arial"/>
          <w:bCs/>
          <w:sz w:val="22"/>
          <w:szCs w:val="22"/>
          <w:lang w:val="es-MX"/>
        </w:rPr>
        <w:t xml:space="preserve">Por lo anterior, en los casos que se requiera, el Ministerio de Hacienda y crédito Público adelantará </w:t>
      </w:r>
      <w:r w:rsidR="00665E84" w:rsidRPr="00640BB3">
        <w:rPr>
          <w:rFonts w:ascii="Arial" w:hAnsi="Arial" w:cs="Arial"/>
          <w:bCs/>
          <w:sz w:val="22"/>
          <w:szCs w:val="22"/>
          <w:lang w:val="es-MX"/>
        </w:rPr>
        <w:t>las acciones tendientes a llevar a cabo los procesos de depuración contable</w:t>
      </w:r>
      <w:r w:rsidR="00706B0A" w:rsidRPr="00640BB3">
        <w:rPr>
          <w:rFonts w:ascii="Arial" w:hAnsi="Arial" w:cs="Arial"/>
          <w:bCs/>
          <w:sz w:val="22"/>
          <w:szCs w:val="22"/>
          <w:lang w:val="es-MX"/>
        </w:rPr>
        <w:t xml:space="preserve">. </w:t>
      </w:r>
    </w:p>
    <w:p w14:paraId="025CDDBA" w14:textId="5852F2E2" w:rsidR="0046335B" w:rsidRDefault="0046335B" w:rsidP="00CA76B9">
      <w:pPr>
        <w:spacing w:line="288" w:lineRule="auto"/>
        <w:jc w:val="both"/>
        <w:rPr>
          <w:rFonts w:ascii="Arial" w:hAnsi="Arial" w:cs="Arial"/>
          <w:bCs/>
          <w:i/>
          <w:sz w:val="22"/>
          <w:szCs w:val="22"/>
          <w:lang w:val="es-MX"/>
        </w:rPr>
      </w:pPr>
    </w:p>
    <w:p w14:paraId="013CA637" w14:textId="0EC144DB" w:rsidR="00DB6F34" w:rsidRDefault="00DB6F34" w:rsidP="00CA76B9">
      <w:pPr>
        <w:spacing w:line="288" w:lineRule="auto"/>
        <w:jc w:val="both"/>
        <w:rPr>
          <w:rFonts w:ascii="Arial" w:hAnsi="Arial" w:cs="Arial"/>
          <w:bCs/>
          <w:i/>
          <w:sz w:val="22"/>
          <w:szCs w:val="22"/>
          <w:lang w:val="es-MX"/>
        </w:rPr>
      </w:pPr>
    </w:p>
    <w:p w14:paraId="277B33DE" w14:textId="0A3640F8" w:rsidR="00DB6F34" w:rsidRDefault="00DB6F34" w:rsidP="00CA76B9">
      <w:pPr>
        <w:spacing w:line="288" w:lineRule="auto"/>
        <w:jc w:val="both"/>
        <w:rPr>
          <w:rFonts w:ascii="Arial" w:hAnsi="Arial" w:cs="Arial"/>
          <w:bCs/>
          <w:i/>
          <w:sz w:val="22"/>
          <w:szCs w:val="22"/>
          <w:lang w:val="es-MX"/>
        </w:rPr>
      </w:pPr>
    </w:p>
    <w:p w14:paraId="5E6718C6" w14:textId="77777777" w:rsidR="00DB6F34" w:rsidRDefault="00DB6F34" w:rsidP="00CA76B9">
      <w:pPr>
        <w:spacing w:line="288" w:lineRule="auto"/>
        <w:jc w:val="both"/>
        <w:rPr>
          <w:rFonts w:ascii="Arial" w:hAnsi="Arial" w:cs="Arial"/>
          <w:bCs/>
          <w:i/>
          <w:sz w:val="22"/>
          <w:szCs w:val="22"/>
          <w:lang w:val="es-MX"/>
        </w:rPr>
      </w:pPr>
    </w:p>
    <w:p w14:paraId="7EB6C0A9" w14:textId="3554CF5E" w:rsidR="00DB0E6A" w:rsidRPr="00AD11B7" w:rsidRDefault="00DB0E6A" w:rsidP="00343ECE">
      <w:pPr>
        <w:pStyle w:val="Ttulo2"/>
        <w:numPr>
          <w:ilvl w:val="1"/>
          <w:numId w:val="9"/>
        </w:numPr>
        <w:tabs>
          <w:tab w:val="left" w:pos="284"/>
        </w:tabs>
        <w:spacing w:line="288" w:lineRule="auto"/>
        <w:rPr>
          <w:rFonts w:ascii="Arial" w:hAnsi="Arial" w:cs="Arial"/>
          <w:sz w:val="22"/>
          <w:szCs w:val="22"/>
        </w:rPr>
      </w:pPr>
      <w:bookmarkStart w:id="217" w:name="_Toc59377860"/>
      <w:r>
        <w:rPr>
          <w:rFonts w:ascii="Arial" w:hAnsi="Arial" w:cs="Arial"/>
          <w:sz w:val="22"/>
          <w:szCs w:val="22"/>
        </w:rPr>
        <w:lastRenderedPageBreak/>
        <w:t>INDICADORES</w:t>
      </w:r>
      <w:bookmarkEnd w:id="217"/>
    </w:p>
    <w:p w14:paraId="3FB2E856" w14:textId="77777777" w:rsidR="00DF1706" w:rsidRDefault="00DF1706" w:rsidP="00CA76B9">
      <w:pPr>
        <w:spacing w:line="288" w:lineRule="auto"/>
        <w:jc w:val="both"/>
        <w:rPr>
          <w:rFonts w:ascii="Arial" w:hAnsi="Arial" w:cs="Arial"/>
          <w:bCs/>
          <w:i/>
          <w:sz w:val="22"/>
          <w:szCs w:val="22"/>
          <w:lang w:val="es-MX"/>
        </w:rPr>
      </w:pPr>
    </w:p>
    <w:p w14:paraId="5D47C549" w14:textId="7ED6C07B" w:rsidR="00DB0E6A" w:rsidRDefault="00DB0E6A" w:rsidP="00CA76B9">
      <w:pPr>
        <w:spacing w:line="288" w:lineRule="auto"/>
        <w:jc w:val="both"/>
        <w:rPr>
          <w:rFonts w:ascii="Arial" w:hAnsi="Arial" w:cs="Arial"/>
          <w:bCs/>
          <w:i/>
          <w:sz w:val="22"/>
          <w:szCs w:val="22"/>
          <w:lang w:val="es-MX"/>
        </w:rPr>
      </w:pPr>
      <w:r>
        <w:rPr>
          <w:rFonts w:ascii="Arial" w:hAnsi="Arial" w:cs="Arial"/>
          <w:bCs/>
          <w:sz w:val="22"/>
          <w:szCs w:val="22"/>
          <w:lang w:val="es-MX"/>
        </w:rPr>
        <w:t>Para evaluar la gesti</w:t>
      </w:r>
      <w:r w:rsidR="000F0AE8">
        <w:rPr>
          <w:rFonts w:ascii="Arial" w:hAnsi="Arial" w:cs="Arial"/>
          <w:bCs/>
          <w:sz w:val="22"/>
          <w:szCs w:val="22"/>
          <w:lang w:val="es-MX"/>
        </w:rPr>
        <w:t>ón y los resultados de la entidad</w:t>
      </w:r>
      <w:r w:rsidR="00542A26">
        <w:rPr>
          <w:rFonts w:ascii="Arial" w:hAnsi="Arial" w:cs="Arial"/>
          <w:bCs/>
          <w:sz w:val="22"/>
          <w:szCs w:val="22"/>
          <w:lang w:val="es-MX"/>
        </w:rPr>
        <w:t xml:space="preserve"> Ministerio de Hacienda y Crédito Público – Gestión General</w:t>
      </w:r>
      <w:r w:rsidR="000F0AE8">
        <w:rPr>
          <w:rFonts w:ascii="Arial" w:hAnsi="Arial" w:cs="Arial"/>
          <w:bCs/>
          <w:sz w:val="22"/>
          <w:szCs w:val="22"/>
          <w:lang w:val="es-MX"/>
        </w:rPr>
        <w:t>, se utilizarán</w:t>
      </w:r>
      <w:r w:rsidR="00246A95">
        <w:rPr>
          <w:rFonts w:ascii="Arial" w:hAnsi="Arial" w:cs="Arial"/>
          <w:bCs/>
          <w:sz w:val="22"/>
          <w:szCs w:val="22"/>
          <w:lang w:val="es-MX"/>
        </w:rPr>
        <w:t xml:space="preserve"> los </w:t>
      </w:r>
      <w:r w:rsidR="000F0AE8">
        <w:rPr>
          <w:rFonts w:ascii="Arial" w:hAnsi="Arial" w:cs="Arial"/>
          <w:bCs/>
          <w:sz w:val="22"/>
          <w:szCs w:val="22"/>
          <w:lang w:val="es-MX"/>
        </w:rPr>
        <w:t xml:space="preserve">siguientes indicadores: </w:t>
      </w:r>
    </w:p>
    <w:p w14:paraId="7C45AABE" w14:textId="22848C47" w:rsidR="00DB0E6A" w:rsidRDefault="00DB0E6A" w:rsidP="00CA76B9">
      <w:pPr>
        <w:spacing w:line="288" w:lineRule="auto"/>
        <w:jc w:val="both"/>
        <w:rPr>
          <w:rFonts w:ascii="Arial" w:hAnsi="Arial" w:cs="Arial"/>
          <w:bCs/>
          <w:i/>
          <w:sz w:val="22"/>
          <w:szCs w:val="22"/>
          <w:lang w:val="es-MX"/>
        </w:rPr>
      </w:pPr>
    </w:p>
    <w:p w14:paraId="52064F11" w14:textId="55311D3F" w:rsidR="004A625A" w:rsidRDefault="004A625A" w:rsidP="00CA76B9">
      <w:pPr>
        <w:spacing w:line="288" w:lineRule="auto"/>
        <w:jc w:val="both"/>
        <w:rPr>
          <w:rFonts w:ascii="Arial" w:hAnsi="Arial" w:cs="Arial"/>
          <w:b/>
          <w:bCs/>
          <w:sz w:val="22"/>
          <w:szCs w:val="22"/>
          <w:lang w:val="es-MX"/>
        </w:rPr>
      </w:pPr>
      <w:r w:rsidRPr="00C4403C">
        <w:rPr>
          <w:rFonts w:ascii="Arial" w:hAnsi="Arial" w:cs="Arial"/>
          <w:b/>
          <w:bCs/>
          <w:sz w:val="22"/>
          <w:szCs w:val="22"/>
          <w:lang w:val="es-MX"/>
        </w:rPr>
        <w:t>RESULTADO DEL EJERCICIO DESCONTANDO EL EFECTO DE LAS OPERACIONES INTERINSTITUCIONALES</w:t>
      </w:r>
    </w:p>
    <w:p w14:paraId="583BE33C" w14:textId="77777777" w:rsidR="004A625A" w:rsidRPr="00C4403C" w:rsidRDefault="004A625A" w:rsidP="00CA76B9">
      <w:pPr>
        <w:spacing w:line="288" w:lineRule="auto"/>
        <w:jc w:val="both"/>
        <w:rPr>
          <w:rFonts w:ascii="Arial" w:hAnsi="Arial" w:cs="Arial"/>
          <w:b/>
          <w:bCs/>
          <w:sz w:val="22"/>
          <w:szCs w:val="22"/>
          <w:lang w:val="es-MX"/>
        </w:rPr>
      </w:pPr>
    </w:p>
    <w:p w14:paraId="5CD0F1AA" w14:textId="337F4C46" w:rsidR="00D16191" w:rsidRDefault="004A625A" w:rsidP="00CA76B9">
      <w:pPr>
        <w:spacing w:line="288" w:lineRule="auto"/>
        <w:jc w:val="both"/>
        <w:rPr>
          <w:rFonts w:ascii="Arial" w:hAnsi="Arial" w:cs="Arial"/>
          <w:color w:val="000000"/>
          <w:sz w:val="22"/>
          <w:szCs w:val="22"/>
          <w:lang w:val="es-CO" w:eastAsia="es-CO"/>
        </w:rPr>
      </w:pPr>
      <w:r>
        <w:rPr>
          <w:rFonts w:ascii="Arial" w:hAnsi="Arial" w:cs="Arial"/>
          <w:bCs/>
          <w:sz w:val="22"/>
          <w:szCs w:val="22"/>
          <w:lang w:val="es-MX"/>
        </w:rPr>
        <w:t>El resultado del ejercicio</w:t>
      </w:r>
      <w:r w:rsidR="00D16191">
        <w:rPr>
          <w:rFonts w:ascii="Arial" w:hAnsi="Arial" w:cs="Arial"/>
          <w:bCs/>
          <w:sz w:val="22"/>
          <w:szCs w:val="22"/>
          <w:lang w:val="es-MX"/>
        </w:rPr>
        <w:t xml:space="preserve"> </w:t>
      </w:r>
      <w:r>
        <w:rPr>
          <w:rFonts w:ascii="Arial" w:hAnsi="Arial" w:cs="Arial"/>
          <w:bCs/>
          <w:sz w:val="22"/>
          <w:szCs w:val="22"/>
          <w:lang w:val="es-MX"/>
        </w:rPr>
        <w:t>c</w:t>
      </w:r>
      <w:r w:rsidR="00D16191">
        <w:rPr>
          <w:rFonts w:ascii="Arial" w:hAnsi="Arial" w:cs="Arial"/>
          <w:bCs/>
          <w:sz w:val="22"/>
          <w:szCs w:val="22"/>
          <w:lang w:val="es-MX"/>
        </w:rPr>
        <w:t>omprende el valor del superávit o déficit obtenido por el Ministerio de Hacienda y Crédito Público – Gestión General al cierre de cada ejercicio</w:t>
      </w:r>
      <w:r w:rsidR="00B77474">
        <w:rPr>
          <w:rFonts w:ascii="Arial" w:hAnsi="Arial" w:cs="Arial"/>
          <w:bCs/>
          <w:sz w:val="22"/>
          <w:szCs w:val="22"/>
          <w:lang w:val="es-MX"/>
        </w:rPr>
        <w:t xml:space="preserve"> contable</w:t>
      </w:r>
      <w:r w:rsidR="00D16191">
        <w:rPr>
          <w:rFonts w:ascii="Arial" w:hAnsi="Arial" w:cs="Arial"/>
          <w:bCs/>
          <w:sz w:val="22"/>
          <w:szCs w:val="22"/>
          <w:lang w:val="es-MX"/>
        </w:rPr>
        <w:t>.</w:t>
      </w:r>
      <w:r w:rsidR="00B77474">
        <w:rPr>
          <w:rFonts w:ascii="Arial" w:hAnsi="Arial" w:cs="Arial"/>
          <w:bCs/>
          <w:sz w:val="22"/>
          <w:szCs w:val="22"/>
          <w:lang w:val="es-MX"/>
        </w:rPr>
        <w:t xml:space="preserve"> En este sentido refleja las </w:t>
      </w:r>
      <w:r w:rsidR="00D16191" w:rsidRPr="0030355C">
        <w:rPr>
          <w:rFonts w:ascii="Arial" w:hAnsi="Arial" w:cs="Arial"/>
          <w:color w:val="000000"/>
          <w:sz w:val="22"/>
          <w:szCs w:val="22"/>
          <w:lang w:val="es-CO" w:eastAsia="es-CO"/>
        </w:rPr>
        <w:t>partidas de ingresos</w:t>
      </w:r>
      <w:r w:rsidR="00D16191">
        <w:rPr>
          <w:rFonts w:ascii="Arial" w:hAnsi="Arial" w:cs="Arial"/>
          <w:color w:val="000000"/>
          <w:sz w:val="22"/>
          <w:szCs w:val="22"/>
          <w:lang w:val="es-CO" w:eastAsia="es-CO"/>
        </w:rPr>
        <w:t xml:space="preserve"> y</w:t>
      </w:r>
      <w:r w:rsidR="00D16191" w:rsidRPr="0030355C">
        <w:rPr>
          <w:rFonts w:ascii="Arial" w:hAnsi="Arial" w:cs="Arial"/>
          <w:color w:val="000000"/>
          <w:sz w:val="22"/>
          <w:szCs w:val="22"/>
          <w:lang w:val="es-CO" w:eastAsia="es-CO"/>
        </w:rPr>
        <w:t xml:space="preserve"> gastos de</w:t>
      </w:r>
      <w:r w:rsidR="00D16191">
        <w:rPr>
          <w:rFonts w:ascii="Arial" w:hAnsi="Arial" w:cs="Arial"/>
          <w:color w:val="000000"/>
          <w:sz w:val="22"/>
          <w:szCs w:val="22"/>
          <w:lang w:val="es-CO" w:eastAsia="es-CO"/>
        </w:rPr>
        <w:t xml:space="preserve">l MHCP, </w:t>
      </w:r>
      <w:r w:rsidR="00D16191" w:rsidRPr="0030355C">
        <w:rPr>
          <w:rFonts w:ascii="Arial" w:hAnsi="Arial" w:cs="Arial"/>
          <w:color w:val="000000"/>
          <w:sz w:val="22"/>
          <w:szCs w:val="22"/>
          <w:lang w:val="es-CO" w:eastAsia="es-CO"/>
        </w:rPr>
        <w:t xml:space="preserve">con base en el flujo de ingresos generados y consumidos durante el periodo. </w:t>
      </w:r>
    </w:p>
    <w:p w14:paraId="637B7D8F" w14:textId="77777777" w:rsidR="002B1B1D" w:rsidRDefault="002B1B1D" w:rsidP="00CA76B9">
      <w:pPr>
        <w:spacing w:line="288" w:lineRule="auto"/>
        <w:jc w:val="both"/>
        <w:rPr>
          <w:rFonts w:ascii="Arial" w:hAnsi="Arial" w:cs="Arial"/>
          <w:color w:val="000000"/>
          <w:sz w:val="22"/>
          <w:szCs w:val="22"/>
          <w:lang w:val="es-CO" w:eastAsia="es-CO"/>
        </w:rPr>
      </w:pPr>
    </w:p>
    <w:p w14:paraId="282391B1" w14:textId="77777777" w:rsidR="00F93B16" w:rsidRDefault="002B1B1D" w:rsidP="00CA76B9">
      <w:pPr>
        <w:spacing w:line="288" w:lineRule="auto"/>
        <w:jc w:val="both"/>
        <w:rPr>
          <w:rFonts w:ascii="Arial" w:hAnsi="Arial" w:cs="Arial"/>
          <w:sz w:val="22"/>
          <w:szCs w:val="22"/>
        </w:rPr>
      </w:pPr>
      <w:r>
        <w:rPr>
          <w:rFonts w:ascii="Arial" w:hAnsi="Arial" w:cs="Arial"/>
          <w:color w:val="000000"/>
          <w:sz w:val="22"/>
          <w:szCs w:val="22"/>
          <w:lang w:val="es-CO" w:eastAsia="es-CO"/>
        </w:rPr>
        <w:t xml:space="preserve">No </w:t>
      </w:r>
      <w:proofErr w:type="gramStart"/>
      <w:r>
        <w:rPr>
          <w:rFonts w:ascii="Arial" w:hAnsi="Arial" w:cs="Arial"/>
          <w:color w:val="000000"/>
          <w:sz w:val="22"/>
          <w:szCs w:val="22"/>
          <w:lang w:val="es-CO" w:eastAsia="es-CO"/>
        </w:rPr>
        <w:t>obstante</w:t>
      </w:r>
      <w:proofErr w:type="gramEnd"/>
      <w:r>
        <w:rPr>
          <w:rFonts w:ascii="Arial" w:hAnsi="Arial" w:cs="Arial"/>
          <w:color w:val="000000"/>
          <w:sz w:val="22"/>
          <w:szCs w:val="22"/>
          <w:lang w:val="es-CO" w:eastAsia="es-CO"/>
        </w:rPr>
        <w:t xml:space="preserve"> lo anterior, </w:t>
      </w:r>
      <w:r w:rsidR="00F93B16">
        <w:rPr>
          <w:rFonts w:ascii="Arial" w:hAnsi="Arial" w:cs="Arial"/>
          <w:sz w:val="22"/>
          <w:szCs w:val="22"/>
        </w:rPr>
        <w:t xml:space="preserve">para el análisis del resultado del ejercicio es conveniente tener en cuenta que la Entidad Contable Pública </w:t>
      </w:r>
      <w:r w:rsidR="00F93B16" w:rsidRPr="00C4403C">
        <w:rPr>
          <w:rFonts w:ascii="Arial" w:hAnsi="Arial" w:cs="Arial"/>
          <w:i/>
          <w:sz w:val="22"/>
          <w:szCs w:val="22"/>
        </w:rPr>
        <w:t>011500000 Ministerio de Hacienda y Crédito Público - Gestión General</w:t>
      </w:r>
      <w:r w:rsidR="00F93B16">
        <w:rPr>
          <w:rFonts w:ascii="Arial" w:hAnsi="Arial" w:cs="Arial"/>
          <w:sz w:val="22"/>
          <w:szCs w:val="22"/>
        </w:rPr>
        <w:t xml:space="preserve"> es una entidad ejecutora de gastos, y que el recaudo de los ingresos que genera se ve reflejado en los Estados financieros de la Entidad Contable Pública Tesoro Nacional y no en el Ministerio. </w:t>
      </w:r>
    </w:p>
    <w:p w14:paraId="4DA22354" w14:textId="77777777" w:rsidR="00F93B16" w:rsidRDefault="00F93B16" w:rsidP="00CA76B9">
      <w:pPr>
        <w:spacing w:line="288" w:lineRule="auto"/>
        <w:jc w:val="both"/>
        <w:rPr>
          <w:rFonts w:ascii="Arial" w:hAnsi="Arial" w:cs="Arial"/>
          <w:sz w:val="22"/>
          <w:szCs w:val="22"/>
        </w:rPr>
      </w:pPr>
    </w:p>
    <w:p w14:paraId="68FFAFEB" w14:textId="241008C2" w:rsidR="00F93B16" w:rsidRDefault="00630FEB" w:rsidP="00CA76B9">
      <w:pPr>
        <w:spacing w:line="288" w:lineRule="auto"/>
        <w:jc w:val="both"/>
        <w:rPr>
          <w:rFonts w:ascii="Arial" w:hAnsi="Arial" w:cs="Arial"/>
          <w:sz w:val="22"/>
          <w:szCs w:val="22"/>
        </w:rPr>
      </w:pPr>
      <w:r>
        <w:rPr>
          <w:rFonts w:ascii="Arial" w:hAnsi="Arial" w:cs="Arial"/>
          <w:sz w:val="22"/>
          <w:szCs w:val="22"/>
        </w:rPr>
        <w:t xml:space="preserve">Para el efecto, con el recaudo de los recursos en el Tesoro Nacional, el Ministerio de Hacienda y Crédito Público – Gestión General </w:t>
      </w:r>
      <w:r w:rsidR="007D1EBD">
        <w:rPr>
          <w:rFonts w:ascii="Arial" w:hAnsi="Arial" w:cs="Arial"/>
          <w:sz w:val="22"/>
          <w:szCs w:val="22"/>
        </w:rPr>
        <w:t xml:space="preserve">debita </w:t>
      </w:r>
      <w:r w:rsidR="00F93B16">
        <w:rPr>
          <w:rFonts w:ascii="Arial" w:hAnsi="Arial" w:cs="Arial"/>
          <w:sz w:val="22"/>
          <w:szCs w:val="22"/>
        </w:rPr>
        <w:t xml:space="preserve">las cuentas </w:t>
      </w:r>
      <w:r w:rsidR="00F93B16" w:rsidRPr="00C4403C">
        <w:rPr>
          <w:rFonts w:ascii="Arial" w:hAnsi="Arial" w:cs="Arial"/>
          <w:b/>
          <w:sz w:val="22"/>
          <w:szCs w:val="22"/>
        </w:rPr>
        <w:t xml:space="preserve">5720 - Operaciones de </w:t>
      </w:r>
      <w:r w:rsidR="00C572FA" w:rsidRPr="00C572FA">
        <w:rPr>
          <w:rFonts w:ascii="Arial" w:hAnsi="Arial" w:cs="Arial"/>
          <w:b/>
          <w:sz w:val="22"/>
          <w:szCs w:val="22"/>
        </w:rPr>
        <w:t>Enlace</w:t>
      </w:r>
      <w:r w:rsidR="00C572FA">
        <w:rPr>
          <w:rFonts w:ascii="Arial" w:hAnsi="Arial" w:cs="Arial"/>
          <w:sz w:val="22"/>
          <w:szCs w:val="22"/>
        </w:rPr>
        <w:t xml:space="preserve"> y</w:t>
      </w:r>
      <w:r w:rsidR="00F93B16">
        <w:rPr>
          <w:rFonts w:ascii="Arial" w:hAnsi="Arial" w:cs="Arial"/>
          <w:sz w:val="22"/>
          <w:szCs w:val="22"/>
        </w:rPr>
        <w:t xml:space="preserve"> </w:t>
      </w:r>
      <w:r w:rsidR="00F93B16" w:rsidRPr="00C4403C">
        <w:rPr>
          <w:rFonts w:ascii="Arial" w:hAnsi="Arial" w:cs="Arial"/>
          <w:b/>
          <w:sz w:val="22"/>
          <w:szCs w:val="22"/>
        </w:rPr>
        <w:t>5722 - Operaciones sin Flujo de Efectivo</w:t>
      </w:r>
      <w:r w:rsidR="00F93B16">
        <w:rPr>
          <w:rFonts w:ascii="Arial" w:hAnsi="Arial" w:cs="Arial"/>
          <w:sz w:val="22"/>
          <w:szCs w:val="22"/>
        </w:rPr>
        <w:t xml:space="preserve"> del Grupo </w:t>
      </w:r>
      <w:r w:rsidR="00F93B16" w:rsidRPr="00C4403C">
        <w:rPr>
          <w:rFonts w:ascii="Arial" w:hAnsi="Arial" w:cs="Arial"/>
          <w:b/>
          <w:sz w:val="22"/>
          <w:szCs w:val="22"/>
        </w:rPr>
        <w:t>57- Operaciones Interinstitucionales</w:t>
      </w:r>
      <w:r w:rsidR="00F93B16">
        <w:rPr>
          <w:rFonts w:ascii="Arial" w:hAnsi="Arial" w:cs="Arial"/>
          <w:sz w:val="22"/>
          <w:szCs w:val="22"/>
        </w:rPr>
        <w:t xml:space="preserve">, lo </w:t>
      </w:r>
      <w:r w:rsidR="00C572FA">
        <w:rPr>
          <w:rFonts w:ascii="Arial" w:hAnsi="Arial" w:cs="Arial"/>
          <w:sz w:val="22"/>
          <w:szCs w:val="22"/>
        </w:rPr>
        <w:t xml:space="preserve">cual, si bien corresponde a </w:t>
      </w:r>
      <w:r w:rsidR="00343D6E">
        <w:rPr>
          <w:rFonts w:ascii="Arial" w:hAnsi="Arial" w:cs="Arial"/>
          <w:sz w:val="22"/>
          <w:szCs w:val="22"/>
        </w:rPr>
        <w:t>operaciones tales como el recaudo de dividendos</w:t>
      </w:r>
      <w:r w:rsidR="0031101B">
        <w:rPr>
          <w:rFonts w:ascii="Arial" w:hAnsi="Arial" w:cs="Arial"/>
          <w:sz w:val="22"/>
          <w:szCs w:val="22"/>
        </w:rPr>
        <w:t xml:space="preserve">, que en términos generales </w:t>
      </w:r>
      <w:r w:rsidR="00622380">
        <w:rPr>
          <w:rFonts w:ascii="Arial" w:hAnsi="Arial" w:cs="Arial"/>
          <w:sz w:val="22"/>
          <w:szCs w:val="22"/>
        </w:rPr>
        <w:t xml:space="preserve">(si el recaudo se efectuara en cuentas del Ministerio) </w:t>
      </w:r>
      <w:r w:rsidR="0031101B">
        <w:rPr>
          <w:rFonts w:ascii="Arial" w:hAnsi="Arial" w:cs="Arial"/>
          <w:sz w:val="22"/>
          <w:szCs w:val="22"/>
        </w:rPr>
        <w:t>debería afectar el efectivo o su equivalente</w:t>
      </w:r>
      <w:r w:rsidR="00622380">
        <w:rPr>
          <w:rFonts w:ascii="Arial" w:hAnsi="Arial" w:cs="Arial"/>
          <w:sz w:val="22"/>
          <w:szCs w:val="22"/>
        </w:rPr>
        <w:t>,</w:t>
      </w:r>
      <w:r w:rsidR="0031101B">
        <w:rPr>
          <w:rFonts w:ascii="Arial" w:hAnsi="Arial" w:cs="Arial"/>
          <w:sz w:val="22"/>
          <w:szCs w:val="22"/>
        </w:rPr>
        <w:t xml:space="preserve"> se registra como </w:t>
      </w:r>
      <w:r w:rsidR="00622380">
        <w:rPr>
          <w:rFonts w:ascii="Arial" w:hAnsi="Arial" w:cs="Arial"/>
          <w:sz w:val="22"/>
          <w:szCs w:val="22"/>
        </w:rPr>
        <w:t xml:space="preserve">gasto por </w:t>
      </w:r>
      <w:r w:rsidR="0031101B">
        <w:rPr>
          <w:rFonts w:ascii="Arial" w:hAnsi="Arial" w:cs="Arial"/>
          <w:sz w:val="22"/>
          <w:szCs w:val="22"/>
        </w:rPr>
        <w:t xml:space="preserve">una operación de enlace </w:t>
      </w:r>
      <w:r w:rsidR="00622380">
        <w:rPr>
          <w:rFonts w:ascii="Arial" w:hAnsi="Arial" w:cs="Arial"/>
          <w:sz w:val="22"/>
          <w:szCs w:val="22"/>
        </w:rPr>
        <w:t xml:space="preserve">realizada </w:t>
      </w:r>
      <w:r w:rsidR="0031101B">
        <w:rPr>
          <w:rFonts w:ascii="Arial" w:hAnsi="Arial" w:cs="Arial"/>
          <w:sz w:val="22"/>
          <w:szCs w:val="22"/>
        </w:rPr>
        <w:t xml:space="preserve">con el Tesoro Nacional, lo cual incide en el </w:t>
      </w:r>
      <w:r w:rsidR="00F93B16">
        <w:rPr>
          <w:rFonts w:ascii="Arial" w:hAnsi="Arial" w:cs="Arial"/>
          <w:sz w:val="22"/>
          <w:szCs w:val="22"/>
        </w:rPr>
        <w:t>resultado del ejercicio del Ministerio de Hacienda y Cr</w:t>
      </w:r>
      <w:r w:rsidR="0031101B">
        <w:rPr>
          <w:rFonts w:ascii="Arial" w:hAnsi="Arial" w:cs="Arial"/>
          <w:sz w:val="22"/>
          <w:szCs w:val="22"/>
        </w:rPr>
        <w:t xml:space="preserve">édito Público – Gestión General y en su interpretación. </w:t>
      </w:r>
    </w:p>
    <w:p w14:paraId="105C7EB9" w14:textId="110B1046" w:rsidR="0031101B" w:rsidRDefault="0031101B" w:rsidP="00CA76B9">
      <w:pPr>
        <w:spacing w:line="288" w:lineRule="auto"/>
        <w:jc w:val="both"/>
        <w:rPr>
          <w:rFonts w:ascii="Arial" w:hAnsi="Arial" w:cs="Arial"/>
          <w:sz w:val="22"/>
          <w:szCs w:val="22"/>
        </w:rPr>
      </w:pPr>
    </w:p>
    <w:p w14:paraId="707C09D2" w14:textId="241D189A" w:rsidR="0031101B" w:rsidRDefault="00894BFB" w:rsidP="00CA76B9">
      <w:pPr>
        <w:spacing w:line="288" w:lineRule="auto"/>
        <w:jc w:val="both"/>
        <w:rPr>
          <w:rFonts w:ascii="Arial" w:hAnsi="Arial" w:cs="Arial"/>
          <w:sz w:val="22"/>
          <w:szCs w:val="22"/>
        </w:rPr>
      </w:pPr>
      <w:r>
        <w:rPr>
          <w:rFonts w:ascii="Arial" w:hAnsi="Arial" w:cs="Arial"/>
          <w:sz w:val="22"/>
          <w:szCs w:val="22"/>
        </w:rPr>
        <w:t xml:space="preserve">Por lo anterior, a </w:t>
      </w:r>
      <w:proofErr w:type="gramStart"/>
      <w:r>
        <w:rPr>
          <w:rFonts w:ascii="Arial" w:hAnsi="Arial" w:cs="Arial"/>
          <w:sz w:val="22"/>
          <w:szCs w:val="22"/>
        </w:rPr>
        <w:t>continuación</w:t>
      </w:r>
      <w:proofErr w:type="gramEnd"/>
      <w:r>
        <w:rPr>
          <w:rFonts w:ascii="Arial" w:hAnsi="Arial" w:cs="Arial"/>
          <w:sz w:val="22"/>
          <w:szCs w:val="22"/>
        </w:rPr>
        <w:t xml:space="preserve"> se </w:t>
      </w:r>
      <w:r w:rsidR="00DF0C17">
        <w:rPr>
          <w:rFonts w:ascii="Arial" w:hAnsi="Arial" w:cs="Arial"/>
          <w:sz w:val="22"/>
          <w:szCs w:val="22"/>
        </w:rPr>
        <w:t>presentan las fórmulas mediante las cuales se refleja</w:t>
      </w:r>
      <w:r w:rsidR="00F77A79">
        <w:rPr>
          <w:rFonts w:ascii="Arial" w:hAnsi="Arial" w:cs="Arial"/>
          <w:sz w:val="22"/>
          <w:szCs w:val="22"/>
        </w:rPr>
        <w:t>: a)</w:t>
      </w:r>
      <w:r w:rsidR="00DF0C17">
        <w:rPr>
          <w:rFonts w:ascii="Arial" w:hAnsi="Arial" w:cs="Arial"/>
          <w:sz w:val="22"/>
          <w:szCs w:val="22"/>
        </w:rPr>
        <w:t xml:space="preserve"> </w:t>
      </w:r>
      <w:r>
        <w:rPr>
          <w:rFonts w:ascii="Arial" w:hAnsi="Arial" w:cs="Arial"/>
          <w:sz w:val="22"/>
          <w:szCs w:val="22"/>
        </w:rPr>
        <w:t>el resultado del ejercicio</w:t>
      </w:r>
      <w:r w:rsidR="00DF0C17">
        <w:rPr>
          <w:rFonts w:ascii="Arial" w:hAnsi="Arial" w:cs="Arial"/>
          <w:sz w:val="22"/>
          <w:szCs w:val="22"/>
        </w:rPr>
        <w:t>,</w:t>
      </w:r>
      <w:r w:rsidR="00F77A79">
        <w:rPr>
          <w:rFonts w:ascii="Arial" w:hAnsi="Arial" w:cs="Arial"/>
          <w:sz w:val="22"/>
          <w:szCs w:val="22"/>
        </w:rPr>
        <w:t xml:space="preserve"> b) el resultado del ejercicio</w:t>
      </w:r>
      <w:r w:rsidR="00DF0C17">
        <w:rPr>
          <w:rFonts w:ascii="Arial" w:hAnsi="Arial" w:cs="Arial"/>
          <w:sz w:val="22"/>
          <w:szCs w:val="22"/>
        </w:rPr>
        <w:t xml:space="preserve"> una vez descontado </w:t>
      </w:r>
      <w:r w:rsidR="00A605A1">
        <w:rPr>
          <w:rFonts w:ascii="Arial" w:hAnsi="Arial" w:cs="Arial"/>
          <w:sz w:val="22"/>
          <w:szCs w:val="22"/>
        </w:rPr>
        <w:t>el efecto causado por el registro de las o</w:t>
      </w:r>
      <w:r w:rsidR="00DF0C17">
        <w:rPr>
          <w:rFonts w:ascii="Arial" w:hAnsi="Arial" w:cs="Arial"/>
          <w:sz w:val="22"/>
          <w:szCs w:val="22"/>
        </w:rPr>
        <w:t xml:space="preserve">peraciones interinstitucionales y </w:t>
      </w:r>
      <w:r w:rsidR="00F77A79">
        <w:rPr>
          <w:rFonts w:ascii="Arial" w:hAnsi="Arial" w:cs="Arial"/>
          <w:sz w:val="22"/>
          <w:szCs w:val="22"/>
        </w:rPr>
        <w:t xml:space="preserve">c) </w:t>
      </w:r>
      <w:r w:rsidR="00AA7A2E">
        <w:rPr>
          <w:rFonts w:ascii="Arial" w:hAnsi="Arial" w:cs="Arial"/>
          <w:sz w:val="22"/>
          <w:szCs w:val="22"/>
        </w:rPr>
        <w:t xml:space="preserve">el efecto </w:t>
      </w:r>
      <w:r w:rsidR="00DF0C17">
        <w:rPr>
          <w:rFonts w:ascii="Arial" w:hAnsi="Arial" w:cs="Arial"/>
          <w:sz w:val="22"/>
          <w:szCs w:val="22"/>
        </w:rPr>
        <w:t>que se produce entre uno y otro</w:t>
      </w:r>
      <w:r w:rsidR="00F77A79">
        <w:rPr>
          <w:rFonts w:ascii="Arial" w:hAnsi="Arial" w:cs="Arial"/>
          <w:sz w:val="22"/>
          <w:szCs w:val="22"/>
        </w:rPr>
        <w:t xml:space="preserve">, es decir </w:t>
      </w:r>
      <w:r w:rsidR="001E747A">
        <w:rPr>
          <w:rFonts w:ascii="Arial" w:hAnsi="Arial" w:cs="Arial"/>
          <w:sz w:val="22"/>
          <w:szCs w:val="22"/>
        </w:rPr>
        <w:t xml:space="preserve">entre </w:t>
      </w:r>
      <w:r w:rsidR="00F77A79">
        <w:rPr>
          <w:rFonts w:ascii="Arial" w:hAnsi="Arial" w:cs="Arial"/>
          <w:sz w:val="22"/>
          <w:szCs w:val="22"/>
        </w:rPr>
        <w:t>a) y b).</w:t>
      </w:r>
    </w:p>
    <w:p w14:paraId="1A14A934" w14:textId="218CD27A" w:rsidR="00DF0C17" w:rsidRDefault="00DF0C17" w:rsidP="00F93B16">
      <w:pPr>
        <w:spacing w:line="312" w:lineRule="auto"/>
        <w:jc w:val="both"/>
        <w:rPr>
          <w:rFonts w:ascii="Arial" w:hAnsi="Arial" w:cs="Arial"/>
          <w:sz w:val="22"/>
          <w:szCs w:val="22"/>
        </w:rPr>
      </w:pPr>
    </w:p>
    <w:p w14:paraId="32735947" w14:textId="519A6D4E" w:rsidR="00DB6F34" w:rsidRDefault="00DB6F34" w:rsidP="00F93B16">
      <w:pPr>
        <w:spacing w:line="312" w:lineRule="auto"/>
        <w:jc w:val="both"/>
        <w:rPr>
          <w:rFonts w:ascii="Arial" w:hAnsi="Arial" w:cs="Arial"/>
          <w:sz w:val="22"/>
          <w:szCs w:val="22"/>
        </w:rPr>
      </w:pPr>
    </w:p>
    <w:p w14:paraId="2C601A2F" w14:textId="7DD95689" w:rsidR="00DB6F34" w:rsidRDefault="00DB6F34" w:rsidP="00F93B16">
      <w:pPr>
        <w:spacing w:line="312" w:lineRule="auto"/>
        <w:jc w:val="both"/>
        <w:rPr>
          <w:rFonts w:ascii="Arial" w:hAnsi="Arial" w:cs="Arial"/>
          <w:sz w:val="22"/>
          <w:szCs w:val="22"/>
        </w:rPr>
      </w:pPr>
    </w:p>
    <w:p w14:paraId="15D9C154" w14:textId="5DDA7B38" w:rsidR="00DB6F34" w:rsidRDefault="00DB6F34" w:rsidP="00F93B16">
      <w:pPr>
        <w:spacing w:line="312" w:lineRule="auto"/>
        <w:jc w:val="both"/>
        <w:rPr>
          <w:rFonts w:ascii="Arial" w:hAnsi="Arial" w:cs="Arial"/>
          <w:sz w:val="22"/>
          <w:szCs w:val="22"/>
        </w:rPr>
      </w:pPr>
    </w:p>
    <w:p w14:paraId="21B60D08" w14:textId="601E9EC8" w:rsidR="00DB6F34" w:rsidRDefault="00DB6F34" w:rsidP="00F93B16">
      <w:pPr>
        <w:spacing w:line="312" w:lineRule="auto"/>
        <w:jc w:val="both"/>
        <w:rPr>
          <w:rFonts w:ascii="Arial" w:hAnsi="Arial" w:cs="Arial"/>
          <w:sz w:val="22"/>
          <w:szCs w:val="22"/>
        </w:rPr>
      </w:pPr>
    </w:p>
    <w:p w14:paraId="11BE4550" w14:textId="4B75BBB2" w:rsidR="00DB6F34" w:rsidRDefault="00DB6F34" w:rsidP="00F93B16">
      <w:pPr>
        <w:spacing w:line="312" w:lineRule="auto"/>
        <w:jc w:val="both"/>
        <w:rPr>
          <w:rFonts w:ascii="Arial" w:hAnsi="Arial" w:cs="Arial"/>
          <w:sz w:val="22"/>
          <w:szCs w:val="22"/>
        </w:rPr>
      </w:pPr>
    </w:p>
    <w:p w14:paraId="7EAE66E3" w14:textId="03AE20C2" w:rsidR="00DB6F34" w:rsidRDefault="00DB6F34" w:rsidP="00F93B16">
      <w:pPr>
        <w:spacing w:line="312" w:lineRule="auto"/>
        <w:jc w:val="both"/>
        <w:rPr>
          <w:rFonts w:ascii="Arial" w:hAnsi="Arial" w:cs="Arial"/>
          <w:sz w:val="22"/>
          <w:szCs w:val="22"/>
        </w:rPr>
      </w:pPr>
    </w:p>
    <w:p w14:paraId="4A2B638E" w14:textId="77777777" w:rsidR="00DB6F34" w:rsidRDefault="00DB6F34" w:rsidP="00F93B16">
      <w:pPr>
        <w:spacing w:line="312" w:lineRule="auto"/>
        <w:jc w:val="both"/>
        <w:rPr>
          <w:rFonts w:ascii="Arial" w:hAnsi="Arial" w:cs="Arial"/>
          <w:sz w:val="22"/>
          <w:szCs w:val="22"/>
        </w:rPr>
      </w:pPr>
    </w:p>
    <w:p w14:paraId="1C6DBFB4" w14:textId="23F92A59" w:rsidR="00DF0C17" w:rsidRDefault="00DF0C17" w:rsidP="00F93B16">
      <w:pPr>
        <w:spacing w:line="312" w:lineRule="auto"/>
        <w:jc w:val="both"/>
        <w:rPr>
          <w:rFonts w:ascii="Arial" w:hAnsi="Arial" w:cs="Arial"/>
          <w:b/>
          <w:sz w:val="22"/>
          <w:szCs w:val="22"/>
        </w:rPr>
      </w:pPr>
      <w:r w:rsidRPr="00C4403C">
        <w:rPr>
          <w:rFonts w:ascii="Arial" w:hAnsi="Arial" w:cs="Arial"/>
          <w:b/>
          <w:sz w:val="22"/>
          <w:szCs w:val="22"/>
        </w:rPr>
        <w:lastRenderedPageBreak/>
        <w:t>RESULTADO DEL EJERCICIO</w:t>
      </w:r>
      <w:r>
        <w:rPr>
          <w:rFonts w:ascii="Arial" w:hAnsi="Arial" w:cs="Arial"/>
          <w:b/>
          <w:sz w:val="22"/>
          <w:szCs w:val="22"/>
        </w:rPr>
        <w:t>:</w:t>
      </w:r>
    </w:p>
    <w:p w14:paraId="2B29E313" w14:textId="128E234B" w:rsidR="00DF0C17" w:rsidRDefault="00DF0C17" w:rsidP="00F93B16">
      <w:pPr>
        <w:spacing w:line="312" w:lineRule="auto"/>
        <w:jc w:val="both"/>
        <w:rPr>
          <w:rFonts w:ascii="Arial" w:hAnsi="Arial" w:cs="Arial"/>
          <w:b/>
          <w:sz w:val="22"/>
          <w:szCs w:val="22"/>
        </w:rPr>
      </w:pPr>
    </w:p>
    <w:p w14:paraId="71ECAFE3" w14:textId="34F31AB7" w:rsidR="00DF0C17" w:rsidRDefault="00DF0C17" w:rsidP="00F93B16">
      <w:pPr>
        <w:spacing w:line="312" w:lineRule="auto"/>
        <w:jc w:val="both"/>
        <w:rPr>
          <w:rFonts w:ascii="Arial" w:hAnsi="Arial" w:cs="Arial"/>
          <w:b/>
          <w:sz w:val="22"/>
          <w:szCs w:val="22"/>
        </w:rPr>
      </w:pPr>
      <w:r>
        <w:rPr>
          <w:rFonts w:ascii="Arial" w:hAnsi="Arial" w:cs="Arial"/>
          <w:noProof/>
          <w:sz w:val="22"/>
          <w:szCs w:val="22"/>
          <w:lang w:val="es-CO" w:eastAsia="es-CO"/>
        </w:rPr>
        <w:drawing>
          <wp:inline distT="0" distB="0" distL="0" distR="0" wp14:anchorId="47673DB2" wp14:editId="5EB6C0E3">
            <wp:extent cx="5600700" cy="1066800"/>
            <wp:effectExtent l="0" t="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58C37CA" w14:textId="77777777" w:rsidR="00854101" w:rsidRDefault="00854101" w:rsidP="00F93B16">
      <w:pPr>
        <w:spacing w:line="312" w:lineRule="auto"/>
        <w:jc w:val="both"/>
        <w:rPr>
          <w:rFonts w:ascii="Arial" w:hAnsi="Arial" w:cs="Arial"/>
          <w:b/>
          <w:sz w:val="22"/>
          <w:szCs w:val="22"/>
        </w:rPr>
      </w:pPr>
    </w:p>
    <w:p w14:paraId="642CFB9C" w14:textId="770E958D" w:rsidR="00DF0C17" w:rsidRDefault="00CE7792" w:rsidP="00F93B16">
      <w:pPr>
        <w:spacing w:line="312" w:lineRule="auto"/>
        <w:jc w:val="both"/>
        <w:rPr>
          <w:rFonts w:ascii="Arial" w:hAnsi="Arial" w:cs="Arial"/>
          <w:b/>
          <w:sz w:val="22"/>
          <w:szCs w:val="22"/>
        </w:rPr>
      </w:pPr>
      <w:r>
        <w:rPr>
          <w:rFonts w:ascii="Arial" w:hAnsi="Arial" w:cs="Arial"/>
          <w:b/>
          <w:sz w:val="22"/>
          <w:szCs w:val="22"/>
        </w:rPr>
        <w:t xml:space="preserve">RESULTADO DEL EJERCICIO SIN EL EFECTO DE LAS OPERACIONES INTERINSTITUCIONALES: </w:t>
      </w:r>
    </w:p>
    <w:p w14:paraId="182C9EDF" w14:textId="2E928937" w:rsidR="00DF0C17" w:rsidRDefault="00DF0C17" w:rsidP="00F93B16">
      <w:pPr>
        <w:spacing w:line="312" w:lineRule="auto"/>
        <w:jc w:val="both"/>
        <w:rPr>
          <w:rFonts w:ascii="Arial" w:hAnsi="Arial" w:cs="Arial"/>
          <w:b/>
          <w:sz w:val="22"/>
          <w:szCs w:val="22"/>
        </w:rPr>
      </w:pPr>
    </w:p>
    <w:p w14:paraId="46A6D780" w14:textId="012E4F87" w:rsidR="00DF0C17" w:rsidRDefault="00CE7792" w:rsidP="00F93B16">
      <w:pPr>
        <w:spacing w:line="312" w:lineRule="auto"/>
        <w:jc w:val="both"/>
        <w:rPr>
          <w:rFonts w:ascii="Arial" w:hAnsi="Arial" w:cs="Arial"/>
          <w:b/>
          <w:sz w:val="22"/>
          <w:szCs w:val="22"/>
        </w:rPr>
      </w:pPr>
      <w:r>
        <w:rPr>
          <w:rFonts w:ascii="Arial" w:hAnsi="Arial" w:cs="Arial"/>
          <w:noProof/>
          <w:sz w:val="22"/>
          <w:szCs w:val="22"/>
          <w:lang w:val="es-CO" w:eastAsia="es-CO"/>
        </w:rPr>
        <w:drawing>
          <wp:inline distT="0" distB="0" distL="0" distR="0" wp14:anchorId="1454B5D8" wp14:editId="10D0D472">
            <wp:extent cx="5591175" cy="1273175"/>
            <wp:effectExtent l="19050" t="19050" r="28575" b="222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175" cy="1273175"/>
                    </a:xfrm>
                    <a:prstGeom prst="rect">
                      <a:avLst/>
                    </a:prstGeom>
                    <a:noFill/>
                    <a:ln>
                      <a:solidFill>
                        <a:schemeClr val="accent1"/>
                      </a:solidFill>
                    </a:ln>
                  </pic:spPr>
                </pic:pic>
              </a:graphicData>
            </a:graphic>
          </wp:inline>
        </w:drawing>
      </w:r>
    </w:p>
    <w:p w14:paraId="01BEE815" w14:textId="284CE115" w:rsidR="00DF0C17" w:rsidRDefault="00DF0C17" w:rsidP="00F93B16">
      <w:pPr>
        <w:spacing w:line="312" w:lineRule="auto"/>
        <w:jc w:val="both"/>
        <w:rPr>
          <w:rFonts w:ascii="Arial" w:hAnsi="Arial" w:cs="Arial"/>
          <w:b/>
          <w:sz w:val="22"/>
          <w:szCs w:val="22"/>
        </w:rPr>
      </w:pPr>
    </w:p>
    <w:p w14:paraId="2863B68D" w14:textId="0EC19CCB" w:rsidR="00DF0C17" w:rsidRDefault="00AA7A2E" w:rsidP="00F93B16">
      <w:pPr>
        <w:spacing w:line="312" w:lineRule="auto"/>
        <w:jc w:val="both"/>
        <w:rPr>
          <w:rFonts w:ascii="Arial" w:hAnsi="Arial" w:cs="Arial"/>
          <w:b/>
          <w:sz w:val="22"/>
          <w:szCs w:val="22"/>
        </w:rPr>
      </w:pPr>
      <w:r>
        <w:rPr>
          <w:rFonts w:ascii="Arial" w:hAnsi="Arial" w:cs="Arial"/>
          <w:b/>
          <w:sz w:val="22"/>
          <w:szCs w:val="22"/>
        </w:rPr>
        <w:t xml:space="preserve">EFECTO </w:t>
      </w:r>
      <w:r w:rsidR="00CE7792">
        <w:rPr>
          <w:rFonts w:ascii="Arial" w:hAnsi="Arial" w:cs="Arial"/>
          <w:b/>
          <w:sz w:val="22"/>
          <w:szCs w:val="22"/>
        </w:rPr>
        <w:t>EN EL RESULTADO:</w:t>
      </w:r>
    </w:p>
    <w:p w14:paraId="7BD32A47" w14:textId="3E16931B" w:rsidR="00CE7792" w:rsidRDefault="00CE7792" w:rsidP="00F93B16">
      <w:pPr>
        <w:spacing w:line="312" w:lineRule="auto"/>
        <w:jc w:val="both"/>
        <w:rPr>
          <w:rFonts w:ascii="Arial" w:hAnsi="Arial" w:cs="Arial"/>
          <w:b/>
          <w:sz w:val="22"/>
          <w:szCs w:val="22"/>
        </w:rPr>
      </w:pPr>
    </w:p>
    <w:p w14:paraId="0316465C" w14:textId="78923631" w:rsidR="00CE7792" w:rsidRDefault="00CE7792" w:rsidP="00F93B16">
      <w:pPr>
        <w:spacing w:line="312" w:lineRule="auto"/>
        <w:jc w:val="both"/>
        <w:rPr>
          <w:rFonts w:ascii="Arial" w:hAnsi="Arial" w:cs="Arial"/>
          <w:b/>
          <w:sz w:val="22"/>
          <w:szCs w:val="22"/>
        </w:rPr>
      </w:pPr>
      <w:r w:rsidRPr="00E676D8">
        <w:rPr>
          <w:rFonts w:ascii="Arial" w:hAnsi="Arial" w:cs="Arial"/>
          <w:noProof/>
          <w:color w:val="000000"/>
          <w:sz w:val="22"/>
          <w:szCs w:val="22"/>
          <w:lang w:val="es-CO" w:eastAsia="es-CO"/>
        </w:rPr>
        <mc:AlternateContent>
          <mc:Choice Requires="wps">
            <w:drawing>
              <wp:anchor distT="0" distB="0" distL="114300" distR="114300" simplePos="0" relativeHeight="251669504" behindDoc="0" locked="0" layoutInCell="1" allowOverlap="1" wp14:anchorId="3DAAA0DC" wp14:editId="0D5D5913">
                <wp:simplePos x="0" y="0"/>
                <wp:positionH relativeFrom="column">
                  <wp:posOffset>1520190</wp:posOffset>
                </wp:positionH>
                <wp:positionV relativeFrom="paragraph">
                  <wp:posOffset>193040</wp:posOffset>
                </wp:positionV>
                <wp:extent cx="2600325" cy="962025"/>
                <wp:effectExtent l="0" t="0" r="28575" b="28575"/>
                <wp:wrapNone/>
                <wp:docPr id="34" name="Corchetes 8"/>
                <wp:cNvGraphicFramePr/>
                <a:graphic xmlns:a="http://schemas.openxmlformats.org/drawingml/2006/main">
                  <a:graphicData uri="http://schemas.microsoft.com/office/word/2010/wordprocessingShape">
                    <wps:wsp>
                      <wps:cNvSpPr/>
                      <wps:spPr>
                        <a:xfrm>
                          <a:off x="0" y="0"/>
                          <a:ext cx="2600325" cy="9620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218D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8" o:spid="_x0000_s1026" type="#_x0000_t185" style="position:absolute;margin-left:119.7pt;margin-top:15.2pt;width:204.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FDYQIAAB4FAAAOAAAAZHJzL2Uyb0RvYy54bWysVN9P2zAQfp+0/8Hy+0haCoOqKaqKmCYh&#10;QIOJZ9exW2uOzzu7Tbu/fmcnKYhNmjbtxbnL/f78nWdX+8ayncJgwFV8dFJyppyE2rh1xb8+3Xy4&#10;4CxE4WphwamKH1TgV/P372atn6oxbMDWChklcWHa+opvYvTToghyoxoRTsArR0YN2IhIKq6LGkVL&#10;2RtbjMvyvGgBa48gVQj097oz8nnOr7WS8V7roCKzFafeYj4xn6t0FvOZmK5R+I2RfRviH7pohHFU&#10;9JjqWkTBtmh+SdUYiRBAxxMJTQFaG6nyDDTNqHwzzeNGeJVnIXCCP8IU/l9aebd7QGbqip9OOHOi&#10;oTtaAhL8UQV2kfBpfZiS26N/wF4LJKZh9xqb9KUx2D5jejhiqvaRSfo5Pi/L0/EZZ5Jsl+fjkmRK&#10;U7xEewzxk4KGJaHiKxTym4oPwmBGVOxuQ+wiBk8KT011bWQpHqxKnVj3RWkahwqPcnQmklpaZDtB&#10;FBBSKhdHfQfZO4VpY+0xsPxzYO+fQlUm2d8EHyNyZXDxGNwYB93Qb9qO+6Fl3fkPCHRzJwhWUB/o&#10;JhE6igcvbwzheSsCQYnEaWI/7Wm8p0NbaCsOvcTZBvDH7/4nf6IaWTlraUcqHr5vBSrO7GdHJLwc&#10;TSZpqbIyOfs4JgVfW1avLW7bLIHuYEQvgpdZTP7RDqJGaJ5pnRepKpmEk1S74jLioCxjt7v0IEi1&#10;WGQ3WiQv4q179HK49USUp/2zQN+TKhId72DYJzF9Q6rON92Hg8U2gjaZcS+49njTEmbq9g9G2vLX&#10;evZ6edbmPwEAAP//AwBQSwMEFAAGAAgAAAAhACRCDvDhAAAACgEAAA8AAABkcnMvZG93bnJldi54&#10;bWxMj01LxDAQhu+C/yGM4EXcZD9Y2tp0UUE8KIKrCN7SJjZlk0lt0m733zue9DQM8/DO85a72Ts2&#10;mSF2ASUsFwKYwSboDlsJ728P1xmwmBRq5QIaCScTYVedn5Wq0OGIr2bap5ZRCMZCSbAp9QXnsbHG&#10;q7gIvUG6fYXBq0Tr0HI9qCOFe8dXQmy5Vx3SB6t6c29Nc9iPXsKjdU+jqK+m5uPl+3QIjn/ePXMp&#10;Ly/m2xtgyczpD4ZffVKHipzqMKKOzElYrfMNoRLWgiYB202WA6uJzJY58Krk/ytUPwAAAP//AwBQ&#10;SwECLQAUAAYACAAAACEAtoM4kv4AAADhAQAAEwAAAAAAAAAAAAAAAAAAAAAAW0NvbnRlbnRfVHlw&#10;ZXNdLnhtbFBLAQItABQABgAIAAAAIQA4/SH/1gAAAJQBAAALAAAAAAAAAAAAAAAAAC8BAABfcmVs&#10;cy8ucmVsc1BLAQItABQABgAIAAAAIQDFrnFDYQIAAB4FAAAOAAAAAAAAAAAAAAAAAC4CAABkcnMv&#10;ZTJvRG9jLnhtbFBLAQItABQABgAIAAAAIQAkQg7w4QAAAAoBAAAPAAAAAAAAAAAAAAAAALsEAABk&#10;cnMvZG93bnJldi54bWxQSwUGAAAAAAQABADzAAAAyQUAAAAA&#10;" strokecolor="#5b9bd5 [3204]" strokeweight=".5pt">
                <v:stroke joinstyle="miter"/>
              </v:shape>
            </w:pict>
          </mc:Fallback>
        </mc:AlternateContent>
      </w:r>
      <w:r>
        <w:rPr>
          <w:rFonts w:ascii="Arial" w:hAnsi="Arial" w:cs="Arial"/>
          <w:noProof/>
          <w:sz w:val="22"/>
          <w:szCs w:val="22"/>
          <w:lang w:val="es-CO" w:eastAsia="es-CO"/>
        </w:rPr>
        <w:drawing>
          <wp:inline distT="0" distB="0" distL="0" distR="0" wp14:anchorId="4BC3837E" wp14:editId="6092AE15">
            <wp:extent cx="5613400" cy="1278890"/>
            <wp:effectExtent l="0" t="0" r="25400" b="1651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96AA8A0" w14:textId="668D3003" w:rsidR="00DF0C17" w:rsidRDefault="00DF0C17" w:rsidP="00F93B16">
      <w:pPr>
        <w:spacing w:line="312" w:lineRule="auto"/>
        <w:jc w:val="both"/>
        <w:rPr>
          <w:rFonts w:ascii="Arial" w:hAnsi="Arial" w:cs="Arial"/>
          <w:sz w:val="22"/>
          <w:szCs w:val="22"/>
        </w:rPr>
      </w:pPr>
    </w:p>
    <w:p w14:paraId="54BB17F8" w14:textId="64EBF515" w:rsidR="00EC79A4" w:rsidRDefault="00EC79A4" w:rsidP="00CA76B9">
      <w:pPr>
        <w:spacing w:line="288" w:lineRule="auto"/>
        <w:jc w:val="both"/>
        <w:rPr>
          <w:rFonts w:ascii="Arial" w:hAnsi="Arial" w:cs="Arial"/>
          <w:sz w:val="22"/>
          <w:szCs w:val="22"/>
        </w:rPr>
      </w:pPr>
      <w:r>
        <w:rPr>
          <w:rFonts w:ascii="Arial" w:hAnsi="Arial" w:cs="Arial"/>
          <w:sz w:val="22"/>
          <w:szCs w:val="22"/>
        </w:rPr>
        <w:t xml:space="preserve">De este modo, el propósito del indicador denominado </w:t>
      </w:r>
      <w:r w:rsidRPr="00C4403C">
        <w:rPr>
          <w:rFonts w:ascii="Arial" w:hAnsi="Arial" w:cs="Arial"/>
          <w:i/>
          <w:sz w:val="22"/>
          <w:szCs w:val="22"/>
        </w:rPr>
        <w:t>“</w:t>
      </w:r>
      <w:r w:rsidRPr="00C4403C">
        <w:rPr>
          <w:rFonts w:ascii="Arial" w:hAnsi="Arial" w:cs="Arial"/>
          <w:b/>
          <w:bCs/>
          <w:i/>
          <w:sz w:val="22"/>
          <w:szCs w:val="22"/>
          <w:lang w:val="es-MX"/>
        </w:rPr>
        <w:t>RESULTADO DEL EJERCICIO DESCONTANDO EL EFECTO DE LAS OPERACIONES INTERINSTITUCIONALES”</w:t>
      </w:r>
      <w:r w:rsidR="00B407C9">
        <w:rPr>
          <w:rFonts w:ascii="Arial" w:hAnsi="Arial" w:cs="Arial"/>
          <w:b/>
          <w:bCs/>
          <w:i/>
          <w:sz w:val="22"/>
          <w:szCs w:val="22"/>
          <w:lang w:val="es-MX"/>
        </w:rPr>
        <w:t xml:space="preserve">, </w:t>
      </w:r>
      <w:r w:rsidR="00B407C9" w:rsidRPr="00C4403C">
        <w:rPr>
          <w:rFonts w:ascii="Arial" w:hAnsi="Arial" w:cs="Arial"/>
          <w:bCs/>
          <w:sz w:val="22"/>
          <w:szCs w:val="22"/>
          <w:lang w:val="es-MX"/>
        </w:rPr>
        <w:t>es</w:t>
      </w:r>
      <w:r w:rsidR="00B407C9">
        <w:rPr>
          <w:rFonts w:ascii="Arial" w:hAnsi="Arial" w:cs="Arial"/>
          <w:bCs/>
          <w:sz w:val="22"/>
          <w:szCs w:val="22"/>
          <w:lang w:val="es-MX"/>
        </w:rPr>
        <w:t xml:space="preserve"> revelar el resultado de las operaciones efectuadas por el Ministerio de Hacienda y Crédito Público, sin considerar el efecto generado por la contabilización de las operaciones </w:t>
      </w:r>
      <w:proofErr w:type="spellStart"/>
      <w:r w:rsidR="00B407C9">
        <w:rPr>
          <w:rFonts w:ascii="Arial" w:hAnsi="Arial" w:cs="Arial"/>
          <w:bCs/>
          <w:sz w:val="22"/>
          <w:szCs w:val="22"/>
          <w:lang w:val="es-MX"/>
        </w:rPr>
        <w:t>Insterinstitucionales</w:t>
      </w:r>
      <w:proofErr w:type="spellEnd"/>
      <w:r w:rsidR="00084921">
        <w:rPr>
          <w:rFonts w:ascii="Arial" w:hAnsi="Arial" w:cs="Arial"/>
          <w:bCs/>
          <w:sz w:val="22"/>
          <w:szCs w:val="22"/>
          <w:lang w:val="es-MX"/>
        </w:rPr>
        <w:t xml:space="preserve"> (Grupo 57 del Catálogo de Cuentas)</w:t>
      </w:r>
      <w:r w:rsidR="00B407C9">
        <w:rPr>
          <w:rFonts w:ascii="Arial" w:hAnsi="Arial" w:cs="Arial"/>
          <w:bCs/>
          <w:sz w:val="22"/>
          <w:szCs w:val="22"/>
          <w:lang w:val="es-MX"/>
        </w:rPr>
        <w:t xml:space="preserve"> derivadas de los recaudos efectuados en el Tesoro Nacional,</w:t>
      </w:r>
      <w:r w:rsidR="00A368BB">
        <w:rPr>
          <w:rFonts w:ascii="Arial" w:hAnsi="Arial" w:cs="Arial"/>
          <w:bCs/>
          <w:sz w:val="22"/>
          <w:szCs w:val="22"/>
          <w:lang w:val="es-MX"/>
        </w:rPr>
        <w:t xml:space="preserve"> en su calidad de Tesorería Central</w:t>
      </w:r>
      <w:r w:rsidR="00486FAE">
        <w:rPr>
          <w:rFonts w:ascii="Arial" w:hAnsi="Arial" w:cs="Arial"/>
          <w:bCs/>
          <w:sz w:val="22"/>
          <w:szCs w:val="22"/>
          <w:lang w:val="es-MX"/>
        </w:rPr>
        <w:t>izada</w:t>
      </w:r>
      <w:r w:rsidR="00A368BB">
        <w:rPr>
          <w:rFonts w:ascii="Arial" w:hAnsi="Arial" w:cs="Arial"/>
          <w:bCs/>
          <w:sz w:val="22"/>
          <w:szCs w:val="22"/>
          <w:lang w:val="es-MX"/>
        </w:rPr>
        <w:t xml:space="preserve"> de las entidades ejecutoras del Presupuesto General de la Nación.</w:t>
      </w:r>
      <w:r w:rsidR="00B407C9">
        <w:rPr>
          <w:rFonts w:ascii="Arial" w:hAnsi="Arial" w:cs="Arial"/>
          <w:bCs/>
          <w:sz w:val="22"/>
          <w:szCs w:val="22"/>
          <w:lang w:val="es-MX"/>
        </w:rPr>
        <w:t xml:space="preserve"> </w:t>
      </w:r>
    </w:p>
    <w:p w14:paraId="7976B0A4" w14:textId="77777777" w:rsidR="00EC79A4" w:rsidRDefault="00EC79A4" w:rsidP="00CA76B9">
      <w:pPr>
        <w:spacing w:line="288" w:lineRule="auto"/>
        <w:jc w:val="both"/>
        <w:rPr>
          <w:rFonts w:ascii="Arial" w:hAnsi="Arial" w:cs="Arial"/>
          <w:sz w:val="22"/>
          <w:szCs w:val="22"/>
        </w:rPr>
      </w:pPr>
    </w:p>
    <w:p w14:paraId="5177D6EE" w14:textId="40D0485C" w:rsidR="00BC3C2F" w:rsidRPr="00202435" w:rsidRDefault="00EC79A4" w:rsidP="00CA76B9">
      <w:pPr>
        <w:spacing w:line="288" w:lineRule="auto"/>
        <w:jc w:val="both"/>
        <w:rPr>
          <w:rFonts w:ascii="Arial" w:hAnsi="Arial" w:cs="Arial"/>
          <w:sz w:val="22"/>
          <w:szCs w:val="22"/>
        </w:rPr>
      </w:pPr>
      <w:r w:rsidRPr="00B407C9">
        <w:rPr>
          <w:rFonts w:ascii="Arial" w:hAnsi="Arial" w:cs="Arial"/>
          <w:sz w:val="22"/>
          <w:szCs w:val="22"/>
        </w:rPr>
        <w:lastRenderedPageBreak/>
        <w:t>Finalmente</w:t>
      </w:r>
      <w:r w:rsidR="00BC3C2F" w:rsidRPr="00B407C9">
        <w:rPr>
          <w:rFonts w:ascii="Arial" w:hAnsi="Arial" w:cs="Arial"/>
          <w:sz w:val="22"/>
          <w:szCs w:val="22"/>
        </w:rPr>
        <w:t>, cabe señalar que el c</w:t>
      </w:r>
      <w:r w:rsidR="00B407C9" w:rsidRPr="00B407C9">
        <w:rPr>
          <w:rFonts w:ascii="Arial" w:hAnsi="Arial" w:cs="Arial"/>
          <w:sz w:val="22"/>
          <w:szCs w:val="22"/>
        </w:rPr>
        <w:t xml:space="preserve">álculo </w:t>
      </w:r>
      <w:r w:rsidR="00AA7A2E">
        <w:rPr>
          <w:rFonts w:ascii="Arial" w:hAnsi="Arial" w:cs="Arial"/>
          <w:sz w:val="22"/>
          <w:szCs w:val="22"/>
        </w:rPr>
        <w:t xml:space="preserve">del resultado del ejercicio sin la incidencia </w:t>
      </w:r>
      <w:r w:rsidR="00BC3C2F" w:rsidRPr="007740DA">
        <w:rPr>
          <w:rFonts w:ascii="Arial" w:hAnsi="Arial" w:cs="Arial"/>
          <w:sz w:val="22"/>
          <w:szCs w:val="22"/>
        </w:rPr>
        <w:t xml:space="preserve">de las operaciones </w:t>
      </w:r>
      <w:proofErr w:type="spellStart"/>
      <w:r w:rsidR="00BC3C2F" w:rsidRPr="00202435">
        <w:rPr>
          <w:rFonts w:ascii="Arial" w:hAnsi="Arial" w:cs="Arial"/>
          <w:sz w:val="22"/>
          <w:szCs w:val="22"/>
        </w:rPr>
        <w:t>Insterinstitucionales</w:t>
      </w:r>
      <w:proofErr w:type="spellEnd"/>
      <w:r w:rsidR="00BC3C2F" w:rsidRPr="00202435">
        <w:rPr>
          <w:rFonts w:ascii="Arial" w:hAnsi="Arial" w:cs="Arial"/>
          <w:sz w:val="22"/>
          <w:szCs w:val="22"/>
        </w:rPr>
        <w:t xml:space="preserve"> y </w:t>
      </w:r>
      <w:r w:rsidR="00AA7A2E">
        <w:rPr>
          <w:rFonts w:ascii="Arial" w:hAnsi="Arial" w:cs="Arial"/>
          <w:sz w:val="22"/>
          <w:szCs w:val="22"/>
        </w:rPr>
        <w:t xml:space="preserve">el efecto </w:t>
      </w:r>
      <w:r w:rsidR="00BC3C2F" w:rsidRPr="00202435">
        <w:rPr>
          <w:rFonts w:ascii="Arial" w:hAnsi="Arial" w:cs="Arial"/>
          <w:sz w:val="22"/>
          <w:szCs w:val="22"/>
        </w:rPr>
        <w:t xml:space="preserve">del resultado se </w:t>
      </w:r>
      <w:r w:rsidR="00AA7A2E">
        <w:rPr>
          <w:rFonts w:ascii="Arial" w:hAnsi="Arial" w:cs="Arial"/>
          <w:sz w:val="22"/>
          <w:szCs w:val="22"/>
        </w:rPr>
        <w:t>llevará a cabo</w:t>
      </w:r>
      <w:r w:rsidR="00BC3C2F" w:rsidRPr="00202435">
        <w:rPr>
          <w:rFonts w:ascii="Arial" w:hAnsi="Arial" w:cs="Arial"/>
          <w:sz w:val="22"/>
          <w:szCs w:val="22"/>
        </w:rPr>
        <w:t xml:space="preserve"> anualmente, con </w:t>
      </w:r>
      <w:r w:rsidR="005670C2" w:rsidRPr="00202435">
        <w:rPr>
          <w:rFonts w:ascii="Arial" w:hAnsi="Arial" w:cs="Arial"/>
          <w:sz w:val="22"/>
          <w:szCs w:val="22"/>
        </w:rPr>
        <w:t>corte a 31 de diciembre.</w:t>
      </w:r>
    </w:p>
    <w:p w14:paraId="10D56DF1" w14:textId="77777777" w:rsidR="00BC3C2F" w:rsidRPr="00202435" w:rsidRDefault="00BC3C2F" w:rsidP="00CA76B9">
      <w:pPr>
        <w:spacing w:line="288" w:lineRule="auto"/>
        <w:jc w:val="both"/>
        <w:rPr>
          <w:rFonts w:ascii="Arial" w:hAnsi="Arial" w:cs="Arial"/>
          <w:sz w:val="22"/>
          <w:szCs w:val="22"/>
        </w:rPr>
      </w:pPr>
    </w:p>
    <w:p w14:paraId="14721C96" w14:textId="050134E8" w:rsidR="00CE7792" w:rsidRPr="002C7D53" w:rsidRDefault="00BC3C2F" w:rsidP="00CA76B9">
      <w:pPr>
        <w:spacing w:line="288" w:lineRule="auto"/>
        <w:jc w:val="both"/>
        <w:rPr>
          <w:rFonts w:ascii="Arial" w:hAnsi="Arial" w:cs="Arial"/>
          <w:b/>
          <w:sz w:val="22"/>
          <w:szCs w:val="22"/>
        </w:rPr>
      </w:pPr>
      <w:r w:rsidRPr="00202435">
        <w:rPr>
          <w:rFonts w:ascii="Arial" w:hAnsi="Arial" w:cs="Arial"/>
          <w:b/>
          <w:sz w:val="22"/>
          <w:szCs w:val="22"/>
        </w:rPr>
        <w:t xml:space="preserve">VARIACIÓN </w:t>
      </w:r>
      <w:r w:rsidR="007C10F0" w:rsidRPr="002C7D53">
        <w:rPr>
          <w:rFonts w:ascii="Arial" w:hAnsi="Arial" w:cs="Arial"/>
          <w:b/>
          <w:sz w:val="22"/>
          <w:szCs w:val="22"/>
        </w:rPr>
        <w:t>DE LAS PARTICIPACIONES PATRIMONIALES EFECTUADAS POR EL MHCP</w:t>
      </w:r>
    </w:p>
    <w:p w14:paraId="63858D12" w14:textId="3064BBD9" w:rsidR="00BC3C2F" w:rsidRPr="002C7D53" w:rsidRDefault="00BC3C2F" w:rsidP="00CA76B9">
      <w:pPr>
        <w:spacing w:line="288" w:lineRule="auto"/>
        <w:jc w:val="both"/>
        <w:rPr>
          <w:rFonts w:ascii="Arial" w:hAnsi="Arial" w:cs="Arial"/>
          <w:sz w:val="22"/>
          <w:szCs w:val="22"/>
        </w:rPr>
      </w:pPr>
    </w:p>
    <w:p w14:paraId="2387334C" w14:textId="5CD43E2C" w:rsidR="00BC3C2F" w:rsidRPr="002C7D53" w:rsidRDefault="00BC3C2F" w:rsidP="00CA76B9">
      <w:pPr>
        <w:spacing w:line="288" w:lineRule="auto"/>
        <w:jc w:val="both"/>
        <w:rPr>
          <w:rFonts w:ascii="Arial" w:hAnsi="Arial" w:cs="Arial"/>
          <w:sz w:val="22"/>
          <w:szCs w:val="22"/>
        </w:rPr>
      </w:pPr>
      <w:r w:rsidRPr="002C7D53">
        <w:rPr>
          <w:rFonts w:ascii="Arial" w:hAnsi="Arial" w:cs="Arial"/>
          <w:sz w:val="22"/>
          <w:szCs w:val="22"/>
        </w:rPr>
        <w:t>La variación de</w:t>
      </w:r>
      <w:r w:rsidR="00725B8A" w:rsidRPr="002C7D53">
        <w:rPr>
          <w:rFonts w:ascii="Arial" w:hAnsi="Arial" w:cs="Arial"/>
          <w:sz w:val="22"/>
          <w:szCs w:val="22"/>
        </w:rPr>
        <w:t xml:space="preserve"> las participaciones patrimoniales efectuadas por el MHCP se efectuará anualmente, con corte de 31 de diciembre, y comparará el saldo inicial</w:t>
      </w:r>
      <w:r w:rsidR="007B2DD4" w:rsidRPr="002C7D53">
        <w:rPr>
          <w:rFonts w:ascii="Arial" w:hAnsi="Arial" w:cs="Arial"/>
          <w:sz w:val="22"/>
          <w:szCs w:val="22"/>
        </w:rPr>
        <w:t xml:space="preserve"> (a 1</w:t>
      </w:r>
      <w:r w:rsidR="00966C66" w:rsidRPr="002C7D53">
        <w:rPr>
          <w:rFonts w:ascii="Arial" w:hAnsi="Arial" w:cs="Arial"/>
          <w:sz w:val="22"/>
          <w:szCs w:val="22"/>
        </w:rPr>
        <w:t xml:space="preserve"> </w:t>
      </w:r>
      <w:r w:rsidR="007B2DD4" w:rsidRPr="002C7D53">
        <w:rPr>
          <w:rFonts w:ascii="Arial" w:hAnsi="Arial" w:cs="Arial"/>
          <w:sz w:val="22"/>
          <w:szCs w:val="22"/>
        </w:rPr>
        <w:t>de enero)</w:t>
      </w:r>
      <w:r w:rsidR="00725B8A" w:rsidRPr="002C7D53">
        <w:rPr>
          <w:rFonts w:ascii="Arial" w:hAnsi="Arial" w:cs="Arial"/>
          <w:sz w:val="22"/>
          <w:szCs w:val="22"/>
        </w:rPr>
        <w:t xml:space="preserve"> de las inversiones efectuadas</w:t>
      </w:r>
      <w:r w:rsidR="005D6297" w:rsidRPr="002C7D53">
        <w:rPr>
          <w:rFonts w:ascii="Arial" w:hAnsi="Arial" w:cs="Arial"/>
          <w:sz w:val="22"/>
          <w:szCs w:val="22"/>
        </w:rPr>
        <w:t>,</w:t>
      </w:r>
      <w:r w:rsidR="00725B8A" w:rsidRPr="002C7D53">
        <w:rPr>
          <w:rFonts w:ascii="Arial" w:hAnsi="Arial" w:cs="Arial"/>
          <w:sz w:val="22"/>
          <w:szCs w:val="22"/>
        </w:rPr>
        <w:t xml:space="preserve"> </w:t>
      </w:r>
      <w:r w:rsidR="007B2DD4" w:rsidRPr="002C7D53">
        <w:rPr>
          <w:rFonts w:ascii="Arial" w:hAnsi="Arial" w:cs="Arial"/>
          <w:sz w:val="22"/>
          <w:szCs w:val="22"/>
        </w:rPr>
        <w:t>con su saldo</w:t>
      </w:r>
      <w:r w:rsidRPr="002C7D53">
        <w:rPr>
          <w:rFonts w:ascii="Arial" w:hAnsi="Arial" w:cs="Arial"/>
          <w:sz w:val="22"/>
          <w:szCs w:val="22"/>
        </w:rPr>
        <w:t xml:space="preserve"> </w:t>
      </w:r>
      <w:r w:rsidR="007B2DD4" w:rsidRPr="002C7D53">
        <w:rPr>
          <w:rFonts w:ascii="Arial" w:hAnsi="Arial" w:cs="Arial"/>
          <w:sz w:val="22"/>
          <w:szCs w:val="22"/>
        </w:rPr>
        <w:t>final a 31 de diciembre</w:t>
      </w:r>
      <w:r w:rsidR="005D6297" w:rsidRPr="002C7D53">
        <w:rPr>
          <w:rFonts w:ascii="Arial" w:hAnsi="Arial" w:cs="Arial"/>
          <w:sz w:val="22"/>
          <w:szCs w:val="22"/>
        </w:rPr>
        <w:t xml:space="preserve">, así: </w:t>
      </w:r>
    </w:p>
    <w:p w14:paraId="556E885D" w14:textId="1E2DC281" w:rsidR="00E676D8" w:rsidRDefault="00E676D8" w:rsidP="002C7D53">
      <w:pPr>
        <w:spacing w:line="288" w:lineRule="auto"/>
        <w:jc w:val="both"/>
        <w:rPr>
          <w:rFonts w:ascii="Arial" w:hAnsi="Arial" w:cs="Arial"/>
          <w:color w:val="000000"/>
          <w:sz w:val="22"/>
          <w:szCs w:val="22"/>
          <w:lang w:val="es-CO" w:eastAsia="es-CO"/>
        </w:rPr>
      </w:pPr>
    </w:p>
    <w:tbl>
      <w:tblPr>
        <w:tblW w:w="8881"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0" w:type="dxa"/>
          <w:right w:w="0" w:type="dxa"/>
        </w:tblCellMar>
        <w:tblLook w:val="04A0" w:firstRow="1" w:lastRow="0" w:firstColumn="1" w:lastColumn="0" w:noHBand="0" w:noVBand="1"/>
      </w:tblPr>
      <w:tblGrid>
        <w:gridCol w:w="6666"/>
        <w:gridCol w:w="2215"/>
      </w:tblGrid>
      <w:tr w:rsidR="00AB50CA" w:rsidRPr="00EC79A4" w14:paraId="6E337A86" w14:textId="77777777" w:rsidTr="002C7D53">
        <w:trPr>
          <w:trHeight w:val="225"/>
          <w:jc w:val="center"/>
        </w:trPr>
        <w:tc>
          <w:tcPr>
            <w:tcW w:w="8881" w:type="dxa"/>
            <w:gridSpan w:val="2"/>
            <w:shd w:val="clear" w:color="auto" w:fill="3366CC"/>
            <w:noWrap/>
            <w:tcMar>
              <w:top w:w="0" w:type="dxa"/>
              <w:left w:w="70" w:type="dxa"/>
              <w:bottom w:w="0" w:type="dxa"/>
              <w:right w:w="70" w:type="dxa"/>
            </w:tcMar>
            <w:vAlign w:val="bottom"/>
            <w:hideMark/>
          </w:tcPr>
          <w:p w14:paraId="06791551" w14:textId="6AE7081E" w:rsidR="00BC3C2F" w:rsidRPr="00EC79A4" w:rsidRDefault="00BC3C2F" w:rsidP="00966C66">
            <w:pPr>
              <w:jc w:val="center"/>
              <w:rPr>
                <w:rFonts w:ascii="Arial" w:hAnsi="Arial" w:cs="Arial"/>
                <w:b/>
                <w:bCs/>
                <w:color w:val="FFFFFF" w:themeColor="background1"/>
                <w:sz w:val="18"/>
                <w:szCs w:val="18"/>
                <w:lang w:val="es-CO" w:eastAsia="es-CO"/>
              </w:rPr>
            </w:pPr>
            <w:r w:rsidRPr="00EC79A4">
              <w:rPr>
                <w:rFonts w:ascii="Arial" w:hAnsi="Arial" w:cs="Arial"/>
                <w:b/>
                <w:bCs/>
                <w:color w:val="FFFFFF" w:themeColor="background1"/>
                <w:sz w:val="18"/>
                <w:szCs w:val="18"/>
                <w:lang w:eastAsia="es-CO"/>
              </w:rPr>
              <w:t xml:space="preserve">RESUMEN MOVIMIENTO </w:t>
            </w:r>
            <w:r w:rsidR="00966C66" w:rsidRPr="00EC79A4">
              <w:rPr>
                <w:rFonts w:ascii="Arial" w:hAnsi="Arial" w:cs="Arial"/>
                <w:b/>
                <w:bCs/>
                <w:color w:val="FFFFFF" w:themeColor="background1"/>
                <w:sz w:val="18"/>
                <w:szCs w:val="18"/>
                <w:lang w:eastAsia="es-CO"/>
              </w:rPr>
              <w:t>ANUAL</w:t>
            </w:r>
            <w:r w:rsidR="00371755">
              <w:rPr>
                <w:rFonts w:ascii="Arial" w:hAnsi="Arial" w:cs="Arial"/>
                <w:b/>
                <w:bCs/>
                <w:color w:val="FFFFFF" w:themeColor="background1"/>
                <w:sz w:val="18"/>
                <w:szCs w:val="18"/>
                <w:lang w:eastAsia="es-CO"/>
              </w:rPr>
              <w:t xml:space="preserve"> POR ENTIDAD</w:t>
            </w:r>
          </w:p>
        </w:tc>
      </w:tr>
      <w:tr w:rsidR="00AB50CA" w:rsidRPr="00EC79A4" w14:paraId="4DB1E214" w14:textId="77777777" w:rsidTr="002C7D53">
        <w:trPr>
          <w:trHeight w:val="225"/>
          <w:jc w:val="center"/>
        </w:trPr>
        <w:tc>
          <w:tcPr>
            <w:tcW w:w="6666" w:type="dxa"/>
            <w:shd w:val="clear" w:color="auto" w:fill="3366CC"/>
            <w:noWrap/>
            <w:tcMar>
              <w:top w:w="0" w:type="dxa"/>
              <w:left w:w="70" w:type="dxa"/>
              <w:bottom w:w="0" w:type="dxa"/>
              <w:right w:w="70" w:type="dxa"/>
            </w:tcMar>
            <w:vAlign w:val="center"/>
            <w:hideMark/>
          </w:tcPr>
          <w:p w14:paraId="47F04610" w14:textId="77777777" w:rsidR="00BC3C2F" w:rsidRPr="00EC79A4" w:rsidRDefault="00BC3C2F">
            <w:pPr>
              <w:jc w:val="center"/>
              <w:rPr>
                <w:rFonts w:ascii="Arial" w:hAnsi="Arial" w:cs="Arial"/>
                <w:b/>
                <w:color w:val="FFFFFF" w:themeColor="background1"/>
                <w:sz w:val="18"/>
                <w:szCs w:val="18"/>
                <w:lang w:eastAsia="es-CO"/>
              </w:rPr>
            </w:pPr>
            <w:r w:rsidRPr="00EC79A4">
              <w:rPr>
                <w:rFonts w:ascii="Arial" w:hAnsi="Arial" w:cs="Arial"/>
                <w:b/>
                <w:color w:val="FFFFFF" w:themeColor="background1"/>
                <w:sz w:val="18"/>
                <w:szCs w:val="18"/>
                <w:lang w:eastAsia="es-CO"/>
              </w:rPr>
              <w:t>Concepto</w:t>
            </w:r>
          </w:p>
        </w:tc>
        <w:tc>
          <w:tcPr>
            <w:tcW w:w="2215" w:type="dxa"/>
            <w:shd w:val="clear" w:color="auto" w:fill="3366CC"/>
            <w:noWrap/>
            <w:tcMar>
              <w:top w:w="0" w:type="dxa"/>
              <w:left w:w="70" w:type="dxa"/>
              <w:bottom w:w="0" w:type="dxa"/>
              <w:right w:w="70" w:type="dxa"/>
            </w:tcMar>
            <w:vAlign w:val="center"/>
            <w:hideMark/>
          </w:tcPr>
          <w:p w14:paraId="67BCB67E" w14:textId="77777777" w:rsidR="00BC3C2F" w:rsidRPr="00EC79A4" w:rsidRDefault="00BC3C2F">
            <w:pPr>
              <w:jc w:val="center"/>
              <w:rPr>
                <w:rFonts w:ascii="Arial" w:hAnsi="Arial" w:cs="Arial"/>
                <w:b/>
                <w:color w:val="FFFFFF" w:themeColor="background1"/>
                <w:sz w:val="18"/>
                <w:szCs w:val="18"/>
                <w:lang w:eastAsia="es-CO"/>
              </w:rPr>
            </w:pPr>
            <w:r w:rsidRPr="00EC79A4">
              <w:rPr>
                <w:rFonts w:ascii="Arial" w:hAnsi="Arial" w:cs="Arial"/>
                <w:b/>
                <w:color w:val="FFFFFF" w:themeColor="background1"/>
                <w:sz w:val="18"/>
                <w:szCs w:val="18"/>
                <w:lang w:eastAsia="es-CO"/>
              </w:rPr>
              <w:t xml:space="preserve">Valor $ </w:t>
            </w:r>
          </w:p>
        </w:tc>
      </w:tr>
      <w:tr w:rsidR="00AB50CA" w:rsidRPr="00EC79A4" w14:paraId="79BF8A93" w14:textId="77777777" w:rsidTr="002C7D53">
        <w:trPr>
          <w:trHeight w:val="225"/>
          <w:jc w:val="center"/>
        </w:trPr>
        <w:tc>
          <w:tcPr>
            <w:tcW w:w="6666" w:type="dxa"/>
            <w:shd w:val="clear" w:color="auto" w:fill="3366CC"/>
            <w:noWrap/>
            <w:tcMar>
              <w:top w:w="0" w:type="dxa"/>
              <w:left w:w="70" w:type="dxa"/>
              <w:bottom w:w="0" w:type="dxa"/>
              <w:right w:w="70" w:type="dxa"/>
            </w:tcMar>
            <w:vAlign w:val="center"/>
            <w:hideMark/>
          </w:tcPr>
          <w:p w14:paraId="3C3AFF18" w14:textId="2C537233" w:rsidR="00BC3C2F" w:rsidRPr="00EC79A4" w:rsidRDefault="00BC3C2F" w:rsidP="00966C66">
            <w:pPr>
              <w:rPr>
                <w:rFonts w:ascii="Arial" w:hAnsi="Arial" w:cs="Arial"/>
                <w:b/>
                <w:color w:val="FFFFFF" w:themeColor="background1"/>
                <w:sz w:val="18"/>
                <w:szCs w:val="18"/>
                <w:lang w:eastAsia="es-CO"/>
              </w:rPr>
            </w:pPr>
            <w:r w:rsidRPr="00EC79A4">
              <w:rPr>
                <w:rFonts w:ascii="Arial" w:hAnsi="Arial" w:cs="Arial"/>
                <w:b/>
                <w:color w:val="FFFFFF" w:themeColor="background1"/>
                <w:sz w:val="18"/>
                <w:szCs w:val="18"/>
                <w:lang w:eastAsia="es-CO"/>
              </w:rPr>
              <w:t xml:space="preserve">Saldo Inicial </w:t>
            </w:r>
            <w:r w:rsidR="00966C66" w:rsidRPr="00EC79A4">
              <w:rPr>
                <w:rFonts w:ascii="Arial" w:hAnsi="Arial" w:cs="Arial"/>
                <w:b/>
                <w:color w:val="FFFFFF" w:themeColor="background1"/>
                <w:sz w:val="18"/>
                <w:szCs w:val="18"/>
                <w:lang w:eastAsia="es-CO"/>
              </w:rPr>
              <w:t xml:space="preserve">de la inversión </w:t>
            </w:r>
            <w:r w:rsidRPr="00EC79A4">
              <w:rPr>
                <w:rFonts w:ascii="Arial" w:hAnsi="Arial" w:cs="Arial"/>
                <w:b/>
                <w:color w:val="FFFFFF" w:themeColor="background1"/>
                <w:sz w:val="18"/>
                <w:szCs w:val="18"/>
                <w:lang w:eastAsia="es-CO"/>
              </w:rPr>
              <w:t>(</w:t>
            </w:r>
            <w:r w:rsidR="00966C66" w:rsidRPr="00EC79A4">
              <w:rPr>
                <w:rFonts w:ascii="Arial" w:hAnsi="Arial" w:cs="Arial"/>
                <w:b/>
                <w:color w:val="FFFFFF" w:themeColor="background1"/>
                <w:sz w:val="18"/>
                <w:szCs w:val="18"/>
                <w:lang w:eastAsia="es-CO"/>
              </w:rPr>
              <w:t>1 de enero de 20XX</w:t>
            </w:r>
            <w:r w:rsidRPr="00EC79A4">
              <w:rPr>
                <w:rFonts w:ascii="Arial" w:hAnsi="Arial" w:cs="Arial"/>
                <w:b/>
                <w:color w:val="FFFFFF" w:themeColor="background1"/>
                <w:sz w:val="18"/>
                <w:szCs w:val="18"/>
                <w:lang w:eastAsia="es-CO"/>
              </w:rPr>
              <w:t>)</w:t>
            </w:r>
            <w:r w:rsidR="00966C66" w:rsidRPr="00EC79A4">
              <w:rPr>
                <w:rFonts w:ascii="Arial" w:hAnsi="Arial" w:cs="Arial"/>
                <w:b/>
                <w:color w:val="FFFFFF" w:themeColor="background1"/>
                <w:sz w:val="18"/>
                <w:szCs w:val="18"/>
                <w:lang w:eastAsia="es-CO"/>
              </w:rPr>
              <w:t xml:space="preserve"> </w:t>
            </w:r>
          </w:p>
        </w:tc>
        <w:tc>
          <w:tcPr>
            <w:tcW w:w="2215" w:type="dxa"/>
            <w:shd w:val="clear" w:color="auto" w:fill="3366CC"/>
            <w:noWrap/>
            <w:tcMar>
              <w:top w:w="0" w:type="dxa"/>
              <w:left w:w="70" w:type="dxa"/>
              <w:bottom w:w="0" w:type="dxa"/>
              <w:right w:w="70" w:type="dxa"/>
            </w:tcMar>
            <w:vAlign w:val="center"/>
          </w:tcPr>
          <w:p w14:paraId="3E590FCA" w14:textId="3804BA22" w:rsidR="00BC3C2F" w:rsidRPr="00EC79A4" w:rsidRDefault="00BC3C2F">
            <w:pPr>
              <w:jc w:val="right"/>
              <w:rPr>
                <w:rFonts w:ascii="Arial" w:hAnsi="Arial" w:cs="Arial"/>
                <w:color w:val="FFFFFF" w:themeColor="background1"/>
                <w:sz w:val="18"/>
                <w:szCs w:val="18"/>
                <w:lang w:eastAsia="es-CO"/>
              </w:rPr>
            </w:pPr>
          </w:p>
        </w:tc>
      </w:tr>
      <w:tr w:rsidR="00AB50CA" w:rsidRPr="00EC79A4" w14:paraId="41BAAA08" w14:textId="77777777" w:rsidTr="002C7D53">
        <w:trPr>
          <w:trHeight w:val="225"/>
          <w:jc w:val="center"/>
        </w:trPr>
        <w:tc>
          <w:tcPr>
            <w:tcW w:w="6666" w:type="dxa"/>
            <w:noWrap/>
            <w:tcMar>
              <w:top w:w="0" w:type="dxa"/>
              <w:left w:w="70" w:type="dxa"/>
              <w:bottom w:w="0" w:type="dxa"/>
              <w:right w:w="70" w:type="dxa"/>
            </w:tcMar>
            <w:vAlign w:val="center"/>
            <w:hideMark/>
          </w:tcPr>
          <w:p w14:paraId="44343392" w14:textId="5ADED32C" w:rsidR="00BC3C2F" w:rsidRPr="00EC79A4" w:rsidRDefault="00966C66" w:rsidP="00966C66">
            <w:pPr>
              <w:rPr>
                <w:rFonts w:ascii="Arial" w:hAnsi="Arial" w:cs="Arial"/>
                <w:sz w:val="18"/>
                <w:szCs w:val="18"/>
                <w:lang w:eastAsia="es-CO"/>
              </w:rPr>
            </w:pPr>
            <w:r w:rsidRPr="00EC79A4">
              <w:rPr>
                <w:rFonts w:ascii="Arial" w:hAnsi="Arial" w:cs="Arial"/>
                <w:sz w:val="18"/>
                <w:szCs w:val="18"/>
                <w:lang w:eastAsia="es-CO"/>
              </w:rPr>
              <w:t>M</w:t>
            </w:r>
            <w:r w:rsidR="00BC3C2F" w:rsidRPr="00EC79A4">
              <w:rPr>
                <w:rFonts w:ascii="Arial" w:hAnsi="Arial" w:cs="Arial"/>
                <w:sz w:val="18"/>
                <w:szCs w:val="18"/>
                <w:lang w:eastAsia="es-CO"/>
              </w:rPr>
              <w:t>enos dividendos decretados y reclasificados a C</w:t>
            </w:r>
            <w:r w:rsidRPr="006453A3">
              <w:rPr>
                <w:rFonts w:ascii="Arial" w:hAnsi="Arial" w:cs="Arial"/>
                <w:sz w:val="18"/>
                <w:szCs w:val="18"/>
                <w:lang w:eastAsia="es-CO"/>
              </w:rPr>
              <w:t xml:space="preserve">uentas x </w:t>
            </w:r>
            <w:r w:rsidR="00BC3C2F" w:rsidRPr="00EC79A4">
              <w:rPr>
                <w:rFonts w:ascii="Arial" w:hAnsi="Arial" w:cs="Arial"/>
                <w:sz w:val="18"/>
                <w:szCs w:val="18"/>
                <w:lang w:eastAsia="es-CO"/>
              </w:rPr>
              <w:t>C</w:t>
            </w:r>
            <w:r w:rsidRPr="006453A3">
              <w:rPr>
                <w:rFonts w:ascii="Arial" w:hAnsi="Arial" w:cs="Arial"/>
                <w:sz w:val="18"/>
                <w:szCs w:val="18"/>
                <w:lang w:eastAsia="es-CO"/>
              </w:rPr>
              <w:t>obrar</w:t>
            </w:r>
          </w:p>
        </w:tc>
        <w:tc>
          <w:tcPr>
            <w:tcW w:w="2215" w:type="dxa"/>
            <w:noWrap/>
            <w:tcMar>
              <w:top w:w="0" w:type="dxa"/>
              <w:left w:w="70" w:type="dxa"/>
              <w:bottom w:w="0" w:type="dxa"/>
              <w:right w:w="70" w:type="dxa"/>
            </w:tcMar>
            <w:vAlign w:val="center"/>
          </w:tcPr>
          <w:p w14:paraId="21AB3FC8" w14:textId="07D9BF5B" w:rsidR="00BC3C2F" w:rsidRPr="00EC79A4" w:rsidRDefault="00BC3C2F">
            <w:pPr>
              <w:jc w:val="right"/>
              <w:rPr>
                <w:rFonts w:ascii="Arial" w:hAnsi="Arial" w:cs="Arial"/>
                <w:sz w:val="18"/>
                <w:szCs w:val="18"/>
                <w:lang w:eastAsia="es-CO"/>
              </w:rPr>
            </w:pPr>
          </w:p>
        </w:tc>
      </w:tr>
      <w:tr w:rsidR="00AB50CA" w:rsidRPr="00EC79A4" w14:paraId="0FAF1010" w14:textId="77777777" w:rsidTr="002C7D53">
        <w:trPr>
          <w:trHeight w:val="225"/>
          <w:jc w:val="center"/>
        </w:trPr>
        <w:tc>
          <w:tcPr>
            <w:tcW w:w="6666" w:type="dxa"/>
            <w:noWrap/>
            <w:tcMar>
              <w:top w:w="0" w:type="dxa"/>
              <w:left w:w="70" w:type="dxa"/>
              <w:bottom w:w="0" w:type="dxa"/>
              <w:right w:w="70" w:type="dxa"/>
            </w:tcMar>
            <w:vAlign w:val="center"/>
            <w:hideMark/>
          </w:tcPr>
          <w:p w14:paraId="3119CE99" w14:textId="60EDD137" w:rsidR="00BC3C2F" w:rsidRPr="00EC79A4" w:rsidRDefault="00966C66">
            <w:pPr>
              <w:rPr>
                <w:rFonts w:ascii="Arial" w:hAnsi="Arial" w:cs="Arial"/>
                <w:sz w:val="18"/>
                <w:szCs w:val="18"/>
                <w:lang w:eastAsia="es-CO"/>
              </w:rPr>
            </w:pPr>
            <w:r w:rsidRPr="006453A3">
              <w:rPr>
                <w:rFonts w:ascii="Arial" w:hAnsi="Arial" w:cs="Arial"/>
                <w:sz w:val="18"/>
                <w:szCs w:val="18"/>
                <w:lang w:eastAsia="es-CO"/>
              </w:rPr>
              <w:t>Más:</w:t>
            </w:r>
            <w:r w:rsidR="00BC3C2F" w:rsidRPr="00EC79A4">
              <w:rPr>
                <w:rFonts w:ascii="Arial" w:hAnsi="Arial" w:cs="Arial"/>
                <w:sz w:val="18"/>
                <w:szCs w:val="18"/>
                <w:lang w:eastAsia="es-CO"/>
              </w:rPr>
              <w:t xml:space="preserve"> Participación en utilidades de la empresa</w:t>
            </w:r>
            <w:r w:rsidRPr="006453A3">
              <w:rPr>
                <w:rFonts w:ascii="Arial" w:hAnsi="Arial" w:cs="Arial"/>
                <w:sz w:val="18"/>
                <w:szCs w:val="18"/>
                <w:lang w:eastAsia="es-CO"/>
              </w:rPr>
              <w:t xml:space="preserve"> receptora de la inversión </w:t>
            </w:r>
          </w:p>
        </w:tc>
        <w:tc>
          <w:tcPr>
            <w:tcW w:w="2215" w:type="dxa"/>
            <w:noWrap/>
            <w:tcMar>
              <w:top w:w="0" w:type="dxa"/>
              <w:left w:w="70" w:type="dxa"/>
              <w:bottom w:w="0" w:type="dxa"/>
              <w:right w:w="70" w:type="dxa"/>
            </w:tcMar>
            <w:vAlign w:val="center"/>
          </w:tcPr>
          <w:p w14:paraId="46178751" w14:textId="478ECC1E" w:rsidR="00BC3C2F" w:rsidRPr="00EC79A4" w:rsidRDefault="00BC3C2F">
            <w:pPr>
              <w:jc w:val="right"/>
              <w:rPr>
                <w:rFonts w:ascii="Arial" w:hAnsi="Arial" w:cs="Arial"/>
                <w:sz w:val="18"/>
                <w:szCs w:val="18"/>
                <w:lang w:eastAsia="es-CO"/>
              </w:rPr>
            </w:pPr>
          </w:p>
        </w:tc>
      </w:tr>
      <w:tr w:rsidR="00AB50CA" w:rsidRPr="00EC79A4" w14:paraId="3A1A1A04" w14:textId="77777777" w:rsidTr="002C7D53">
        <w:trPr>
          <w:trHeight w:val="225"/>
          <w:jc w:val="center"/>
        </w:trPr>
        <w:tc>
          <w:tcPr>
            <w:tcW w:w="6666" w:type="dxa"/>
            <w:noWrap/>
            <w:tcMar>
              <w:top w:w="0" w:type="dxa"/>
              <w:left w:w="70" w:type="dxa"/>
              <w:bottom w:w="0" w:type="dxa"/>
              <w:right w:w="70" w:type="dxa"/>
            </w:tcMar>
            <w:vAlign w:val="center"/>
            <w:hideMark/>
          </w:tcPr>
          <w:p w14:paraId="4A07DCED" w14:textId="346AEF44" w:rsidR="00BC3C2F" w:rsidRPr="00EC79A4" w:rsidRDefault="00966C66" w:rsidP="00966C66">
            <w:pPr>
              <w:rPr>
                <w:rFonts w:ascii="Arial" w:hAnsi="Arial" w:cs="Arial"/>
                <w:sz w:val="18"/>
                <w:szCs w:val="18"/>
                <w:lang w:eastAsia="es-CO"/>
              </w:rPr>
            </w:pPr>
            <w:r w:rsidRPr="006453A3">
              <w:rPr>
                <w:rFonts w:ascii="Arial" w:hAnsi="Arial" w:cs="Arial"/>
                <w:sz w:val="18"/>
                <w:szCs w:val="18"/>
                <w:lang w:eastAsia="es-CO"/>
              </w:rPr>
              <w:t xml:space="preserve">Más: </w:t>
            </w:r>
            <w:r w:rsidR="00BC3C2F" w:rsidRPr="00EC79A4">
              <w:rPr>
                <w:rFonts w:ascii="Arial" w:hAnsi="Arial" w:cs="Arial"/>
                <w:sz w:val="18"/>
                <w:szCs w:val="18"/>
                <w:lang w:eastAsia="es-CO"/>
              </w:rPr>
              <w:t>Participación</w:t>
            </w:r>
            <w:r w:rsidRPr="006453A3">
              <w:rPr>
                <w:rFonts w:ascii="Arial" w:hAnsi="Arial" w:cs="Arial"/>
                <w:sz w:val="18"/>
                <w:szCs w:val="18"/>
                <w:lang w:eastAsia="es-CO"/>
              </w:rPr>
              <w:t xml:space="preserve"> variaciones positivas </w:t>
            </w:r>
            <w:r w:rsidR="00BC3C2F" w:rsidRPr="00EC79A4">
              <w:rPr>
                <w:rFonts w:ascii="Arial" w:hAnsi="Arial" w:cs="Arial"/>
                <w:sz w:val="18"/>
                <w:szCs w:val="18"/>
                <w:lang w:eastAsia="es-CO"/>
              </w:rPr>
              <w:t>en otras partidas patrimoniales</w:t>
            </w:r>
            <w:r w:rsidRPr="006453A3">
              <w:rPr>
                <w:rFonts w:ascii="Arial" w:hAnsi="Arial" w:cs="Arial"/>
                <w:sz w:val="18"/>
                <w:szCs w:val="18"/>
                <w:lang w:eastAsia="es-CO"/>
              </w:rPr>
              <w:t xml:space="preserve"> de la empresa receptora de la inversión </w:t>
            </w:r>
          </w:p>
        </w:tc>
        <w:tc>
          <w:tcPr>
            <w:tcW w:w="2215" w:type="dxa"/>
            <w:noWrap/>
            <w:tcMar>
              <w:top w:w="0" w:type="dxa"/>
              <w:left w:w="70" w:type="dxa"/>
              <w:bottom w:w="0" w:type="dxa"/>
              <w:right w:w="70" w:type="dxa"/>
            </w:tcMar>
            <w:vAlign w:val="center"/>
          </w:tcPr>
          <w:p w14:paraId="2AB342E5" w14:textId="524BF353" w:rsidR="00BC3C2F" w:rsidRPr="00EC79A4" w:rsidRDefault="00BC3C2F">
            <w:pPr>
              <w:jc w:val="right"/>
              <w:rPr>
                <w:rFonts w:ascii="Arial" w:hAnsi="Arial" w:cs="Arial"/>
                <w:color w:val="000000"/>
                <w:sz w:val="18"/>
                <w:szCs w:val="18"/>
                <w:lang w:eastAsia="es-CO"/>
              </w:rPr>
            </w:pPr>
          </w:p>
        </w:tc>
      </w:tr>
      <w:tr w:rsidR="007740DA" w:rsidRPr="00EC79A4" w14:paraId="1E86FC01" w14:textId="77777777" w:rsidTr="007740DA">
        <w:trPr>
          <w:trHeight w:val="225"/>
          <w:jc w:val="center"/>
        </w:trPr>
        <w:tc>
          <w:tcPr>
            <w:tcW w:w="6666" w:type="dxa"/>
            <w:noWrap/>
            <w:tcMar>
              <w:top w:w="0" w:type="dxa"/>
              <w:left w:w="70" w:type="dxa"/>
              <w:bottom w:w="0" w:type="dxa"/>
              <w:right w:w="70" w:type="dxa"/>
            </w:tcMar>
            <w:vAlign w:val="bottom"/>
          </w:tcPr>
          <w:p w14:paraId="323F950A" w14:textId="59CEAE7C" w:rsidR="00966C66" w:rsidRPr="006453A3" w:rsidRDefault="00966C66">
            <w:pPr>
              <w:rPr>
                <w:rFonts w:ascii="Arial" w:hAnsi="Arial" w:cs="Arial"/>
                <w:sz w:val="18"/>
                <w:szCs w:val="18"/>
                <w:lang w:eastAsia="es-CO"/>
              </w:rPr>
            </w:pPr>
            <w:r w:rsidRPr="006453A3">
              <w:rPr>
                <w:rFonts w:ascii="Arial" w:hAnsi="Arial" w:cs="Arial"/>
                <w:sz w:val="18"/>
                <w:szCs w:val="18"/>
                <w:lang w:eastAsia="es-CO"/>
              </w:rPr>
              <w:t xml:space="preserve">Menos: Participación en pérdidas de la empresa receptora de la inversión </w:t>
            </w:r>
          </w:p>
        </w:tc>
        <w:tc>
          <w:tcPr>
            <w:tcW w:w="2215" w:type="dxa"/>
            <w:noWrap/>
            <w:tcMar>
              <w:top w:w="0" w:type="dxa"/>
              <w:left w:w="70" w:type="dxa"/>
              <w:bottom w:w="0" w:type="dxa"/>
              <w:right w:w="70" w:type="dxa"/>
            </w:tcMar>
            <w:vAlign w:val="bottom"/>
          </w:tcPr>
          <w:p w14:paraId="4C456D82" w14:textId="77777777" w:rsidR="00966C66" w:rsidRPr="00EC79A4" w:rsidRDefault="00966C66">
            <w:pPr>
              <w:jc w:val="right"/>
              <w:rPr>
                <w:rFonts w:ascii="Arial" w:hAnsi="Arial" w:cs="Arial"/>
                <w:sz w:val="18"/>
                <w:szCs w:val="18"/>
                <w:lang w:eastAsia="es-CO"/>
              </w:rPr>
            </w:pPr>
          </w:p>
        </w:tc>
      </w:tr>
      <w:tr w:rsidR="007740DA" w:rsidRPr="00EC79A4" w14:paraId="5CDC30B4" w14:textId="77777777" w:rsidTr="002C7D53">
        <w:trPr>
          <w:trHeight w:val="225"/>
          <w:jc w:val="center"/>
        </w:trPr>
        <w:tc>
          <w:tcPr>
            <w:tcW w:w="6666" w:type="dxa"/>
            <w:tcBorders>
              <w:bottom w:val="single" w:sz="8" w:space="0" w:color="9CC2E5" w:themeColor="accent1" w:themeTint="99"/>
            </w:tcBorders>
            <w:noWrap/>
            <w:tcMar>
              <w:top w:w="0" w:type="dxa"/>
              <w:left w:w="70" w:type="dxa"/>
              <w:bottom w:w="0" w:type="dxa"/>
              <w:right w:w="70" w:type="dxa"/>
            </w:tcMar>
            <w:vAlign w:val="bottom"/>
          </w:tcPr>
          <w:p w14:paraId="66E44241" w14:textId="2F7296EF" w:rsidR="00966C66" w:rsidRPr="00EC79A4" w:rsidRDefault="00966C66">
            <w:pPr>
              <w:rPr>
                <w:rFonts w:ascii="Arial" w:hAnsi="Arial" w:cs="Arial"/>
                <w:sz w:val="18"/>
                <w:szCs w:val="18"/>
                <w:lang w:eastAsia="es-CO"/>
              </w:rPr>
            </w:pPr>
            <w:r w:rsidRPr="00EC79A4">
              <w:rPr>
                <w:rFonts w:ascii="Arial" w:hAnsi="Arial" w:cs="Arial"/>
                <w:sz w:val="18"/>
                <w:szCs w:val="18"/>
                <w:lang w:eastAsia="es-CO"/>
              </w:rPr>
              <w:t xml:space="preserve">Menos: Participación en variaciones negativas en otras partidas patrimoniales de la empresa receptora de la inversión </w:t>
            </w:r>
          </w:p>
        </w:tc>
        <w:tc>
          <w:tcPr>
            <w:tcW w:w="2215" w:type="dxa"/>
            <w:tcBorders>
              <w:bottom w:val="single" w:sz="8" w:space="0" w:color="9CC2E5" w:themeColor="accent1" w:themeTint="99"/>
            </w:tcBorders>
            <w:noWrap/>
            <w:tcMar>
              <w:top w:w="0" w:type="dxa"/>
              <w:left w:w="70" w:type="dxa"/>
              <w:bottom w:w="0" w:type="dxa"/>
              <w:right w:w="70" w:type="dxa"/>
            </w:tcMar>
            <w:vAlign w:val="bottom"/>
          </w:tcPr>
          <w:p w14:paraId="5DCEAD53" w14:textId="77777777" w:rsidR="00966C66" w:rsidRPr="00EC79A4" w:rsidRDefault="00966C66">
            <w:pPr>
              <w:jc w:val="right"/>
              <w:rPr>
                <w:rFonts w:ascii="Arial" w:hAnsi="Arial" w:cs="Arial"/>
                <w:sz w:val="18"/>
                <w:szCs w:val="18"/>
                <w:lang w:eastAsia="es-CO"/>
              </w:rPr>
            </w:pPr>
          </w:p>
        </w:tc>
      </w:tr>
      <w:tr w:rsidR="00AB50CA" w:rsidRPr="006453A3" w14:paraId="666426F3" w14:textId="77777777" w:rsidTr="002C7D53">
        <w:trPr>
          <w:trHeight w:val="225"/>
          <w:jc w:val="center"/>
        </w:trPr>
        <w:tc>
          <w:tcPr>
            <w:tcW w:w="6666" w:type="dxa"/>
            <w:shd w:val="clear" w:color="auto" w:fill="3366CC"/>
            <w:noWrap/>
            <w:tcMar>
              <w:top w:w="0" w:type="dxa"/>
              <w:left w:w="70" w:type="dxa"/>
              <w:bottom w:w="0" w:type="dxa"/>
              <w:right w:w="70" w:type="dxa"/>
            </w:tcMar>
            <w:vAlign w:val="bottom"/>
            <w:hideMark/>
          </w:tcPr>
          <w:p w14:paraId="1664E898" w14:textId="24C24F0F" w:rsidR="00BC3C2F" w:rsidRPr="006453A3" w:rsidRDefault="006453A3">
            <w:pPr>
              <w:rPr>
                <w:rFonts w:ascii="Arial" w:hAnsi="Arial" w:cs="Arial"/>
                <w:color w:val="FFFFFF" w:themeColor="background1"/>
                <w:sz w:val="18"/>
                <w:szCs w:val="18"/>
                <w:lang w:eastAsia="es-CO"/>
              </w:rPr>
            </w:pPr>
            <w:r w:rsidRPr="006453A3">
              <w:rPr>
                <w:rFonts w:ascii="Arial" w:hAnsi="Arial" w:cs="Arial"/>
                <w:color w:val="FFFFFF" w:themeColor="background1"/>
                <w:sz w:val="18"/>
                <w:szCs w:val="18"/>
                <w:lang w:eastAsia="es-CO"/>
              </w:rPr>
              <w:t xml:space="preserve">Saldo </w:t>
            </w:r>
            <w:r w:rsidR="00966C66" w:rsidRPr="006453A3">
              <w:rPr>
                <w:rFonts w:ascii="Arial" w:hAnsi="Arial" w:cs="Arial"/>
                <w:color w:val="FFFFFF" w:themeColor="background1"/>
                <w:sz w:val="18"/>
                <w:szCs w:val="18"/>
                <w:lang w:eastAsia="es-CO"/>
              </w:rPr>
              <w:t>final de la Inversión  a diciembre 31 de 20XX</w:t>
            </w:r>
          </w:p>
        </w:tc>
        <w:tc>
          <w:tcPr>
            <w:tcW w:w="2215" w:type="dxa"/>
            <w:shd w:val="clear" w:color="auto" w:fill="3366CC"/>
            <w:noWrap/>
            <w:tcMar>
              <w:top w:w="0" w:type="dxa"/>
              <w:left w:w="70" w:type="dxa"/>
              <w:bottom w:w="0" w:type="dxa"/>
              <w:right w:w="70" w:type="dxa"/>
            </w:tcMar>
            <w:vAlign w:val="bottom"/>
          </w:tcPr>
          <w:p w14:paraId="383BBA3A" w14:textId="46C29590" w:rsidR="00BC3C2F" w:rsidRPr="006453A3" w:rsidRDefault="00BC3C2F">
            <w:pPr>
              <w:jc w:val="right"/>
              <w:rPr>
                <w:rFonts w:ascii="Arial" w:hAnsi="Arial" w:cs="Arial"/>
                <w:color w:val="FFFFFF" w:themeColor="background1"/>
                <w:sz w:val="18"/>
                <w:szCs w:val="18"/>
                <w:lang w:eastAsia="es-CO"/>
              </w:rPr>
            </w:pPr>
          </w:p>
        </w:tc>
      </w:tr>
      <w:tr w:rsidR="00AB50CA" w:rsidRPr="006453A3" w14:paraId="06B4CF53" w14:textId="77777777" w:rsidTr="002C7D53">
        <w:trPr>
          <w:trHeight w:val="225"/>
          <w:jc w:val="center"/>
        </w:trPr>
        <w:tc>
          <w:tcPr>
            <w:tcW w:w="6666" w:type="dxa"/>
            <w:shd w:val="clear" w:color="auto" w:fill="3366CC"/>
            <w:noWrap/>
            <w:tcMar>
              <w:top w:w="0" w:type="dxa"/>
              <w:left w:w="70" w:type="dxa"/>
              <w:bottom w:w="0" w:type="dxa"/>
              <w:right w:w="70" w:type="dxa"/>
            </w:tcMar>
            <w:vAlign w:val="bottom"/>
            <w:hideMark/>
          </w:tcPr>
          <w:p w14:paraId="2B3716FD" w14:textId="6EBB303E" w:rsidR="00BC3C2F" w:rsidRPr="006453A3" w:rsidRDefault="00BC3C2F">
            <w:pPr>
              <w:rPr>
                <w:rFonts w:ascii="Arial" w:hAnsi="Arial" w:cs="Arial"/>
                <w:color w:val="FFFFFF" w:themeColor="background1"/>
                <w:sz w:val="18"/>
                <w:szCs w:val="18"/>
                <w:lang w:eastAsia="es-CO"/>
              </w:rPr>
            </w:pPr>
            <w:r w:rsidRPr="006453A3">
              <w:rPr>
                <w:rFonts w:ascii="Arial" w:hAnsi="Arial" w:cs="Arial"/>
                <w:color w:val="FFFFFF" w:themeColor="background1"/>
                <w:sz w:val="18"/>
                <w:szCs w:val="18"/>
                <w:lang w:eastAsia="es-CO"/>
              </w:rPr>
              <w:t>Variación</w:t>
            </w:r>
            <w:r w:rsidR="00966C66" w:rsidRPr="006453A3">
              <w:rPr>
                <w:rFonts w:ascii="Arial" w:hAnsi="Arial" w:cs="Arial"/>
                <w:color w:val="FFFFFF" w:themeColor="background1"/>
                <w:sz w:val="18"/>
                <w:szCs w:val="18"/>
                <w:lang w:eastAsia="es-CO"/>
              </w:rPr>
              <w:t xml:space="preserve"> absoluta</w:t>
            </w:r>
            <w:r w:rsidR="006453A3" w:rsidRPr="006453A3">
              <w:rPr>
                <w:rFonts w:ascii="Arial" w:hAnsi="Arial" w:cs="Arial"/>
                <w:color w:val="FFFFFF" w:themeColor="background1"/>
                <w:sz w:val="18"/>
                <w:szCs w:val="18"/>
                <w:lang w:eastAsia="es-CO"/>
              </w:rPr>
              <w:t xml:space="preserve"> (</w:t>
            </w:r>
            <w:r w:rsidR="006453A3">
              <w:rPr>
                <w:rFonts w:ascii="Arial" w:hAnsi="Arial" w:cs="Arial"/>
                <w:color w:val="FFFFFF" w:themeColor="background1"/>
                <w:sz w:val="18"/>
                <w:szCs w:val="18"/>
                <w:lang w:eastAsia="es-CO"/>
              </w:rPr>
              <w:t>Saldo final –saldo inicial)</w:t>
            </w:r>
          </w:p>
        </w:tc>
        <w:tc>
          <w:tcPr>
            <w:tcW w:w="2215" w:type="dxa"/>
            <w:shd w:val="clear" w:color="auto" w:fill="3366CC"/>
            <w:noWrap/>
            <w:tcMar>
              <w:top w:w="0" w:type="dxa"/>
              <w:left w:w="70" w:type="dxa"/>
              <w:bottom w:w="0" w:type="dxa"/>
              <w:right w:w="70" w:type="dxa"/>
            </w:tcMar>
            <w:vAlign w:val="bottom"/>
          </w:tcPr>
          <w:p w14:paraId="7B79B229" w14:textId="56069477" w:rsidR="00BC3C2F" w:rsidRPr="006453A3" w:rsidRDefault="00BC3C2F">
            <w:pPr>
              <w:jc w:val="right"/>
              <w:rPr>
                <w:rFonts w:ascii="Arial" w:hAnsi="Arial" w:cs="Arial"/>
                <w:color w:val="FFFFFF" w:themeColor="background1"/>
                <w:sz w:val="18"/>
                <w:szCs w:val="18"/>
                <w:lang w:eastAsia="es-CO"/>
              </w:rPr>
            </w:pPr>
          </w:p>
        </w:tc>
      </w:tr>
      <w:tr w:rsidR="00AB50CA" w:rsidRPr="006453A3" w14:paraId="66173872" w14:textId="77777777" w:rsidTr="002C7D53">
        <w:trPr>
          <w:trHeight w:val="225"/>
          <w:jc w:val="center"/>
        </w:trPr>
        <w:tc>
          <w:tcPr>
            <w:tcW w:w="6666" w:type="dxa"/>
            <w:shd w:val="clear" w:color="auto" w:fill="3366CC"/>
            <w:noWrap/>
            <w:tcMar>
              <w:top w:w="0" w:type="dxa"/>
              <w:left w:w="70" w:type="dxa"/>
              <w:bottom w:w="0" w:type="dxa"/>
              <w:right w:w="70" w:type="dxa"/>
            </w:tcMar>
            <w:vAlign w:val="bottom"/>
          </w:tcPr>
          <w:p w14:paraId="6438E5F5" w14:textId="277EF414" w:rsidR="00966C66" w:rsidRPr="006453A3" w:rsidRDefault="00966C66" w:rsidP="006453A3">
            <w:pPr>
              <w:rPr>
                <w:rFonts w:ascii="Arial" w:hAnsi="Arial" w:cs="Arial"/>
                <w:color w:val="FFFFFF" w:themeColor="background1"/>
                <w:sz w:val="18"/>
                <w:szCs w:val="18"/>
                <w:lang w:eastAsia="es-CO"/>
              </w:rPr>
            </w:pPr>
            <w:r w:rsidRPr="006453A3">
              <w:rPr>
                <w:rFonts w:ascii="Arial" w:hAnsi="Arial" w:cs="Arial"/>
                <w:color w:val="FFFFFF" w:themeColor="background1"/>
                <w:sz w:val="18"/>
                <w:szCs w:val="18"/>
                <w:lang w:eastAsia="es-CO"/>
              </w:rPr>
              <w:t>Variación relativa</w:t>
            </w:r>
            <w:r w:rsidR="006453A3">
              <w:rPr>
                <w:rFonts w:ascii="Arial" w:hAnsi="Arial" w:cs="Arial"/>
                <w:color w:val="FFFFFF" w:themeColor="background1"/>
                <w:sz w:val="18"/>
                <w:szCs w:val="18"/>
                <w:lang w:eastAsia="es-CO"/>
              </w:rPr>
              <w:t xml:space="preserve"> ((Saldo final – saldo inicial)/Saldo inicial)</w:t>
            </w:r>
          </w:p>
        </w:tc>
        <w:tc>
          <w:tcPr>
            <w:tcW w:w="2215" w:type="dxa"/>
            <w:shd w:val="clear" w:color="auto" w:fill="3366CC"/>
            <w:noWrap/>
            <w:tcMar>
              <w:top w:w="0" w:type="dxa"/>
              <w:left w:w="70" w:type="dxa"/>
              <w:bottom w:w="0" w:type="dxa"/>
              <w:right w:w="70" w:type="dxa"/>
            </w:tcMar>
            <w:vAlign w:val="bottom"/>
          </w:tcPr>
          <w:p w14:paraId="75DACDD4" w14:textId="669ADE43" w:rsidR="00966C66" w:rsidRPr="006453A3" w:rsidRDefault="00FB2119">
            <w:pPr>
              <w:jc w:val="right"/>
              <w:rPr>
                <w:rFonts w:ascii="Arial" w:hAnsi="Arial" w:cs="Arial"/>
                <w:color w:val="FFFFFF" w:themeColor="background1"/>
                <w:sz w:val="18"/>
                <w:szCs w:val="18"/>
                <w:lang w:eastAsia="es-CO"/>
              </w:rPr>
            </w:pPr>
            <w:r w:rsidRPr="006453A3">
              <w:rPr>
                <w:rFonts w:ascii="Arial" w:hAnsi="Arial" w:cs="Arial"/>
                <w:color w:val="FFFFFF" w:themeColor="background1"/>
                <w:sz w:val="18"/>
                <w:szCs w:val="18"/>
                <w:lang w:eastAsia="es-CO"/>
              </w:rPr>
              <w:t>%</w:t>
            </w:r>
          </w:p>
        </w:tc>
      </w:tr>
    </w:tbl>
    <w:p w14:paraId="4D9CDA80" w14:textId="2B079EEC" w:rsidR="00D16191" w:rsidRDefault="00D16191" w:rsidP="00AD11B7">
      <w:pPr>
        <w:spacing w:line="288" w:lineRule="auto"/>
        <w:jc w:val="both"/>
        <w:rPr>
          <w:rFonts w:ascii="Arial" w:hAnsi="Arial" w:cs="Arial"/>
          <w:bCs/>
          <w:sz w:val="22"/>
          <w:szCs w:val="22"/>
          <w:lang w:val="es-MX"/>
        </w:rPr>
      </w:pPr>
    </w:p>
    <w:p w14:paraId="5E687E2D" w14:textId="7D2584DD" w:rsidR="007740DA" w:rsidRDefault="007740DA" w:rsidP="00CA76B9">
      <w:pPr>
        <w:spacing w:line="288" w:lineRule="auto"/>
        <w:jc w:val="both"/>
        <w:rPr>
          <w:rFonts w:ascii="Arial" w:hAnsi="Arial" w:cs="Arial"/>
          <w:bCs/>
          <w:sz w:val="22"/>
          <w:szCs w:val="22"/>
          <w:lang w:val="es-MX"/>
        </w:rPr>
      </w:pPr>
      <w:r>
        <w:rPr>
          <w:rFonts w:ascii="Arial" w:hAnsi="Arial" w:cs="Arial"/>
          <w:bCs/>
          <w:sz w:val="22"/>
          <w:szCs w:val="22"/>
          <w:lang w:val="es-MX"/>
        </w:rPr>
        <w:t xml:space="preserve">El propósito de este indicador es </w:t>
      </w:r>
      <w:r w:rsidR="00AA2ADD">
        <w:rPr>
          <w:rFonts w:ascii="Arial" w:hAnsi="Arial" w:cs="Arial"/>
          <w:bCs/>
          <w:sz w:val="22"/>
          <w:szCs w:val="22"/>
          <w:lang w:val="es-MX"/>
        </w:rPr>
        <w:t xml:space="preserve">reflejar el incremento o disminución de las inversiones patrimoniales efectuadas por el Ministerio de Hacienda y Crédito </w:t>
      </w:r>
      <w:r w:rsidR="00D55A2A">
        <w:rPr>
          <w:rFonts w:ascii="Arial" w:hAnsi="Arial" w:cs="Arial"/>
          <w:bCs/>
          <w:sz w:val="22"/>
          <w:szCs w:val="22"/>
          <w:lang w:val="es-MX"/>
        </w:rPr>
        <w:t>Público, y</w:t>
      </w:r>
      <w:r w:rsidR="00AA2ADD">
        <w:rPr>
          <w:rFonts w:ascii="Arial" w:hAnsi="Arial" w:cs="Arial"/>
          <w:bCs/>
          <w:sz w:val="22"/>
          <w:szCs w:val="22"/>
          <w:lang w:val="es-MX"/>
        </w:rPr>
        <w:t xml:space="preserve"> establecer el origen de dichas variaciones. </w:t>
      </w:r>
    </w:p>
    <w:p w14:paraId="2366FD6F" w14:textId="337FBE75" w:rsidR="00421E57" w:rsidRDefault="00421E57" w:rsidP="00CA76B9">
      <w:pPr>
        <w:spacing w:line="288" w:lineRule="auto"/>
        <w:jc w:val="both"/>
        <w:rPr>
          <w:rFonts w:ascii="Arial" w:hAnsi="Arial" w:cs="Arial"/>
          <w:bCs/>
          <w:sz w:val="22"/>
          <w:szCs w:val="22"/>
          <w:lang w:val="es-MX"/>
        </w:rPr>
      </w:pPr>
    </w:p>
    <w:p w14:paraId="46BA6E1D" w14:textId="46D2ADA0" w:rsidR="00421E57" w:rsidRPr="00371755" w:rsidRDefault="00421E57" w:rsidP="00CA76B9">
      <w:pPr>
        <w:spacing w:line="288" w:lineRule="auto"/>
        <w:jc w:val="both"/>
        <w:rPr>
          <w:rFonts w:ascii="Arial" w:hAnsi="Arial" w:cs="Arial"/>
          <w:bCs/>
          <w:sz w:val="22"/>
          <w:szCs w:val="22"/>
          <w:lang w:val="es-MX"/>
        </w:rPr>
      </w:pPr>
      <w:r>
        <w:rPr>
          <w:rFonts w:ascii="Arial" w:hAnsi="Arial" w:cs="Arial"/>
          <w:bCs/>
          <w:sz w:val="22"/>
          <w:szCs w:val="22"/>
          <w:lang w:val="es-MX"/>
        </w:rPr>
        <w:t>Para el análisis consolidado del indicador se ha</w:t>
      </w:r>
      <w:r w:rsidR="00182956">
        <w:rPr>
          <w:rFonts w:ascii="Arial" w:hAnsi="Arial" w:cs="Arial"/>
          <w:bCs/>
          <w:sz w:val="22"/>
          <w:szCs w:val="22"/>
          <w:lang w:val="es-MX"/>
        </w:rPr>
        <w:t>n</w:t>
      </w:r>
      <w:r>
        <w:rPr>
          <w:rFonts w:ascii="Arial" w:hAnsi="Arial" w:cs="Arial"/>
          <w:bCs/>
          <w:sz w:val="22"/>
          <w:szCs w:val="22"/>
          <w:lang w:val="es-MX"/>
        </w:rPr>
        <w:t xml:space="preserve"> diseñado </w:t>
      </w:r>
      <w:r w:rsidR="00182956">
        <w:rPr>
          <w:rFonts w:ascii="Arial" w:hAnsi="Arial" w:cs="Arial"/>
          <w:bCs/>
          <w:sz w:val="22"/>
          <w:szCs w:val="22"/>
          <w:lang w:val="es-MX"/>
        </w:rPr>
        <w:t>los</w:t>
      </w:r>
      <w:r>
        <w:rPr>
          <w:rFonts w:ascii="Arial" w:hAnsi="Arial" w:cs="Arial"/>
          <w:bCs/>
          <w:sz w:val="22"/>
          <w:szCs w:val="22"/>
          <w:lang w:val="es-MX"/>
        </w:rPr>
        <w:t xml:space="preserve"> formato</w:t>
      </w:r>
      <w:r w:rsidR="00182956">
        <w:rPr>
          <w:rFonts w:ascii="Arial" w:hAnsi="Arial" w:cs="Arial"/>
          <w:bCs/>
          <w:sz w:val="22"/>
          <w:szCs w:val="22"/>
          <w:lang w:val="es-MX"/>
        </w:rPr>
        <w:t>s</w:t>
      </w:r>
      <w:r>
        <w:rPr>
          <w:rFonts w:ascii="Arial" w:hAnsi="Arial" w:cs="Arial"/>
          <w:bCs/>
          <w:sz w:val="22"/>
          <w:szCs w:val="22"/>
          <w:lang w:val="es-MX"/>
        </w:rPr>
        <w:t xml:space="preserve"> denominado</w:t>
      </w:r>
      <w:r w:rsidR="00182956">
        <w:rPr>
          <w:rFonts w:ascii="Arial" w:hAnsi="Arial" w:cs="Arial"/>
          <w:bCs/>
          <w:sz w:val="22"/>
          <w:szCs w:val="22"/>
          <w:lang w:val="es-MX"/>
        </w:rPr>
        <w:t>s</w:t>
      </w:r>
      <w:r>
        <w:rPr>
          <w:rFonts w:ascii="Arial" w:hAnsi="Arial" w:cs="Arial"/>
          <w:bCs/>
          <w:sz w:val="22"/>
          <w:szCs w:val="22"/>
          <w:lang w:val="es-MX"/>
        </w:rPr>
        <w:t xml:space="preserve"> </w:t>
      </w:r>
      <w:r w:rsidRPr="00C4403C">
        <w:rPr>
          <w:rFonts w:ascii="Arial" w:hAnsi="Arial" w:cs="Arial"/>
          <w:bCs/>
          <w:i/>
          <w:sz w:val="22"/>
          <w:szCs w:val="22"/>
          <w:lang w:val="es-MX"/>
        </w:rPr>
        <w:t>“</w:t>
      </w:r>
      <w:r w:rsidR="00182956">
        <w:rPr>
          <w:rFonts w:ascii="Arial" w:hAnsi="Arial" w:cs="Arial"/>
          <w:i/>
          <w:sz w:val="22"/>
          <w:szCs w:val="22"/>
        </w:rPr>
        <w:t xml:space="preserve">Apo.3.Man.3.Fr.30 </w:t>
      </w:r>
      <w:r w:rsidRPr="00C4403C">
        <w:rPr>
          <w:rFonts w:ascii="Arial" w:hAnsi="Arial" w:cs="Arial"/>
          <w:bCs/>
          <w:i/>
          <w:sz w:val="22"/>
          <w:szCs w:val="22"/>
          <w:lang w:val="es-MX"/>
        </w:rPr>
        <w:t>Variación de las participaciones patrimoniales efectuadas por el MHCP</w:t>
      </w:r>
      <w:r w:rsidR="00BD39C7">
        <w:rPr>
          <w:rFonts w:ascii="Arial" w:hAnsi="Arial" w:cs="Arial"/>
          <w:bCs/>
          <w:i/>
          <w:sz w:val="22"/>
          <w:szCs w:val="22"/>
          <w:lang w:val="es-MX"/>
        </w:rPr>
        <w:t xml:space="preserve"> en empresas controladas</w:t>
      </w:r>
      <w:r w:rsidRPr="00C4403C">
        <w:rPr>
          <w:rFonts w:ascii="Arial" w:hAnsi="Arial" w:cs="Arial"/>
          <w:bCs/>
          <w:i/>
          <w:sz w:val="22"/>
          <w:szCs w:val="22"/>
          <w:lang w:val="es-MX"/>
        </w:rPr>
        <w:t>”</w:t>
      </w:r>
      <w:r w:rsidR="00BD39C7">
        <w:rPr>
          <w:rFonts w:ascii="Arial" w:hAnsi="Arial" w:cs="Arial"/>
          <w:bCs/>
          <w:i/>
          <w:sz w:val="22"/>
          <w:szCs w:val="22"/>
          <w:lang w:val="es-MX"/>
        </w:rPr>
        <w:t xml:space="preserve"> </w:t>
      </w:r>
      <w:r w:rsidR="00BD39C7">
        <w:rPr>
          <w:rFonts w:ascii="Arial" w:hAnsi="Arial" w:cs="Arial"/>
          <w:bCs/>
          <w:sz w:val="22"/>
          <w:szCs w:val="22"/>
          <w:lang w:val="es-MX"/>
        </w:rPr>
        <w:t xml:space="preserve">y </w:t>
      </w:r>
      <w:r w:rsidR="00BD39C7" w:rsidRPr="007D5EA5">
        <w:rPr>
          <w:rFonts w:ascii="Arial" w:hAnsi="Arial" w:cs="Arial"/>
          <w:bCs/>
          <w:i/>
          <w:sz w:val="22"/>
          <w:szCs w:val="22"/>
          <w:lang w:val="es-MX"/>
        </w:rPr>
        <w:t>“</w:t>
      </w:r>
      <w:r w:rsidR="00182956">
        <w:rPr>
          <w:rFonts w:ascii="Arial" w:hAnsi="Arial" w:cs="Arial"/>
          <w:i/>
          <w:sz w:val="22"/>
          <w:szCs w:val="22"/>
        </w:rPr>
        <w:t xml:space="preserve">Apo.3.Man.3.Fr.31 </w:t>
      </w:r>
      <w:r w:rsidR="00BD39C7" w:rsidRPr="007D5EA5">
        <w:rPr>
          <w:rFonts w:ascii="Arial" w:hAnsi="Arial" w:cs="Arial"/>
          <w:bCs/>
          <w:i/>
          <w:sz w:val="22"/>
          <w:szCs w:val="22"/>
          <w:lang w:val="es-MX"/>
        </w:rPr>
        <w:t>Variación de las participaciones patrimoniales efectuadas por el MHCP</w:t>
      </w:r>
      <w:r w:rsidR="00BD39C7">
        <w:rPr>
          <w:rFonts w:ascii="Arial" w:hAnsi="Arial" w:cs="Arial"/>
          <w:bCs/>
          <w:i/>
          <w:sz w:val="22"/>
          <w:szCs w:val="22"/>
          <w:lang w:val="es-MX"/>
        </w:rPr>
        <w:t xml:space="preserve"> en empresas asociadas</w:t>
      </w:r>
      <w:r w:rsidR="00BD39C7" w:rsidRPr="007D5EA5">
        <w:rPr>
          <w:rFonts w:ascii="Arial" w:hAnsi="Arial" w:cs="Arial"/>
          <w:bCs/>
          <w:i/>
          <w:sz w:val="22"/>
          <w:szCs w:val="22"/>
          <w:lang w:val="es-MX"/>
        </w:rPr>
        <w:t>”</w:t>
      </w:r>
      <w:r w:rsidR="00371755">
        <w:rPr>
          <w:rFonts w:ascii="Arial" w:hAnsi="Arial" w:cs="Arial"/>
          <w:bCs/>
          <w:i/>
          <w:sz w:val="22"/>
          <w:szCs w:val="22"/>
          <w:lang w:val="es-MX"/>
        </w:rPr>
        <w:t xml:space="preserve">, </w:t>
      </w:r>
      <w:r w:rsidR="00371755">
        <w:rPr>
          <w:rFonts w:ascii="Arial" w:hAnsi="Arial" w:cs="Arial"/>
          <w:bCs/>
          <w:sz w:val="22"/>
          <w:szCs w:val="22"/>
          <w:lang w:val="es-MX"/>
        </w:rPr>
        <w:t xml:space="preserve">mediante los cuales se </w:t>
      </w:r>
      <w:r w:rsidR="00371755" w:rsidRPr="00371755">
        <w:rPr>
          <w:rFonts w:ascii="Arial" w:hAnsi="Arial" w:cs="Arial"/>
          <w:bCs/>
          <w:sz w:val="22"/>
          <w:szCs w:val="22"/>
          <w:lang w:val="es-MX"/>
        </w:rPr>
        <w:t xml:space="preserve">determina </w:t>
      </w:r>
      <w:r w:rsidR="00371755">
        <w:rPr>
          <w:rFonts w:ascii="Arial" w:hAnsi="Arial" w:cs="Arial"/>
          <w:bCs/>
          <w:sz w:val="22"/>
          <w:szCs w:val="22"/>
          <w:lang w:val="es-MX"/>
        </w:rPr>
        <w:t xml:space="preserve">la </w:t>
      </w:r>
      <w:r w:rsidR="00371755" w:rsidRPr="00371755">
        <w:rPr>
          <w:rFonts w:ascii="Arial" w:hAnsi="Arial" w:cs="Arial"/>
          <w:bCs/>
          <w:sz w:val="22"/>
          <w:szCs w:val="22"/>
          <w:lang w:val="es-MX"/>
        </w:rPr>
        <w:t>variación</w:t>
      </w:r>
      <w:r w:rsidR="00371755">
        <w:rPr>
          <w:rFonts w:ascii="Arial" w:hAnsi="Arial" w:cs="Arial"/>
          <w:bCs/>
          <w:sz w:val="22"/>
          <w:szCs w:val="22"/>
          <w:lang w:val="es-MX"/>
        </w:rPr>
        <w:t xml:space="preserve"> de la totalidad de </w:t>
      </w:r>
      <w:r w:rsidR="00371755" w:rsidRPr="00371755">
        <w:rPr>
          <w:rFonts w:ascii="Arial" w:hAnsi="Arial" w:cs="Arial"/>
          <w:bCs/>
          <w:sz w:val="22"/>
          <w:szCs w:val="22"/>
          <w:lang w:val="es-MX"/>
        </w:rPr>
        <w:t>las participaciones patri</w:t>
      </w:r>
      <w:r w:rsidR="00371755">
        <w:rPr>
          <w:rFonts w:ascii="Arial" w:hAnsi="Arial" w:cs="Arial"/>
          <w:bCs/>
          <w:sz w:val="22"/>
          <w:szCs w:val="22"/>
          <w:lang w:val="es-MX"/>
        </w:rPr>
        <w:t>moniales efectuadas por el MHCP</w:t>
      </w:r>
      <w:r w:rsidR="004638F4">
        <w:rPr>
          <w:rFonts w:ascii="Arial" w:hAnsi="Arial" w:cs="Arial"/>
          <w:bCs/>
          <w:sz w:val="22"/>
          <w:szCs w:val="22"/>
          <w:lang w:val="es-MX"/>
        </w:rPr>
        <w:t xml:space="preserve">. </w:t>
      </w:r>
    </w:p>
    <w:p w14:paraId="64EC3C02" w14:textId="77777777" w:rsidR="00246A95" w:rsidRDefault="00246A95" w:rsidP="00CA76B9">
      <w:pPr>
        <w:spacing w:line="288" w:lineRule="auto"/>
        <w:jc w:val="both"/>
        <w:rPr>
          <w:rFonts w:ascii="Arial" w:hAnsi="Arial" w:cs="Arial"/>
          <w:bCs/>
          <w:i/>
          <w:sz w:val="22"/>
          <w:szCs w:val="22"/>
          <w:lang w:val="es-MX"/>
        </w:rPr>
      </w:pPr>
    </w:p>
    <w:p w14:paraId="3CDDBD85" w14:textId="77777777" w:rsidR="0046335B" w:rsidRPr="00640BB3" w:rsidRDefault="006B2FAA" w:rsidP="00CA76B9">
      <w:pPr>
        <w:pStyle w:val="Ttulo1"/>
        <w:numPr>
          <w:ilvl w:val="0"/>
          <w:numId w:val="1"/>
        </w:numPr>
        <w:spacing w:line="288" w:lineRule="auto"/>
        <w:jc w:val="both"/>
        <w:rPr>
          <w:rFonts w:ascii="Arial" w:hAnsi="Arial" w:cs="Arial"/>
          <w:bCs/>
          <w:sz w:val="22"/>
          <w:szCs w:val="22"/>
          <w:lang w:eastAsia="es-CO"/>
        </w:rPr>
      </w:pPr>
      <w:bookmarkStart w:id="218" w:name="_Toc24099557"/>
      <w:bookmarkStart w:id="219" w:name="_Toc24528470"/>
      <w:bookmarkStart w:id="220" w:name="_Toc25855033"/>
      <w:bookmarkStart w:id="221" w:name="_Toc25855437"/>
      <w:bookmarkStart w:id="222" w:name="_Toc27383867"/>
      <w:bookmarkStart w:id="223" w:name="_Toc27411789"/>
      <w:bookmarkStart w:id="224" w:name="_Toc27412472"/>
      <w:bookmarkStart w:id="225" w:name="_Toc24099561"/>
      <w:bookmarkStart w:id="226" w:name="_Toc24528474"/>
      <w:bookmarkStart w:id="227" w:name="_Toc25855037"/>
      <w:bookmarkStart w:id="228" w:name="_Toc25855441"/>
      <w:bookmarkStart w:id="229" w:name="_Toc27383871"/>
      <w:bookmarkStart w:id="230" w:name="_Toc27411793"/>
      <w:bookmarkStart w:id="231" w:name="_Toc27412476"/>
      <w:bookmarkStart w:id="232" w:name="_Toc24099565"/>
      <w:bookmarkStart w:id="233" w:name="_Toc24528478"/>
      <w:bookmarkStart w:id="234" w:name="_Toc25855041"/>
      <w:bookmarkStart w:id="235" w:name="_Toc25855445"/>
      <w:bookmarkStart w:id="236" w:name="_Toc27383875"/>
      <w:bookmarkStart w:id="237" w:name="_Toc27411797"/>
      <w:bookmarkStart w:id="238" w:name="_Toc27412480"/>
      <w:bookmarkStart w:id="239" w:name="_Toc24099569"/>
      <w:bookmarkStart w:id="240" w:name="_Toc24528482"/>
      <w:bookmarkStart w:id="241" w:name="_Toc25855045"/>
      <w:bookmarkStart w:id="242" w:name="_Toc25855449"/>
      <w:bookmarkStart w:id="243" w:name="_Toc27383879"/>
      <w:bookmarkStart w:id="244" w:name="_Toc27411801"/>
      <w:bookmarkStart w:id="245" w:name="_Toc27412484"/>
      <w:bookmarkStart w:id="246" w:name="_Toc24099575"/>
      <w:bookmarkStart w:id="247" w:name="_Toc24528488"/>
      <w:bookmarkStart w:id="248" w:name="_Toc25855051"/>
      <w:bookmarkStart w:id="249" w:name="_Toc25855455"/>
      <w:bookmarkStart w:id="250" w:name="_Toc27383885"/>
      <w:bookmarkStart w:id="251" w:name="_Toc27411807"/>
      <w:bookmarkStart w:id="252" w:name="_Toc27412490"/>
      <w:bookmarkStart w:id="253" w:name="_Toc24099576"/>
      <w:bookmarkStart w:id="254" w:name="_Toc24528489"/>
      <w:bookmarkStart w:id="255" w:name="_Toc25855052"/>
      <w:bookmarkStart w:id="256" w:name="_Toc25855456"/>
      <w:bookmarkStart w:id="257" w:name="_Toc27383886"/>
      <w:bookmarkStart w:id="258" w:name="_Toc27411808"/>
      <w:bookmarkStart w:id="259" w:name="_Toc27412491"/>
      <w:bookmarkStart w:id="260" w:name="_Toc24099577"/>
      <w:bookmarkStart w:id="261" w:name="_Toc24528490"/>
      <w:bookmarkStart w:id="262" w:name="_Toc25855053"/>
      <w:bookmarkStart w:id="263" w:name="_Toc25855457"/>
      <w:bookmarkStart w:id="264" w:name="_Toc27383887"/>
      <w:bookmarkStart w:id="265" w:name="_Toc27411809"/>
      <w:bookmarkStart w:id="266" w:name="_Toc27412492"/>
      <w:bookmarkStart w:id="267" w:name="_Toc59377861"/>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640BB3">
        <w:rPr>
          <w:rFonts w:ascii="Arial" w:hAnsi="Arial" w:cs="Arial"/>
          <w:bCs/>
          <w:sz w:val="22"/>
          <w:szCs w:val="22"/>
          <w:lang w:eastAsia="es-CO"/>
        </w:rPr>
        <w:t>OPERATIVIDAD CONTABLE</w:t>
      </w:r>
      <w:bookmarkEnd w:id="267"/>
    </w:p>
    <w:p w14:paraId="21BC66E4" w14:textId="77777777" w:rsidR="006B2FAA" w:rsidRPr="006B2FAA" w:rsidRDefault="006B2FAA" w:rsidP="00CA76B9">
      <w:pPr>
        <w:spacing w:line="288" w:lineRule="auto"/>
        <w:rPr>
          <w:lang w:eastAsia="es-CO"/>
        </w:rPr>
      </w:pPr>
    </w:p>
    <w:p w14:paraId="53C40EEB" w14:textId="77777777" w:rsidR="0046335B" w:rsidRPr="00AD11B7" w:rsidRDefault="003D7C79" w:rsidP="00CA76B9">
      <w:pPr>
        <w:pStyle w:val="Ttulo2"/>
        <w:numPr>
          <w:ilvl w:val="1"/>
          <w:numId w:val="1"/>
        </w:numPr>
        <w:spacing w:line="288" w:lineRule="auto"/>
        <w:ind w:left="426" w:hanging="426"/>
        <w:rPr>
          <w:rFonts w:ascii="Arial" w:hAnsi="Arial" w:cs="Arial"/>
          <w:sz w:val="22"/>
          <w:szCs w:val="22"/>
        </w:rPr>
      </w:pPr>
      <w:bookmarkStart w:id="268" w:name="_Toc59377862"/>
      <w:r w:rsidRPr="00AD11B7">
        <w:rPr>
          <w:rFonts w:ascii="Arial" w:hAnsi="Arial" w:cs="Arial"/>
          <w:sz w:val="22"/>
          <w:szCs w:val="22"/>
        </w:rPr>
        <w:t>Generalidades</w:t>
      </w:r>
      <w:bookmarkEnd w:id="268"/>
      <w:r w:rsidRPr="00AD11B7">
        <w:rPr>
          <w:rFonts w:ascii="Arial" w:hAnsi="Arial" w:cs="Arial"/>
          <w:sz w:val="22"/>
          <w:szCs w:val="22"/>
        </w:rPr>
        <w:t xml:space="preserve"> </w:t>
      </w:r>
    </w:p>
    <w:p w14:paraId="237D4243" w14:textId="77777777" w:rsidR="0046335B" w:rsidRPr="00AD11B7" w:rsidRDefault="0046335B" w:rsidP="00CA76B9">
      <w:pPr>
        <w:spacing w:line="288" w:lineRule="auto"/>
        <w:ind w:left="360"/>
        <w:rPr>
          <w:rFonts w:ascii="Arial" w:hAnsi="Arial" w:cs="Arial"/>
          <w:sz w:val="22"/>
          <w:szCs w:val="22"/>
        </w:rPr>
      </w:pPr>
    </w:p>
    <w:p w14:paraId="1763C59B" w14:textId="77777777" w:rsidR="00355FC0" w:rsidRDefault="0046335B" w:rsidP="00CA76B9">
      <w:pPr>
        <w:numPr>
          <w:ilvl w:val="2"/>
          <w:numId w:val="1"/>
        </w:numPr>
        <w:spacing w:line="288" w:lineRule="auto"/>
        <w:ind w:left="0" w:firstLine="0"/>
        <w:jc w:val="both"/>
        <w:rPr>
          <w:rFonts w:ascii="Arial" w:hAnsi="Arial" w:cs="Arial"/>
          <w:sz w:val="22"/>
          <w:szCs w:val="22"/>
        </w:rPr>
      </w:pPr>
      <w:r w:rsidRPr="00AD11B7">
        <w:rPr>
          <w:rFonts w:ascii="Arial" w:hAnsi="Arial" w:cs="Arial"/>
          <w:sz w:val="22"/>
          <w:szCs w:val="22"/>
        </w:rPr>
        <w:t>El reconocimiento</w:t>
      </w:r>
      <w:r w:rsidR="00A21022" w:rsidRPr="00AD11B7">
        <w:rPr>
          <w:rFonts w:ascii="Arial" w:hAnsi="Arial" w:cs="Arial"/>
          <w:sz w:val="22"/>
          <w:szCs w:val="22"/>
        </w:rPr>
        <w:t xml:space="preserve">, medición, </w:t>
      </w:r>
      <w:r w:rsidRPr="00AD11B7">
        <w:rPr>
          <w:rFonts w:ascii="Arial" w:hAnsi="Arial" w:cs="Arial"/>
          <w:sz w:val="22"/>
          <w:szCs w:val="22"/>
        </w:rPr>
        <w:t xml:space="preserve">revelación </w:t>
      </w:r>
      <w:r w:rsidR="00A21022" w:rsidRPr="00AD11B7">
        <w:rPr>
          <w:rFonts w:ascii="Arial" w:hAnsi="Arial" w:cs="Arial"/>
          <w:sz w:val="22"/>
          <w:szCs w:val="22"/>
        </w:rPr>
        <w:t xml:space="preserve">y presentación de los </w:t>
      </w:r>
      <w:r w:rsidRPr="00AD11B7">
        <w:rPr>
          <w:rFonts w:ascii="Arial" w:hAnsi="Arial" w:cs="Arial"/>
          <w:sz w:val="22"/>
          <w:szCs w:val="22"/>
        </w:rPr>
        <w:t xml:space="preserve">hechos, operaciones y transacciones del Ministerio de Hacienda y Crédito Público, se realiza observando </w:t>
      </w:r>
      <w:r w:rsidR="00A21022" w:rsidRPr="00AD11B7">
        <w:rPr>
          <w:rFonts w:ascii="Arial" w:hAnsi="Arial" w:cs="Arial"/>
          <w:sz w:val="22"/>
          <w:szCs w:val="22"/>
        </w:rPr>
        <w:t xml:space="preserve">el </w:t>
      </w:r>
      <w:r w:rsidR="00A21022" w:rsidRPr="00AD11B7">
        <w:rPr>
          <w:rFonts w:ascii="Arial" w:hAnsi="Arial" w:cs="Arial"/>
          <w:sz w:val="22"/>
          <w:szCs w:val="22"/>
        </w:rPr>
        <w:lastRenderedPageBreak/>
        <w:t xml:space="preserve">Marco Normativo para Entidades de Gobierno del Régimen de Contabilidad Pública, así como </w:t>
      </w:r>
      <w:r w:rsidR="00CF068B" w:rsidRPr="00AD11B7">
        <w:rPr>
          <w:rFonts w:ascii="Arial" w:hAnsi="Arial" w:cs="Arial"/>
          <w:sz w:val="22"/>
          <w:szCs w:val="22"/>
        </w:rPr>
        <w:t xml:space="preserve">la normatividad expedida </w:t>
      </w:r>
      <w:r w:rsidRPr="00AD11B7">
        <w:rPr>
          <w:rFonts w:ascii="Arial" w:hAnsi="Arial" w:cs="Arial"/>
          <w:sz w:val="22"/>
          <w:szCs w:val="22"/>
        </w:rPr>
        <w:t xml:space="preserve">por la </w:t>
      </w:r>
      <w:r w:rsidR="00A21022" w:rsidRPr="00AD11B7">
        <w:rPr>
          <w:rFonts w:ascii="Arial" w:hAnsi="Arial" w:cs="Arial"/>
          <w:sz w:val="22"/>
          <w:szCs w:val="22"/>
        </w:rPr>
        <w:t>Contaduría General de la Nación.</w:t>
      </w:r>
    </w:p>
    <w:p w14:paraId="69A086CD" w14:textId="77777777" w:rsidR="00355FC0" w:rsidRDefault="00355FC0" w:rsidP="00CA76B9">
      <w:pPr>
        <w:spacing w:line="288" w:lineRule="auto"/>
        <w:ind w:left="720"/>
        <w:jc w:val="both"/>
        <w:rPr>
          <w:rFonts w:ascii="Arial" w:hAnsi="Arial" w:cs="Arial"/>
          <w:sz w:val="22"/>
          <w:szCs w:val="22"/>
        </w:rPr>
      </w:pPr>
    </w:p>
    <w:p w14:paraId="4E6048DA" w14:textId="77777777" w:rsidR="00355FC0" w:rsidRPr="006C2EB4" w:rsidRDefault="00355FC0" w:rsidP="00CA76B9">
      <w:pPr>
        <w:numPr>
          <w:ilvl w:val="2"/>
          <w:numId w:val="1"/>
        </w:numPr>
        <w:spacing w:line="288" w:lineRule="auto"/>
        <w:ind w:left="0" w:firstLine="0"/>
        <w:jc w:val="both"/>
        <w:rPr>
          <w:rFonts w:ascii="Arial" w:hAnsi="Arial" w:cs="Arial"/>
          <w:i/>
          <w:iCs/>
          <w:sz w:val="22"/>
          <w:szCs w:val="22"/>
        </w:rPr>
      </w:pPr>
      <w:r w:rsidRPr="00355FC0">
        <w:rPr>
          <w:rFonts w:ascii="Arial" w:hAnsi="Arial" w:cs="Arial"/>
          <w:sz w:val="22"/>
          <w:szCs w:val="22"/>
        </w:rPr>
        <w:t xml:space="preserve">Para el registro de sus operaciones, el MHCP emplea el </w:t>
      </w:r>
      <w:r w:rsidRPr="006C2EB4">
        <w:rPr>
          <w:rFonts w:ascii="Arial" w:hAnsi="Arial" w:cs="Arial"/>
          <w:i/>
          <w:iCs/>
          <w:sz w:val="22"/>
          <w:szCs w:val="22"/>
        </w:rPr>
        <w:t xml:space="preserve">“Sistema Integrado de Información Financiera (SIIF) Nación”. </w:t>
      </w:r>
    </w:p>
    <w:p w14:paraId="5ED7BFFD" w14:textId="77777777" w:rsidR="00355FC0" w:rsidRDefault="00355FC0" w:rsidP="00CA76B9">
      <w:pPr>
        <w:pStyle w:val="Prrafodelista"/>
        <w:spacing w:line="288" w:lineRule="auto"/>
        <w:ind w:left="0"/>
        <w:rPr>
          <w:rFonts w:ascii="Arial" w:hAnsi="Arial" w:cs="Arial"/>
          <w:sz w:val="22"/>
          <w:szCs w:val="22"/>
        </w:rPr>
      </w:pPr>
    </w:p>
    <w:p w14:paraId="15ED433A" w14:textId="4D5B05AE" w:rsidR="00EB11AC" w:rsidRPr="00640BB3" w:rsidRDefault="00EB11AC" w:rsidP="00CA76B9">
      <w:pPr>
        <w:spacing w:line="288" w:lineRule="auto"/>
        <w:jc w:val="both"/>
        <w:rPr>
          <w:rFonts w:ascii="Arial" w:hAnsi="Arial" w:cs="Arial"/>
          <w:sz w:val="22"/>
          <w:szCs w:val="22"/>
        </w:rPr>
      </w:pPr>
      <w:r w:rsidRPr="00AD11B7">
        <w:rPr>
          <w:rFonts w:ascii="Arial" w:hAnsi="Arial" w:cs="Arial"/>
          <w:sz w:val="22"/>
          <w:szCs w:val="22"/>
        </w:rPr>
        <w:t xml:space="preserve">El ajuste y registro de las operaciones en el Sistema Integrado de Información Financiera (SIIF) se elabora conforme a la documentación </w:t>
      </w:r>
      <w:r w:rsidR="00640BB3">
        <w:rPr>
          <w:rFonts w:ascii="Arial" w:hAnsi="Arial" w:cs="Arial"/>
          <w:sz w:val="22"/>
          <w:szCs w:val="22"/>
        </w:rPr>
        <w:t>publicada</w:t>
      </w:r>
      <w:r w:rsidR="00640BB3" w:rsidRPr="00640BB3">
        <w:rPr>
          <w:rFonts w:ascii="Arial" w:hAnsi="Arial" w:cs="Arial"/>
          <w:sz w:val="22"/>
          <w:szCs w:val="22"/>
        </w:rPr>
        <w:t xml:space="preserve"> en la página web www.minhacienda.gov.co, opción: </w:t>
      </w:r>
      <w:r w:rsidR="00FA64EE">
        <w:rPr>
          <w:rFonts w:ascii="Arial" w:hAnsi="Arial" w:cs="Arial"/>
          <w:sz w:val="22"/>
          <w:szCs w:val="22"/>
        </w:rPr>
        <w:t>Entidades de orden nacional/</w:t>
      </w:r>
      <w:r w:rsidR="00640BB3" w:rsidRPr="00640BB3">
        <w:rPr>
          <w:rFonts w:ascii="Arial" w:hAnsi="Arial" w:cs="Arial"/>
          <w:sz w:val="22"/>
          <w:szCs w:val="22"/>
        </w:rPr>
        <w:t>SIIF Nación/ Ciclo de negocios/Gestión Contable.</w:t>
      </w:r>
    </w:p>
    <w:p w14:paraId="4A38B447" w14:textId="77777777" w:rsidR="00640BB3" w:rsidRDefault="00640BB3" w:rsidP="00CA76B9">
      <w:pPr>
        <w:spacing w:line="288" w:lineRule="auto"/>
        <w:jc w:val="both"/>
        <w:rPr>
          <w:rFonts w:ascii="Arial" w:hAnsi="Arial" w:cs="Arial"/>
          <w:sz w:val="22"/>
          <w:szCs w:val="22"/>
        </w:rPr>
      </w:pPr>
    </w:p>
    <w:p w14:paraId="7C68E813" w14:textId="77777777" w:rsidR="00A44B01" w:rsidRDefault="00D30F1E" w:rsidP="00CA76B9">
      <w:pPr>
        <w:spacing w:line="288" w:lineRule="auto"/>
        <w:jc w:val="both"/>
        <w:rPr>
          <w:rFonts w:ascii="Arial" w:hAnsi="Arial" w:cs="Arial"/>
          <w:sz w:val="22"/>
          <w:szCs w:val="22"/>
        </w:rPr>
      </w:pPr>
      <w:r>
        <w:rPr>
          <w:rFonts w:ascii="Arial" w:hAnsi="Arial" w:cs="Arial"/>
          <w:sz w:val="22"/>
          <w:szCs w:val="22"/>
        </w:rPr>
        <w:t>Cuando a ello hubiere</w:t>
      </w:r>
      <w:r w:rsidR="00A44B01">
        <w:rPr>
          <w:rFonts w:ascii="Arial" w:hAnsi="Arial" w:cs="Arial"/>
          <w:sz w:val="22"/>
          <w:szCs w:val="22"/>
        </w:rPr>
        <w:t xml:space="preserve"> lugar, e</w:t>
      </w:r>
      <w:r w:rsidR="0046335B" w:rsidRPr="00A44B01">
        <w:rPr>
          <w:rFonts w:ascii="Arial" w:hAnsi="Arial" w:cs="Arial"/>
          <w:sz w:val="22"/>
          <w:szCs w:val="22"/>
        </w:rPr>
        <w:t xml:space="preserve">l </w:t>
      </w:r>
      <w:r w:rsidR="00A44B01">
        <w:rPr>
          <w:rFonts w:ascii="Arial" w:hAnsi="Arial" w:cs="Arial"/>
          <w:sz w:val="22"/>
          <w:szCs w:val="22"/>
        </w:rPr>
        <w:t xml:space="preserve">Coordinador del Grupo de Contabilidad </w:t>
      </w:r>
      <w:r w:rsidR="0046335B" w:rsidRPr="00A44B01">
        <w:rPr>
          <w:rFonts w:ascii="Arial" w:hAnsi="Arial" w:cs="Arial"/>
          <w:sz w:val="22"/>
          <w:szCs w:val="22"/>
        </w:rPr>
        <w:t>debe</w:t>
      </w:r>
      <w:r>
        <w:rPr>
          <w:rFonts w:ascii="Arial" w:hAnsi="Arial" w:cs="Arial"/>
          <w:sz w:val="22"/>
          <w:szCs w:val="22"/>
        </w:rPr>
        <w:t>rá</w:t>
      </w:r>
      <w:r w:rsidR="0046335B" w:rsidRPr="00A44B01">
        <w:rPr>
          <w:rFonts w:ascii="Arial" w:hAnsi="Arial" w:cs="Arial"/>
          <w:sz w:val="22"/>
          <w:szCs w:val="22"/>
        </w:rPr>
        <w:t xml:space="preserve"> solicitar a la Contaduría General de la Nación los requerimientos de parametrización contable del </w:t>
      </w:r>
      <w:r w:rsidR="00A44B01">
        <w:rPr>
          <w:rFonts w:ascii="Arial" w:hAnsi="Arial" w:cs="Arial"/>
          <w:sz w:val="22"/>
          <w:szCs w:val="22"/>
        </w:rPr>
        <w:t>SIIF Nación</w:t>
      </w:r>
      <w:r w:rsidR="0046335B" w:rsidRPr="00A44B01">
        <w:rPr>
          <w:rFonts w:ascii="Arial" w:hAnsi="Arial" w:cs="Arial"/>
          <w:sz w:val="22"/>
          <w:szCs w:val="22"/>
        </w:rPr>
        <w:t>, necesarios para la correcta ejecución del proceso</w:t>
      </w:r>
      <w:r w:rsidR="00CF068B" w:rsidRPr="00A44B01">
        <w:rPr>
          <w:rFonts w:ascii="Arial" w:hAnsi="Arial" w:cs="Arial"/>
          <w:sz w:val="22"/>
          <w:szCs w:val="22"/>
        </w:rPr>
        <w:t xml:space="preserve"> contable del</w:t>
      </w:r>
      <w:r w:rsidR="0046335B" w:rsidRPr="00A44B01">
        <w:rPr>
          <w:rFonts w:ascii="Arial" w:hAnsi="Arial" w:cs="Arial"/>
          <w:sz w:val="22"/>
          <w:szCs w:val="22"/>
        </w:rPr>
        <w:t xml:space="preserve"> Ministerio de Hacienda y Crédito Público.</w:t>
      </w:r>
    </w:p>
    <w:p w14:paraId="5F9C0A66" w14:textId="77777777" w:rsidR="006B2FAA" w:rsidRDefault="006B2FAA" w:rsidP="00CA76B9">
      <w:pPr>
        <w:pStyle w:val="Prrafodelista"/>
        <w:spacing w:line="288" w:lineRule="auto"/>
        <w:rPr>
          <w:rFonts w:ascii="Arial" w:hAnsi="Arial" w:cs="Arial"/>
          <w:sz w:val="22"/>
          <w:szCs w:val="22"/>
        </w:rPr>
      </w:pPr>
    </w:p>
    <w:p w14:paraId="0047E1AC" w14:textId="77777777" w:rsidR="0046335B" w:rsidRPr="00A44B01" w:rsidRDefault="00CF068B" w:rsidP="00CA76B9">
      <w:pPr>
        <w:numPr>
          <w:ilvl w:val="2"/>
          <w:numId w:val="1"/>
        </w:numPr>
        <w:spacing w:line="288" w:lineRule="auto"/>
        <w:jc w:val="both"/>
        <w:rPr>
          <w:rFonts w:ascii="Arial" w:hAnsi="Arial" w:cs="Arial"/>
          <w:sz w:val="22"/>
          <w:szCs w:val="22"/>
        </w:rPr>
      </w:pPr>
      <w:r w:rsidRPr="00A44B01">
        <w:rPr>
          <w:rFonts w:ascii="Arial" w:hAnsi="Arial" w:cs="Arial"/>
          <w:sz w:val="22"/>
          <w:szCs w:val="22"/>
        </w:rPr>
        <w:t xml:space="preserve">El </w:t>
      </w:r>
      <w:r w:rsidR="0046335B" w:rsidRPr="00A44B01">
        <w:rPr>
          <w:rFonts w:ascii="Arial" w:hAnsi="Arial" w:cs="Arial"/>
          <w:sz w:val="22"/>
          <w:szCs w:val="22"/>
        </w:rPr>
        <w:t>Ministerio de Hacienda y Crédito Público debe gestionar, entre otra, la siguiente información contable:</w:t>
      </w:r>
    </w:p>
    <w:p w14:paraId="60A92533" w14:textId="77777777" w:rsidR="0046335B" w:rsidRPr="00AD11B7" w:rsidRDefault="0046335B" w:rsidP="00CA76B9">
      <w:pPr>
        <w:pStyle w:val="Prrafodelista"/>
        <w:spacing w:line="288" w:lineRule="auto"/>
        <w:rPr>
          <w:rFonts w:ascii="Arial" w:hAnsi="Arial" w:cs="Arial"/>
          <w:sz w:val="22"/>
          <w:szCs w:val="22"/>
        </w:rPr>
      </w:pPr>
    </w:p>
    <w:p w14:paraId="54050BB1" w14:textId="77BE012B"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Inversiones patrimoniales (el MHCP participa como inversor o propietario de </w:t>
      </w:r>
      <w:r w:rsidR="00931E5A">
        <w:rPr>
          <w:rFonts w:ascii="Arial" w:hAnsi="Arial" w:cs="Arial"/>
          <w:sz w:val="22"/>
          <w:szCs w:val="22"/>
        </w:rPr>
        <w:t>participaciones patrimoniales</w:t>
      </w:r>
      <w:r w:rsidRPr="00AD11B7">
        <w:rPr>
          <w:rFonts w:ascii="Arial" w:hAnsi="Arial" w:cs="Arial"/>
          <w:sz w:val="22"/>
          <w:szCs w:val="22"/>
        </w:rPr>
        <w:t>)</w:t>
      </w:r>
      <w:r w:rsidR="009F36C2">
        <w:rPr>
          <w:rFonts w:ascii="Arial" w:hAnsi="Arial" w:cs="Arial"/>
          <w:sz w:val="22"/>
          <w:szCs w:val="22"/>
        </w:rPr>
        <w:t>.</w:t>
      </w:r>
    </w:p>
    <w:p w14:paraId="609E5852" w14:textId="5077B3B5"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Sistema General de Participaciones </w:t>
      </w:r>
      <w:r w:rsidR="006B2FAA">
        <w:rPr>
          <w:rFonts w:ascii="Arial" w:hAnsi="Arial" w:cs="Arial"/>
          <w:sz w:val="22"/>
          <w:szCs w:val="22"/>
        </w:rPr>
        <w:t>(</w:t>
      </w:r>
      <w:r w:rsidRPr="00AD11B7">
        <w:rPr>
          <w:rFonts w:ascii="Arial" w:hAnsi="Arial" w:cs="Arial"/>
          <w:sz w:val="22"/>
          <w:szCs w:val="22"/>
        </w:rPr>
        <w:t>SGP</w:t>
      </w:r>
      <w:r w:rsidR="006B2FAA">
        <w:rPr>
          <w:rFonts w:ascii="Arial" w:hAnsi="Arial" w:cs="Arial"/>
          <w:sz w:val="22"/>
          <w:szCs w:val="22"/>
        </w:rPr>
        <w:t>)</w:t>
      </w:r>
      <w:r w:rsidRPr="00AD11B7">
        <w:rPr>
          <w:rFonts w:ascii="Arial" w:hAnsi="Arial" w:cs="Arial"/>
          <w:sz w:val="22"/>
          <w:szCs w:val="22"/>
        </w:rPr>
        <w:t xml:space="preserve"> (en lo relacionado con la participación de Propósito General, Participación para pensiones – Fondo Nacional de pensiones de las entidades territoriales </w:t>
      </w:r>
      <w:r w:rsidR="00B56D74">
        <w:rPr>
          <w:rFonts w:ascii="Arial" w:hAnsi="Arial" w:cs="Arial"/>
          <w:sz w:val="22"/>
          <w:szCs w:val="22"/>
        </w:rPr>
        <w:t>(FONPET)</w:t>
      </w:r>
      <w:r w:rsidRPr="00AD11B7">
        <w:rPr>
          <w:rFonts w:ascii="Arial" w:hAnsi="Arial" w:cs="Arial"/>
          <w:sz w:val="22"/>
          <w:szCs w:val="22"/>
        </w:rPr>
        <w:t>, Programas de Alimentación Escolar, Municipios y Distritos con ribera sobre el río grande de la Magdalena</w:t>
      </w:r>
      <w:r w:rsidR="006B2FAA">
        <w:rPr>
          <w:rFonts w:ascii="Arial" w:hAnsi="Arial" w:cs="Arial"/>
          <w:sz w:val="22"/>
          <w:szCs w:val="22"/>
        </w:rPr>
        <w:t xml:space="preserve"> y</w:t>
      </w:r>
      <w:r w:rsidRPr="00AD11B7">
        <w:rPr>
          <w:rFonts w:ascii="Arial" w:hAnsi="Arial" w:cs="Arial"/>
          <w:sz w:val="22"/>
          <w:szCs w:val="22"/>
        </w:rPr>
        <w:t xml:space="preserve"> Entidades territoriales indígenas)</w:t>
      </w:r>
      <w:r w:rsidR="009F36C2">
        <w:rPr>
          <w:rFonts w:ascii="Arial" w:hAnsi="Arial" w:cs="Arial"/>
          <w:sz w:val="22"/>
          <w:szCs w:val="22"/>
        </w:rPr>
        <w:t>.</w:t>
      </w:r>
    </w:p>
    <w:p w14:paraId="35AF2585" w14:textId="02FAEACC"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Información de Fondos recibidos en Administración (en relación con la situación de recursos del Fondo Nacional de pensiones de las entidades territoriales </w:t>
      </w:r>
      <w:r w:rsidR="009F36C2">
        <w:rPr>
          <w:rFonts w:ascii="Arial" w:hAnsi="Arial" w:cs="Arial"/>
          <w:sz w:val="22"/>
          <w:szCs w:val="22"/>
        </w:rPr>
        <w:t>(FONPET)</w:t>
      </w:r>
      <w:r w:rsidRPr="00AD11B7">
        <w:rPr>
          <w:rFonts w:ascii="Arial" w:hAnsi="Arial" w:cs="Arial"/>
          <w:sz w:val="22"/>
          <w:szCs w:val="22"/>
        </w:rPr>
        <w:t>)</w:t>
      </w:r>
    </w:p>
    <w:p w14:paraId="1B3F3017" w14:textId="4E5186C7"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Información de Recaudo de Cartera y de Deudores, </w:t>
      </w:r>
      <w:proofErr w:type="spellStart"/>
      <w:r w:rsidRPr="00AD11B7">
        <w:rPr>
          <w:rFonts w:ascii="Arial" w:hAnsi="Arial" w:cs="Arial"/>
          <w:sz w:val="22"/>
          <w:szCs w:val="22"/>
        </w:rPr>
        <w:t>remisibilidad</w:t>
      </w:r>
      <w:proofErr w:type="spellEnd"/>
      <w:r w:rsidRPr="00AD11B7">
        <w:rPr>
          <w:rFonts w:ascii="Arial" w:hAnsi="Arial" w:cs="Arial"/>
          <w:sz w:val="22"/>
          <w:szCs w:val="22"/>
        </w:rPr>
        <w:t xml:space="preserve"> y movimientos de cobro coactivo</w:t>
      </w:r>
      <w:r w:rsidR="009F36C2">
        <w:rPr>
          <w:rFonts w:ascii="Arial" w:hAnsi="Arial" w:cs="Arial"/>
          <w:sz w:val="22"/>
          <w:szCs w:val="22"/>
        </w:rPr>
        <w:t>.</w:t>
      </w:r>
    </w:p>
    <w:p w14:paraId="6224B4DA" w14:textId="14371481"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Información de operaciones de Bonos Pensionales</w:t>
      </w:r>
      <w:r w:rsidR="009F36C2">
        <w:rPr>
          <w:rFonts w:ascii="Arial" w:hAnsi="Arial" w:cs="Arial"/>
          <w:sz w:val="22"/>
          <w:szCs w:val="22"/>
        </w:rPr>
        <w:t>.</w:t>
      </w:r>
    </w:p>
    <w:p w14:paraId="353AE883" w14:textId="7F163007" w:rsidR="006B2FAA" w:rsidRDefault="0046335B" w:rsidP="00CA76B9">
      <w:pPr>
        <w:numPr>
          <w:ilvl w:val="0"/>
          <w:numId w:val="4"/>
        </w:numPr>
        <w:spacing w:line="288" w:lineRule="auto"/>
        <w:ind w:left="284" w:hanging="284"/>
        <w:jc w:val="both"/>
        <w:rPr>
          <w:rFonts w:ascii="Arial" w:hAnsi="Arial" w:cs="Arial"/>
          <w:sz w:val="22"/>
          <w:szCs w:val="22"/>
        </w:rPr>
      </w:pPr>
      <w:r w:rsidRPr="006B2FAA">
        <w:rPr>
          <w:rFonts w:ascii="Arial" w:hAnsi="Arial" w:cs="Arial"/>
          <w:sz w:val="22"/>
          <w:szCs w:val="22"/>
        </w:rPr>
        <w:t>Información de operaciones de Bienes muebles e inmuebles del MHCP</w:t>
      </w:r>
      <w:r w:rsidR="009F36C2">
        <w:rPr>
          <w:rFonts w:ascii="Arial" w:hAnsi="Arial" w:cs="Arial"/>
          <w:sz w:val="22"/>
          <w:szCs w:val="22"/>
        </w:rPr>
        <w:t>.</w:t>
      </w:r>
      <w:r w:rsidRPr="006B2FAA">
        <w:rPr>
          <w:rFonts w:ascii="Arial" w:hAnsi="Arial" w:cs="Arial"/>
          <w:sz w:val="22"/>
          <w:szCs w:val="22"/>
        </w:rPr>
        <w:t xml:space="preserve"> </w:t>
      </w:r>
    </w:p>
    <w:p w14:paraId="2FF6B0D9" w14:textId="77777777" w:rsidR="00837D0D" w:rsidRPr="006B2FAA" w:rsidRDefault="0046335B" w:rsidP="00CA76B9">
      <w:pPr>
        <w:numPr>
          <w:ilvl w:val="0"/>
          <w:numId w:val="4"/>
        </w:numPr>
        <w:spacing w:line="288" w:lineRule="auto"/>
        <w:ind w:left="284" w:hanging="284"/>
        <w:jc w:val="both"/>
        <w:rPr>
          <w:rFonts w:ascii="Arial" w:hAnsi="Arial" w:cs="Arial"/>
          <w:sz w:val="22"/>
          <w:szCs w:val="22"/>
        </w:rPr>
      </w:pPr>
      <w:r w:rsidRPr="006B2FAA">
        <w:rPr>
          <w:rFonts w:ascii="Arial" w:hAnsi="Arial" w:cs="Arial"/>
          <w:sz w:val="22"/>
          <w:szCs w:val="22"/>
        </w:rPr>
        <w:t xml:space="preserve">Información </w:t>
      </w:r>
      <w:r w:rsidR="006A2EA6" w:rsidRPr="006B2FAA">
        <w:rPr>
          <w:rFonts w:ascii="Arial" w:hAnsi="Arial" w:cs="Arial"/>
          <w:sz w:val="22"/>
          <w:szCs w:val="22"/>
        </w:rPr>
        <w:t>de causación</w:t>
      </w:r>
      <w:r w:rsidRPr="006B2FAA">
        <w:rPr>
          <w:rFonts w:ascii="Arial" w:hAnsi="Arial" w:cs="Arial"/>
          <w:sz w:val="22"/>
          <w:szCs w:val="22"/>
        </w:rPr>
        <w:t xml:space="preserve"> de prestaciones sociales.</w:t>
      </w:r>
    </w:p>
    <w:p w14:paraId="25EB44B5" w14:textId="115C8D8A" w:rsidR="00837D0D" w:rsidRPr="00AD11B7" w:rsidRDefault="00837D0D"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Información relacionada con las novedades de incapacidades por enfermedad, accidente laboral, </w:t>
      </w:r>
      <w:proofErr w:type="spellStart"/>
      <w:r w:rsidRPr="00AD11B7">
        <w:rPr>
          <w:rFonts w:ascii="Arial" w:hAnsi="Arial" w:cs="Arial"/>
          <w:sz w:val="22"/>
          <w:szCs w:val="22"/>
        </w:rPr>
        <w:t>etc</w:t>
      </w:r>
      <w:proofErr w:type="spellEnd"/>
      <w:r w:rsidRPr="00AD11B7">
        <w:rPr>
          <w:rFonts w:ascii="Arial" w:hAnsi="Arial" w:cs="Arial"/>
          <w:sz w:val="22"/>
          <w:szCs w:val="22"/>
        </w:rPr>
        <w:t>, y/</w:t>
      </w:r>
      <w:r w:rsidR="009205AB" w:rsidRPr="00AD11B7">
        <w:rPr>
          <w:rFonts w:ascii="Arial" w:hAnsi="Arial" w:cs="Arial"/>
          <w:sz w:val="22"/>
          <w:szCs w:val="22"/>
        </w:rPr>
        <w:t>o licencias</w:t>
      </w:r>
      <w:r w:rsidRPr="00AD11B7">
        <w:rPr>
          <w:rFonts w:ascii="Arial" w:hAnsi="Arial" w:cs="Arial"/>
          <w:sz w:val="22"/>
          <w:szCs w:val="22"/>
        </w:rPr>
        <w:t xml:space="preserve"> de maternidad o paternidad de los </w:t>
      </w:r>
      <w:r w:rsidR="006A2EA6" w:rsidRPr="00AD11B7">
        <w:rPr>
          <w:rFonts w:ascii="Arial" w:hAnsi="Arial" w:cs="Arial"/>
          <w:sz w:val="22"/>
          <w:szCs w:val="22"/>
        </w:rPr>
        <w:t>funcionarios del</w:t>
      </w:r>
      <w:r w:rsidRPr="00AD11B7">
        <w:rPr>
          <w:rFonts w:ascii="Arial" w:hAnsi="Arial" w:cs="Arial"/>
          <w:sz w:val="22"/>
          <w:szCs w:val="22"/>
        </w:rPr>
        <w:t xml:space="preserve"> MHCP</w:t>
      </w:r>
      <w:r w:rsidR="009F36C2">
        <w:rPr>
          <w:rFonts w:ascii="Arial" w:hAnsi="Arial" w:cs="Arial"/>
          <w:sz w:val="22"/>
          <w:szCs w:val="22"/>
        </w:rPr>
        <w:t>.</w:t>
      </w:r>
    </w:p>
    <w:p w14:paraId="4DB79F5B" w14:textId="3848C6ED" w:rsidR="00837D0D" w:rsidRPr="00AD11B7" w:rsidRDefault="00837D0D"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Información relacionada con los procesos judiciales, laudos arbitrales y conciliaciones extrajudiciales a favor y en contra del MHCP</w:t>
      </w:r>
      <w:r w:rsidR="009F36C2">
        <w:rPr>
          <w:rFonts w:ascii="Arial" w:hAnsi="Arial" w:cs="Arial"/>
          <w:sz w:val="22"/>
          <w:szCs w:val="22"/>
        </w:rPr>
        <w:t>.</w:t>
      </w:r>
    </w:p>
    <w:p w14:paraId="18694A77" w14:textId="77777777"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Información de los movimientos de los </w:t>
      </w:r>
      <w:r w:rsidR="00931E5A">
        <w:rPr>
          <w:rFonts w:ascii="Arial" w:hAnsi="Arial" w:cs="Arial"/>
          <w:sz w:val="22"/>
          <w:szCs w:val="22"/>
        </w:rPr>
        <w:t>Certificados de Reembolso Tributario (</w:t>
      </w:r>
      <w:r w:rsidRPr="00AD11B7">
        <w:rPr>
          <w:rFonts w:ascii="Arial" w:hAnsi="Arial" w:cs="Arial"/>
          <w:sz w:val="22"/>
          <w:szCs w:val="22"/>
        </w:rPr>
        <w:t>CERT</w:t>
      </w:r>
      <w:r w:rsidR="00931E5A">
        <w:rPr>
          <w:rFonts w:ascii="Arial" w:hAnsi="Arial" w:cs="Arial"/>
          <w:sz w:val="22"/>
          <w:szCs w:val="22"/>
        </w:rPr>
        <w:t>)</w:t>
      </w:r>
    </w:p>
    <w:p w14:paraId="1A5A79FF" w14:textId="4B55BF75"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Información del Fondo de Reserva de Estabiliz</w:t>
      </w:r>
      <w:r w:rsidR="006B2FAA">
        <w:rPr>
          <w:rFonts w:ascii="Arial" w:hAnsi="Arial" w:cs="Arial"/>
          <w:sz w:val="22"/>
          <w:szCs w:val="22"/>
        </w:rPr>
        <w:t>ación de la Cartera Hipotecaria (FRECH)</w:t>
      </w:r>
      <w:r w:rsidR="009F36C2">
        <w:rPr>
          <w:rFonts w:ascii="Arial" w:hAnsi="Arial" w:cs="Arial"/>
          <w:sz w:val="22"/>
          <w:szCs w:val="22"/>
        </w:rPr>
        <w:t>.</w:t>
      </w:r>
    </w:p>
    <w:p w14:paraId="1C06D90C" w14:textId="6E9CF8B4"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lastRenderedPageBreak/>
        <w:t>Información de</w:t>
      </w:r>
      <w:r w:rsidR="009C3668">
        <w:rPr>
          <w:rFonts w:ascii="Arial" w:hAnsi="Arial" w:cs="Arial"/>
          <w:sz w:val="22"/>
          <w:szCs w:val="22"/>
        </w:rPr>
        <w:t xml:space="preserve"> </w:t>
      </w:r>
      <w:r w:rsidRPr="00AD11B7">
        <w:rPr>
          <w:rFonts w:ascii="Arial" w:hAnsi="Arial" w:cs="Arial"/>
          <w:sz w:val="22"/>
          <w:szCs w:val="22"/>
        </w:rPr>
        <w:t>l</w:t>
      </w:r>
      <w:r w:rsidR="009C3668">
        <w:rPr>
          <w:rFonts w:ascii="Arial" w:hAnsi="Arial" w:cs="Arial"/>
          <w:sz w:val="22"/>
          <w:szCs w:val="22"/>
        </w:rPr>
        <w:t xml:space="preserve">os aportes y contribuciones </w:t>
      </w:r>
      <w:r w:rsidR="0044104F">
        <w:rPr>
          <w:rFonts w:ascii="Arial" w:hAnsi="Arial" w:cs="Arial"/>
          <w:sz w:val="22"/>
          <w:szCs w:val="22"/>
        </w:rPr>
        <w:t xml:space="preserve">a </w:t>
      </w:r>
      <w:r w:rsidRPr="00AD11B7">
        <w:rPr>
          <w:rFonts w:ascii="Arial" w:hAnsi="Arial" w:cs="Arial"/>
          <w:sz w:val="22"/>
          <w:szCs w:val="22"/>
        </w:rPr>
        <w:t>Organis</w:t>
      </w:r>
      <w:r w:rsidR="006B2FAA">
        <w:rPr>
          <w:rFonts w:ascii="Arial" w:hAnsi="Arial" w:cs="Arial"/>
          <w:sz w:val="22"/>
          <w:szCs w:val="22"/>
        </w:rPr>
        <w:t>mos</w:t>
      </w:r>
      <w:r w:rsidR="009100A9">
        <w:rPr>
          <w:rFonts w:ascii="Arial" w:hAnsi="Arial" w:cs="Arial"/>
          <w:sz w:val="22"/>
          <w:szCs w:val="22"/>
        </w:rPr>
        <w:t xml:space="preserve"> Internacionales.</w:t>
      </w:r>
    </w:p>
    <w:p w14:paraId="4DC157AF" w14:textId="378C2A6C" w:rsidR="007247FE"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Información relacionada con la clasificación y registro de los ingresos asignados al MHCP</w:t>
      </w:r>
      <w:r w:rsidR="009F36C2">
        <w:rPr>
          <w:rFonts w:ascii="Arial" w:hAnsi="Arial" w:cs="Arial"/>
          <w:sz w:val="22"/>
          <w:szCs w:val="22"/>
        </w:rPr>
        <w:t>.</w:t>
      </w:r>
    </w:p>
    <w:p w14:paraId="0D4DA281" w14:textId="77777777" w:rsidR="007247FE" w:rsidRPr="00580C7E" w:rsidRDefault="0046335B" w:rsidP="00CA76B9">
      <w:pPr>
        <w:numPr>
          <w:ilvl w:val="0"/>
          <w:numId w:val="4"/>
        </w:numPr>
        <w:spacing w:line="288" w:lineRule="auto"/>
        <w:ind w:left="284" w:hanging="284"/>
        <w:jc w:val="both"/>
        <w:rPr>
          <w:rFonts w:ascii="Arial" w:hAnsi="Arial" w:cs="Arial"/>
          <w:sz w:val="22"/>
          <w:szCs w:val="22"/>
        </w:rPr>
      </w:pPr>
      <w:r w:rsidRPr="00580C7E">
        <w:rPr>
          <w:rFonts w:ascii="Arial" w:hAnsi="Arial" w:cs="Arial"/>
          <w:sz w:val="22"/>
          <w:szCs w:val="22"/>
        </w:rPr>
        <w:t xml:space="preserve">Información relacionada con la ejecución de contratos y convenios interadministrativos, suscritos por el MHCP con entidades tales como: </w:t>
      </w:r>
      <w:r w:rsidR="00DA486B" w:rsidRPr="00580C7E">
        <w:rPr>
          <w:rFonts w:ascii="Arial" w:hAnsi="Arial" w:cs="Arial"/>
          <w:sz w:val="22"/>
          <w:szCs w:val="22"/>
        </w:rPr>
        <w:t xml:space="preserve">FOGAFIN FONADE, FINDETER, </w:t>
      </w:r>
      <w:r w:rsidR="007247FE" w:rsidRPr="00580C7E">
        <w:rPr>
          <w:rFonts w:ascii="Arial" w:hAnsi="Arial" w:cs="Arial"/>
          <w:sz w:val="22"/>
          <w:szCs w:val="22"/>
        </w:rPr>
        <w:t>ICETEX, FNG,</w:t>
      </w:r>
      <w:r w:rsidR="00E55D68" w:rsidRPr="00580C7E">
        <w:rPr>
          <w:rFonts w:ascii="Arial" w:hAnsi="Arial" w:cs="Arial"/>
          <w:sz w:val="22"/>
          <w:szCs w:val="22"/>
        </w:rPr>
        <w:t xml:space="preserve"> FDN</w:t>
      </w:r>
      <w:r w:rsidR="00931E5A" w:rsidRPr="00580C7E">
        <w:rPr>
          <w:rFonts w:ascii="Arial" w:hAnsi="Arial" w:cs="Arial"/>
          <w:sz w:val="22"/>
          <w:szCs w:val="22"/>
        </w:rPr>
        <w:t xml:space="preserve">, BANCOLDEX, </w:t>
      </w:r>
      <w:r w:rsidR="007247FE" w:rsidRPr="00580C7E">
        <w:rPr>
          <w:rFonts w:ascii="Arial" w:hAnsi="Arial" w:cs="Arial"/>
          <w:sz w:val="22"/>
          <w:szCs w:val="22"/>
        </w:rPr>
        <w:t>etc.</w:t>
      </w:r>
    </w:p>
    <w:p w14:paraId="765FDEBD" w14:textId="548FA809" w:rsidR="00E55D68" w:rsidRPr="00580C7E" w:rsidRDefault="00E55D68" w:rsidP="00CA76B9">
      <w:pPr>
        <w:numPr>
          <w:ilvl w:val="0"/>
          <w:numId w:val="4"/>
        </w:numPr>
        <w:spacing w:line="288" w:lineRule="auto"/>
        <w:ind w:left="284" w:hanging="284"/>
        <w:jc w:val="both"/>
        <w:rPr>
          <w:rFonts w:ascii="Arial" w:hAnsi="Arial" w:cs="Arial"/>
          <w:sz w:val="22"/>
          <w:szCs w:val="22"/>
        </w:rPr>
      </w:pPr>
      <w:r w:rsidRPr="00580C7E">
        <w:rPr>
          <w:rFonts w:ascii="Arial" w:hAnsi="Arial" w:cs="Arial"/>
          <w:sz w:val="22"/>
          <w:szCs w:val="22"/>
        </w:rPr>
        <w:t>Información relacionada con recursos entregados en administración a la Dirección General de Crédito Público y del Tesoro Nacional (DGCPTN)</w:t>
      </w:r>
      <w:r w:rsidR="005226C1">
        <w:rPr>
          <w:rFonts w:ascii="Arial" w:hAnsi="Arial" w:cs="Arial"/>
          <w:sz w:val="22"/>
          <w:szCs w:val="22"/>
        </w:rPr>
        <w:t>.</w:t>
      </w:r>
      <w:r w:rsidRPr="00580C7E">
        <w:rPr>
          <w:rFonts w:ascii="Arial" w:hAnsi="Arial" w:cs="Arial"/>
          <w:sz w:val="22"/>
          <w:szCs w:val="22"/>
        </w:rPr>
        <w:t xml:space="preserve"> </w:t>
      </w:r>
    </w:p>
    <w:p w14:paraId="56F0FB7C" w14:textId="77777777" w:rsidR="00704639" w:rsidRPr="00580C7E" w:rsidRDefault="00DA486B" w:rsidP="00CA76B9">
      <w:pPr>
        <w:numPr>
          <w:ilvl w:val="0"/>
          <w:numId w:val="4"/>
        </w:numPr>
        <w:spacing w:line="288" w:lineRule="auto"/>
        <w:ind w:left="284" w:hanging="284"/>
        <w:jc w:val="both"/>
        <w:rPr>
          <w:rFonts w:ascii="Arial" w:hAnsi="Arial" w:cs="Arial"/>
          <w:sz w:val="22"/>
          <w:szCs w:val="22"/>
        </w:rPr>
      </w:pPr>
      <w:r w:rsidRPr="00580C7E">
        <w:rPr>
          <w:rFonts w:ascii="Arial" w:hAnsi="Arial" w:cs="Arial"/>
          <w:sz w:val="22"/>
          <w:szCs w:val="22"/>
        </w:rPr>
        <w:t>Información</w:t>
      </w:r>
      <w:r w:rsidR="00704639" w:rsidRPr="00580C7E">
        <w:rPr>
          <w:rFonts w:ascii="Arial" w:hAnsi="Arial" w:cs="Arial"/>
          <w:sz w:val="22"/>
          <w:szCs w:val="22"/>
        </w:rPr>
        <w:t xml:space="preserve"> relacionada con derechos en fideicomiso tales como: </w:t>
      </w:r>
      <w:proofErr w:type="spellStart"/>
      <w:r w:rsidR="00704639" w:rsidRPr="00580C7E">
        <w:rPr>
          <w:rFonts w:ascii="Arial" w:hAnsi="Arial" w:cs="Arial"/>
          <w:sz w:val="22"/>
          <w:szCs w:val="22"/>
        </w:rPr>
        <w:t>Fibratolima</w:t>
      </w:r>
      <w:proofErr w:type="spellEnd"/>
      <w:r w:rsidR="00704639" w:rsidRPr="00580C7E">
        <w:rPr>
          <w:rFonts w:ascii="Arial" w:hAnsi="Arial" w:cs="Arial"/>
          <w:sz w:val="22"/>
          <w:szCs w:val="22"/>
        </w:rPr>
        <w:t xml:space="preserve"> y Fiduprevisora.</w:t>
      </w:r>
    </w:p>
    <w:p w14:paraId="75ECA394" w14:textId="1628BC54"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rPr>
        <w:t xml:space="preserve">Información relacionada con </w:t>
      </w:r>
      <w:r w:rsidR="00BE4299" w:rsidRPr="00AD11B7">
        <w:rPr>
          <w:rFonts w:ascii="Arial" w:hAnsi="Arial" w:cs="Arial"/>
          <w:sz w:val="22"/>
          <w:szCs w:val="22"/>
        </w:rPr>
        <w:t xml:space="preserve">el registro y </w:t>
      </w:r>
      <w:r w:rsidRPr="00AD11B7">
        <w:rPr>
          <w:rFonts w:ascii="Arial" w:hAnsi="Arial" w:cs="Arial"/>
          <w:sz w:val="22"/>
          <w:szCs w:val="22"/>
        </w:rPr>
        <w:t xml:space="preserve">conciliación de </w:t>
      </w:r>
      <w:r w:rsidR="00BE4299" w:rsidRPr="00AD11B7">
        <w:rPr>
          <w:rFonts w:ascii="Arial" w:hAnsi="Arial" w:cs="Arial"/>
          <w:sz w:val="22"/>
          <w:szCs w:val="22"/>
        </w:rPr>
        <w:t xml:space="preserve">activos </w:t>
      </w:r>
      <w:r w:rsidRPr="00AD11B7">
        <w:rPr>
          <w:rFonts w:ascii="Arial" w:hAnsi="Arial" w:cs="Arial"/>
          <w:sz w:val="22"/>
          <w:szCs w:val="22"/>
        </w:rPr>
        <w:t>intangibles</w:t>
      </w:r>
      <w:r w:rsidR="00BE4299" w:rsidRPr="00AD11B7">
        <w:rPr>
          <w:rFonts w:ascii="Arial" w:hAnsi="Arial" w:cs="Arial"/>
          <w:sz w:val="22"/>
          <w:szCs w:val="22"/>
        </w:rPr>
        <w:t xml:space="preserve"> (licencias y software)</w:t>
      </w:r>
      <w:r w:rsidR="009F36C2">
        <w:rPr>
          <w:rFonts w:ascii="Arial" w:hAnsi="Arial" w:cs="Arial"/>
          <w:sz w:val="22"/>
          <w:szCs w:val="22"/>
        </w:rPr>
        <w:t>.</w:t>
      </w:r>
    </w:p>
    <w:p w14:paraId="124C5550" w14:textId="6C4D46B7" w:rsidR="0046335B" w:rsidRPr="00AD11B7" w:rsidRDefault="0046335B" w:rsidP="00CA76B9">
      <w:pPr>
        <w:numPr>
          <w:ilvl w:val="0"/>
          <w:numId w:val="4"/>
        </w:numPr>
        <w:spacing w:line="288" w:lineRule="auto"/>
        <w:ind w:left="284" w:hanging="284"/>
        <w:jc w:val="both"/>
        <w:rPr>
          <w:rFonts w:ascii="Arial" w:hAnsi="Arial" w:cs="Arial"/>
          <w:sz w:val="22"/>
          <w:szCs w:val="22"/>
        </w:rPr>
      </w:pPr>
      <w:r w:rsidRPr="00AD11B7">
        <w:rPr>
          <w:rFonts w:ascii="Arial" w:hAnsi="Arial" w:cs="Arial"/>
          <w:sz w:val="22"/>
          <w:szCs w:val="22"/>
          <w:lang w:eastAsia="es-CO"/>
        </w:rPr>
        <w:t xml:space="preserve">Información relacionada con embargos a cuentas de la </w:t>
      </w:r>
      <w:r w:rsidR="00931E5A">
        <w:rPr>
          <w:rFonts w:ascii="Arial" w:hAnsi="Arial" w:cs="Arial"/>
          <w:sz w:val="22"/>
          <w:szCs w:val="22"/>
          <w:lang w:eastAsia="es-CO"/>
        </w:rPr>
        <w:t>Dirección General de Crédito Público y del Tesoro Nacional (</w:t>
      </w:r>
      <w:r w:rsidRPr="00AD11B7">
        <w:rPr>
          <w:rFonts w:ascii="Arial" w:hAnsi="Arial" w:cs="Arial"/>
          <w:sz w:val="22"/>
          <w:szCs w:val="22"/>
          <w:lang w:eastAsia="es-CO"/>
        </w:rPr>
        <w:t>DGCPTN</w:t>
      </w:r>
      <w:r w:rsidR="00931E5A">
        <w:rPr>
          <w:rFonts w:ascii="Arial" w:hAnsi="Arial" w:cs="Arial"/>
          <w:sz w:val="22"/>
          <w:szCs w:val="22"/>
          <w:lang w:eastAsia="es-CO"/>
        </w:rPr>
        <w:t>)</w:t>
      </w:r>
      <w:r w:rsidR="009F36C2">
        <w:rPr>
          <w:rFonts w:ascii="Arial" w:hAnsi="Arial" w:cs="Arial"/>
          <w:sz w:val="22"/>
          <w:szCs w:val="22"/>
          <w:lang w:eastAsia="es-CO"/>
        </w:rPr>
        <w:t>.</w:t>
      </w:r>
    </w:p>
    <w:p w14:paraId="15718AF3" w14:textId="5FD5B057" w:rsidR="0046335B" w:rsidRPr="00AD11B7" w:rsidRDefault="000D059E" w:rsidP="00CA76B9">
      <w:pPr>
        <w:numPr>
          <w:ilvl w:val="0"/>
          <w:numId w:val="4"/>
        </w:numPr>
        <w:spacing w:line="288" w:lineRule="auto"/>
        <w:ind w:left="284" w:hanging="284"/>
        <w:jc w:val="both"/>
        <w:rPr>
          <w:rFonts w:ascii="Arial" w:hAnsi="Arial" w:cs="Arial"/>
          <w:sz w:val="22"/>
          <w:szCs w:val="22"/>
        </w:rPr>
      </w:pPr>
      <w:r>
        <w:rPr>
          <w:rFonts w:ascii="Arial" w:hAnsi="Arial" w:cs="Arial"/>
          <w:sz w:val="22"/>
          <w:szCs w:val="22"/>
        </w:rPr>
        <w:t>I</w:t>
      </w:r>
      <w:r w:rsidR="0046335B" w:rsidRPr="00AD11B7">
        <w:rPr>
          <w:rFonts w:ascii="Arial" w:hAnsi="Arial" w:cs="Arial"/>
          <w:sz w:val="22"/>
          <w:szCs w:val="22"/>
        </w:rPr>
        <w:t>nformación relacionada con las sanciones disciplinarias impuestas a funcionarios del MHCP</w:t>
      </w:r>
      <w:r w:rsidR="009F36C2">
        <w:rPr>
          <w:rFonts w:ascii="Arial" w:hAnsi="Arial" w:cs="Arial"/>
          <w:sz w:val="22"/>
          <w:szCs w:val="22"/>
        </w:rPr>
        <w:t>.</w:t>
      </w:r>
    </w:p>
    <w:p w14:paraId="3FEC3830" w14:textId="52474071" w:rsidR="0046335B" w:rsidRPr="00AD11B7" w:rsidRDefault="000D059E" w:rsidP="00CA76B9">
      <w:pPr>
        <w:numPr>
          <w:ilvl w:val="0"/>
          <w:numId w:val="4"/>
        </w:numPr>
        <w:spacing w:line="288" w:lineRule="auto"/>
        <w:ind w:left="284" w:hanging="284"/>
        <w:jc w:val="both"/>
        <w:rPr>
          <w:rFonts w:ascii="Arial" w:hAnsi="Arial" w:cs="Arial"/>
          <w:sz w:val="22"/>
          <w:szCs w:val="22"/>
        </w:rPr>
      </w:pPr>
      <w:r>
        <w:rPr>
          <w:rFonts w:ascii="Arial" w:hAnsi="Arial" w:cs="Arial"/>
          <w:sz w:val="22"/>
          <w:szCs w:val="22"/>
        </w:rPr>
        <w:t>Inf</w:t>
      </w:r>
      <w:r w:rsidR="0046335B" w:rsidRPr="00AD11B7">
        <w:rPr>
          <w:rFonts w:ascii="Arial" w:hAnsi="Arial" w:cs="Arial"/>
          <w:sz w:val="22"/>
          <w:szCs w:val="22"/>
        </w:rPr>
        <w:t>ormación relacionada con pagos de deuda pública realizados con bienes o acciones</w:t>
      </w:r>
      <w:r w:rsidR="009F36C2">
        <w:rPr>
          <w:rFonts w:ascii="Arial" w:hAnsi="Arial" w:cs="Arial"/>
          <w:sz w:val="22"/>
          <w:szCs w:val="22"/>
        </w:rPr>
        <w:t>.</w:t>
      </w:r>
    </w:p>
    <w:p w14:paraId="64344DD8" w14:textId="4497123A" w:rsidR="0046335B" w:rsidRPr="00AD11B7" w:rsidRDefault="000D059E" w:rsidP="00CA76B9">
      <w:pPr>
        <w:numPr>
          <w:ilvl w:val="0"/>
          <w:numId w:val="4"/>
        </w:numPr>
        <w:spacing w:line="288" w:lineRule="auto"/>
        <w:ind w:left="284" w:hanging="284"/>
        <w:jc w:val="both"/>
        <w:rPr>
          <w:rFonts w:ascii="Arial" w:hAnsi="Arial" w:cs="Arial"/>
          <w:sz w:val="22"/>
          <w:szCs w:val="22"/>
        </w:rPr>
      </w:pPr>
      <w:r>
        <w:rPr>
          <w:rFonts w:ascii="Arial" w:hAnsi="Arial" w:cs="Arial"/>
          <w:sz w:val="22"/>
          <w:szCs w:val="22"/>
        </w:rPr>
        <w:t>I</w:t>
      </w:r>
      <w:r w:rsidR="0046335B" w:rsidRPr="00AD11B7">
        <w:rPr>
          <w:rFonts w:ascii="Arial" w:hAnsi="Arial" w:cs="Arial"/>
          <w:sz w:val="22"/>
          <w:szCs w:val="22"/>
        </w:rPr>
        <w:t>nformación relacionada con la sobretasa a la gasolina asignada a la Nación</w:t>
      </w:r>
      <w:r w:rsidR="009F36C2">
        <w:rPr>
          <w:rFonts w:ascii="Arial" w:hAnsi="Arial" w:cs="Arial"/>
          <w:sz w:val="22"/>
          <w:szCs w:val="22"/>
        </w:rPr>
        <w:t>.</w:t>
      </w:r>
      <w:r w:rsidR="0046335B" w:rsidRPr="00AD11B7">
        <w:rPr>
          <w:rFonts w:ascii="Arial" w:hAnsi="Arial" w:cs="Arial"/>
          <w:sz w:val="22"/>
          <w:szCs w:val="22"/>
        </w:rPr>
        <w:t xml:space="preserve"> </w:t>
      </w:r>
    </w:p>
    <w:p w14:paraId="459B5174" w14:textId="2646B703" w:rsidR="0046335B" w:rsidRPr="00AD11B7" w:rsidRDefault="000D059E" w:rsidP="00CA76B9">
      <w:pPr>
        <w:numPr>
          <w:ilvl w:val="0"/>
          <w:numId w:val="4"/>
        </w:numPr>
        <w:spacing w:line="288" w:lineRule="auto"/>
        <w:ind w:left="284" w:hanging="284"/>
        <w:jc w:val="both"/>
        <w:rPr>
          <w:rFonts w:ascii="Arial" w:hAnsi="Arial" w:cs="Arial"/>
          <w:sz w:val="22"/>
          <w:szCs w:val="22"/>
        </w:rPr>
      </w:pPr>
      <w:r>
        <w:rPr>
          <w:rFonts w:ascii="Arial" w:hAnsi="Arial" w:cs="Arial"/>
          <w:sz w:val="22"/>
          <w:szCs w:val="22"/>
        </w:rPr>
        <w:t>i</w:t>
      </w:r>
      <w:r w:rsidR="0046335B" w:rsidRPr="00AD11B7">
        <w:rPr>
          <w:rFonts w:ascii="Arial" w:hAnsi="Arial" w:cs="Arial"/>
          <w:sz w:val="22"/>
          <w:szCs w:val="22"/>
        </w:rPr>
        <w:t>nformación relacionada con los Convenios de Concurrencia de la Nación al Sector Salud</w:t>
      </w:r>
      <w:r w:rsidR="009F36C2">
        <w:rPr>
          <w:rFonts w:ascii="Arial" w:hAnsi="Arial" w:cs="Arial"/>
          <w:sz w:val="22"/>
          <w:szCs w:val="22"/>
        </w:rPr>
        <w:t>.</w:t>
      </w:r>
      <w:r w:rsidR="0046335B" w:rsidRPr="00AD11B7">
        <w:rPr>
          <w:rFonts w:ascii="Arial" w:hAnsi="Arial" w:cs="Arial"/>
          <w:sz w:val="22"/>
          <w:szCs w:val="22"/>
        </w:rPr>
        <w:t xml:space="preserve"> </w:t>
      </w:r>
    </w:p>
    <w:p w14:paraId="72909DE3" w14:textId="77777777" w:rsidR="0046335B" w:rsidRPr="00AD11B7" w:rsidRDefault="0046335B" w:rsidP="00CA76B9">
      <w:pPr>
        <w:pStyle w:val="Prrafodelista"/>
        <w:spacing w:line="288" w:lineRule="auto"/>
        <w:ind w:left="0"/>
        <w:rPr>
          <w:rFonts w:ascii="Arial" w:hAnsi="Arial" w:cs="Arial"/>
          <w:sz w:val="22"/>
          <w:szCs w:val="22"/>
        </w:rPr>
      </w:pPr>
    </w:p>
    <w:p w14:paraId="310609FF" w14:textId="6DFCDDDD" w:rsidR="0046335B" w:rsidRPr="00AD11B7" w:rsidRDefault="0046335B" w:rsidP="00CA76B9">
      <w:pPr>
        <w:pStyle w:val="Prrafodelista"/>
        <w:spacing w:line="288" w:lineRule="auto"/>
        <w:ind w:left="0"/>
        <w:jc w:val="both"/>
        <w:rPr>
          <w:rFonts w:ascii="Arial" w:hAnsi="Arial" w:cs="Arial"/>
          <w:sz w:val="22"/>
          <w:szCs w:val="22"/>
        </w:rPr>
      </w:pPr>
      <w:r w:rsidRPr="00AD11B7">
        <w:rPr>
          <w:rFonts w:ascii="Arial" w:hAnsi="Arial" w:cs="Arial"/>
          <w:sz w:val="22"/>
          <w:szCs w:val="22"/>
        </w:rPr>
        <w:t xml:space="preserve">Lo anterior, sin perjuicio de las nuevas operaciones que sean susceptibles de reconocimiento, medición, presentación y revelación en los estados financieros del </w:t>
      </w:r>
      <w:r w:rsidR="000D059E">
        <w:rPr>
          <w:rFonts w:ascii="Arial" w:hAnsi="Arial" w:cs="Arial"/>
          <w:sz w:val="22"/>
          <w:szCs w:val="22"/>
        </w:rPr>
        <w:t>Ministerio de Hacienda y Crédito Público</w:t>
      </w:r>
      <w:r w:rsidR="00F3231A">
        <w:rPr>
          <w:rFonts w:ascii="Arial" w:hAnsi="Arial" w:cs="Arial"/>
          <w:sz w:val="22"/>
          <w:szCs w:val="22"/>
        </w:rPr>
        <w:t>.</w:t>
      </w:r>
    </w:p>
    <w:p w14:paraId="4FBA5147" w14:textId="77777777" w:rsidR="00025540" w:rsidRPr="00AD11B7" w:rsidRDefault="00025540" w:rsidP="00CA76B9">
      <w:pPr>
        <w:pStyle w:val="Prrafodelista"/>
        <w:spacing w:line="288" w:lineRule="auto"/>
        <w:ind w:left="0"/>
        <w:jc w:val="both"/>
        <w:rPr>
          <w:rFonts w:ascii="Arial" w:hAnsi="Arial" w:cs="Arial"/>
          <w:sz w:val="22"/>
          <w:szCs w:val="22"/>
        </w:rPr>
      </w:pPr>
    </w:p>
    <w:p w14:paraId="39CD023C" w14:textId="15F876F2" w:rsidR="006604D3" w:rsidRDefault="0046335B" w:rsidP="00CA76B9">
      <w:pPr>
        <w:pStyle w:val="Textoindependiente31"/>
        <w:widowControl/>
        <w:numPr>
          <w:ilvl w:val="2"/>
          <w:numId w:val="1"/>
        </w:numPr>
        <w:tabs>
          <w:tab w:val="left" w:pos="284"/>
        </w:tabs>
        <w:spacing w:line="288" w:lineRule="auto"/>
        <w:ind w:left="0" w:firstLine="0"/>
        <w:jc w:val="both"/>
        <w:rPr>
          <w:rFonts w:ascii="Arial" w:hAnsi="Arial" w:cs="Arial"/>
          <w:sz w:val="22"/>
          <w:szCs w:val="22"/>
        </w:rPr>
      </w:pPr>
      <w:r w:rsidRPr="00AD11B7">
        <w:rPr>
          <w:rFonts w:ascii="Arial" w:hAnsi="Arial" w:cs="Arial"/>
          <w:sz w:val="22"/>
          <w:szCs w:val="22"/>
        </w:rPr>
        <w:t xml:space="preserve">Como política de autocontrol, se ha establecido que el </w:t>
      </w:r>
      <w:r w:rsidR="00FA64EE">
        <w:rPr>
          <w:rFonts w:ascii="Arial" w:hAnsi="Arial" w:cs="Arial"/>
          <w:sz w:val="22"/>
          <w:szCs w:val="22"/>
        </w:rPr>
        <w:t xml:space="preserve">funcionario o contratista </w:t>
      </w:r>
      <w:r w:rsidRPr="00AD11B7">
        <w:rPr>
          <w:rFonts w:ascii="Arial" w:hAnsi="Arial" w:cs="Arial"/>
          <w:sz w:val="22"/>
          <w:szCs w:val="22"/>
        </w:rPr>
        <w:t xml:space="preserve">que elabore un comprobante contable manual en el SIIF, es también responsable de verificarlo y </w:t>
      </w:r>
      <w:r w:rsidRPr="006604D3">
        <w:rPr>
          <w:rFonts w:ascii="Arial" w:hAnsi="Arial" w:cs="Arial"/>
          <w:sz w:val="22"/>
          <w:szCs w:val="22"/>
        </w:rPr>
        <w:t xml:space="preserve">aprobarlo en el sistema. Por tal razón, con la aprobación del comprobante, el </w:t>
      </w:r>
      <w:r w:rsidR="00F3231A">
        <w:rPr>
          <w:rFonts w:ascii="Arial" w:hAnsi="Arial" w:cs="Arial"/>
          <w:sz w:val="22"/>
          <w:szCs w:val="22"/>
        </w:rPr>
        <w:t xml:space="preserve">funcionario o contratista </w:t>
      </w:r>
      <w:r w:rsidRPr="006604D3">
        <w:rPr>
          <w:rFonts w:ascii="Arial" w:hAnsi="Arial" w:cs="Arial"/>
          <w:sz w:val="22"/>
          <w:szCs w:val="22"/>
        </w:rPr>
        <w:t xml:space="preserve">del Grupo de Contabilidad </w:t>
      </w:r>
      <w:r w:rsidR="00D30F1E" w:rsidRPr="006604D3">
        <w:rPr>
          <w:rFonts w:ascii="Arial" w:hAnsi="Arial" w:cs="Arial"/>
          <w:sz w:val="22"/>
          <w:szCs w:val="22"/>
        </w:rPr>
        <w:t xml:space="preserve">reconoce </w:t>
      </w:r>
      <w:r w:rsidRPr="006604D3">
        <w:rPr>
          <w:rFonts w:ascii="Arial" w:hAnsi="Arial" w:cs="Arial"/>
          <w:sz w:val="22"/>
          <w:szCs w:val="22"/>
        </w:rPr>
        <w:t>que realizó la</w:t>
      </w:r>
      <w:r w:rsidR="00D30F1E" w:rsidRPr="006604D3">
        <w:rPr>
          <w:rFonts w:ascii="Arial" w:hAnsi="Arial" w:cs="Arial"/>
          <w:sz w:val="22"/>
          <w:szCs w:val="22"/>
        </w:rPr>
        <w:t xml:space="preserve"> gestión de </w:t>
      </w:r>
      <w:r w:rsidRPr="006604D3">
        <w:rPr>
          <w:rFonts w:ascii="Arial" w:hAnsi="Arial" w:cs="Arial"/>
          <w:sz w:val="22"/>
          <w:szCs w:val="22"/>
        </w:rPr>
        <w:t>autocontrol que</w:t>
      </w:r>
      <w:r w:rsidR="00D30F1E" w:rsidRPr="006604D3">
        <w:rPr>
          <w:rFonts w:ascii="Arial" w:hAnsi="Arial" w:cs="Arial"/>
          <w:sz w:val="22"/>
          <w:szCs w:val="22"/>
        </w:rPr>
        <w:t xml:space="preserve"> </w:t>
      </w:r>
      <w:r w:rsidR="006604D3" w:rsidRPr="006604D3">
        <w:rPr>
          <w:rFonts w:ascii="Arial" w:hAnsi="Arial" w:cs="Arial"/>
          <w:sz w:val="22"/>
          <w:szCs w:val="22"/>
        </w:rPr>
        <w:t xml:space="preserve">le </w:t>
      </w:r>
      <w:r w:rsidR="00D30F1E" w:rsidRPr="006604D3">
        <w:rPr>
          <w:rFonts w:ascii="Arial" w:hAnsi="Arial" w:cs="Arial"/>
          <w:sz w:val="22"/>
          <w:szCs w:val="22"/>
        </w:rPr>
        <w:t xml:space="preserve">brinda la </w:t>
      </w:r>
      <w:r w:rsidRPr="006604D3">
        <w:rPr>
          <w:rFonts w:ascii="Arial" w:hAnsi="Arial" w:cs="Arial"/>
          <w:sz w:val="22"/>
          <w:szCs w:val="22"/>
        </w:rPr>
        <w:t xml:space="preserve">seguridad </w:t>
      </w:r>
      <w:r w:rsidR="00760C47" w:rsidRPr="006604D3">
        <w:rPr>
          <w:rFonts w:ascii="Arial" w:hAnsi="Arial" w:cs="Arial"/>
          <w:sz w:val="22"/>
          <w:szCs w:val="22"/>
        </w:rPr>
        <w:t xml:space="preserve">suficiente </w:t>
      </w:r>
      <w:r w:rsidRPr="006604D3">
        <w:rPr>
          <w:rFonts w:ascii="Arial" w:hAnsi="Arial" w:cs="Arial"/>
          <w:sz w:val="22"/>
          <w:szCs w:val="22"/>
        </w:rPr>
        <w:t xml:space="preserve">para </w:t>
      </w:r>
      <w:r w:rsidR="00D30F1E" w:rsidRPr="006604D3">
        <w:rPr>
          <w:rFonts w:ascii="Arial" w:hAnsi="Arial" w:cs="Arial"/>
          <w:sz w:val="22"/>
          <w:szCs w:val="22"/>
        </w:rPr>
        <w:t>efectuar</w:t>
      </w:r>
      <w:r w:rsidRPr="006604D3">
        <w:rPr>
          <w:rFonts w:ascii="Arial" w:hAnsi="Arial" w:cs="Arial"/>
          <w:sz w:val="22"/>
          <w:szCs w:val="22"/>
        </w:rPr>
        <w:t xml:space="preserve"> dicha aprobación.</w:t>
      </w:r>
    </w:p>
    <w:p w14:paraId="08DB91CA" w14:textId="77777777" w:rsidR="006604D3" w:rsidRDefault="006604D3" w:rsidP="00CA76B9">
      <w:pPr>
        <w:pStyle w:val="Textoindependiente31"/>
        <w:widowControl/>
        <w:tabs>
          <w:tab w:val="left" w:pos="284"/>
        </w:tabs>
        <w:spacing w:line="288" w:lineRule="auto"/>
        <w:jc w:val="both"/>
        <w:rPr>
          <w:rFonts w:ascii="Arial" w:hAnsi="Arial" w:cs="Arial"/>
          <w:sz w:val="22"/>
          <w:szCs w:val="22"/>
        </w:rPr>
      </w:pPr>
    </w:p>
    <w:p w14:paraId="6A74ABA0" w14:textId="7AED2FC6" w:rsidR="0046335B" w:rsidRPr="00CE2459" w:rsidRDefault="0046335B" w:rsidP="00CA76B9">
      <w:pPr>
        <w:pStyle w:val="Textoindependiente31"/>
        <w:widowControl/>
        <w:numPr>
          <w:ilvl w:val="2"/>
          <w:numId w:val="1"/>
        </w:numPr>
        <w:tabs>
          <w:tab w:val="left" w:pos="284"/>
        </w:tabs>
        <w:spacing w:line="288" w:lineRule="auto"/>
        <w:ind w:left="0" w:firstLine="0"/>
        <w:jc w:val="both"/>
        <w:rPr>
          <w:rFonts w:ascii="Arial" w:hAnsi="Arial" w:cs="Arial"/>
          <w:sz w:val="22"/>
          <w:szCs w:val="22"/>
        </w:rPr>
      </w:pPr>
      <w:r w:rsidRPr="00CE2459">
        <w:rPr>
          <w:rFonts w:ascii="Arial" w:hAnsi="Arial" w:cs="Arial"/>
          <w:sz w:val="22"/>
          <w:szCs w:val="22"/>
        </w:rPr>
        <w:t xml:space="preserve">Realización de ajustes contables por diferencial cambiario: El ajuste por diferencial cambiario a los saldos de las cuentas de balance, representados en una moneda diferente al peso colombiano, se debe realizar </w:t>
      </w:r>
      <w:r w:rsidR="00E21050" w:rsidRPr="00CE2459">
        <w:rPr>
          <w:rFonts w:ascii="Arial" w:hAnsi="Arial" w:cs="Arial"/>
          <w:sz w:val="22"/>
          <w:szCs w:val="22"/>
        </w:rPr>
        <w:t>mensualmente</w:t>
      </w:r>
      <w:r w:rsidRPr="00CE2459">
        <w:rPr>
          <w:rFonts w:ascii="Arial" w:hAnsi="Arial" w:cs="Arial"/>
          <w:sz w:val="22"/>
          <w:szCs w:val="22"/>
        </w:rPr>
        <w:t xml:space="preserve"> a la TRM del último día del </w:t>
      </w:r>
      <w:r w:rsidR="005226C1">
        <w:rPr>
          <w:rFonts w:ascii="Arial" w:hAnsi="Arial" w:cs="Arial"/>
          <w:sz w:val="22"/>
          <w:szCs w:val="22"/>
        </w:rPr>
        <w:t xml:space="preserve">mes </w:t>
      </w:r>
      <w:r w:rsidRPr="00CE2459">
        <w:rPr>
          <w:rFonts w:ascii="Arial" w:hAnsi="Arial" w:cs="Arial"/>
          <w:sz w:val="22"/>
          <w:szCs w:val="22"/>
        </w:rPr>
        <w:t>que se está actualizando.</w:t>
      </w:r>
    </w:p>
    <w:p w14:paraId="18E910A3" w14:textId="77777777" w:rsidR="0046335B" w:rsidRPr="00CE2459" w:rsidRDefault="0046335B" w:rsidP="00CA76B9">
      <w:pPr>
        <w:pStyle w:val="Textoindependiente31"/>
        <w:widowControl/>
        <w:tabs>
          <w:tab w:val="left" w:pos="284"/>
        </w:tabs>
        <w:spacing w:line="288" w:lineRule="auto"/>
        <w:jc w:val="both"/>
        <w:rPr>
          <w:rFonts w:ascii="Arial" w:hAnsi="Arial" w:cs="Arial"/>
          <w:b/>
          <w:sz w:val="22"/>
          <w:szCs w:val="22"/>
        </w:rPr>
      </w:pPr>
    </w:p>
    <w:p w14:paraId="40300C31" w14:textId="42CF3496" w:rsidR="0046335B" w:rsidRPr="00AD11B7" w:rsidRDefault="0046335B" w:rsidP="00CA76B9">
      <w:pPr>
        <w:spacing w:line="288" w:lineRule="auto"/>
        <w:jc w:val="both"/>
        <w:rPr>
          <w:rFonts w:ascii="Arial" w:hAnsi="Arial" w:cs="Arial"/>
          <w:b/>
          <w:sz w:val="22"/>
          <w:szCs w:val="22"/>
        </w:rPr>
      </w:pPr>
      <w:r w:rsidRPr="00CE2459">
        <w:rPr>
          <w:rFonts w:ascii="Arial" w:hAnsi="Arial" w:cs="Arial"/>
          <w:sz w:val="22"/>
          <w:szCs w:val="22"/>
          <w:lang w:eastAsia="es-CO"/>
        </w:rPr>
        <w:t xml:space="preserve">El </w:t>
      </w:r>
      <w:r w:rsidR="00F3231A">
        <w:rPr>
          <w:rFonts w:ascii="Arial" w:hAnsi="Arial" w:cs="Arial"/>
          <w:sz w:val="22"/>
          <w:szCs w:val="22"/>
          <w:lang w:eastAsia="es-CO"/>
        </w:rPr>
        <w:t>funcionario o contratista</w:t>
      </w:r>
      <w:r w:rsidRPr="00CE2459">
        <w:rPr>
          <w:rFonts w:ascii="Arial" w:hAnsi="Arial" w:cs="Arial"/>
          <w:sz w:val="22"/>
          <w:szCs w:val="22"/>
          <w:lang w:eastAsia="es-CO"/>
        </w:rPr>
        <w:t xml:space="preserve"> encargado del registro de la información</w:t>
      </w:r>
      <w:r w:rsidR="00751BD6" w:rsidRPr="00CE2459">
        <w:rPr>
          <w:rFonts w:ascii="Arial" w:hAnsi="Arial" w:cs="Arial"/>
          <w:sz w:val="22"/>
          <w:szCs w:val="22"/>
          <w:lang w:eastAsia="es-CO"/>
        </w:rPr>
        <w:t>,</w:t>
      </w:r>
      <w:r w:rsidRPr="00CE2459">
        <w:rPr>
          <w:rFonts w:ascii="Arial" w:hAnsi="Arial" w:cs="Arial"/>
          <w:sz w:val="22"/>
          <w:szCs w:val="22"/>
          <w:lang w:eastAsia="es-CO"/>
        </w:rPr>
        <w:t xml:space="preserve"> se podrá apoyar en cuadros extracontables que</w:t>
      </w:r>
      <w:r w:rsidR="00751BD6" w:rsidRPr="00CE2459">
        <w:rPr>
          <w:rFonts w:ascii="Arial" w:hAnsi="Arial" w:cs="Arial"/>
          <w:sz w:val="22"/>
          <w:szCs w:val="22"/>
          <w:lang w:eastAsia="es-CO"/>
        </w:rPr>
        <w:t xml:space="preserve"> le permitan </w:t>
      </w:r>
      <w:r w:rsidRPr="00CE2459">
        <w:rPr>
          <w:rFonts w:ascii="Arial" w:hAnsi="Arial" w:cs="Arial"/>
          <w:sz w:val="22"/>
          <w:szCs w:val="22"/>
          <w:lang w:eastAsia="es-CO"/>
        </w:rPr>
        <w:t>llevar el control del valor de la operación en la moneda de origen, y su equivalencia en pesos colombianos.</w:t>
      </w:r>
    </w:p>
    <w:p w14:paraId="0E507883" w14:textId="77777777" w:rsidR="0046335B" w:rsidRPr="00AD11B7" w:rsidRDefault="0046335B" w:rsidP="00CA76B9">
      <w:pPr>
        <w:pStyle w:val="Textoindependiente31"/>
        <w:widowControl/>
        <w:tabs>
          <w:tab w:val="left" w:pos="284"/>
        </w:tabs>
        <w:spacing w:line="288" w:lineRule="auto"/>
        <w:jc w:val="both"/>
        <w:rPr>
          <w:rFonts w:ascii="Arial" w:hAnsi="Arial" w:cs="Arial"/>
          <w:sz w:val="22"/>
          <w:szCs w:val="22"/>
        </w:rPr>
      </w:pPr>
    </w:p>
    <w:p w14:paraId="402C02B8" w14:textId="776F20D5" w:rsidR="00751BD6" w:rsidRPr="00AD11B7" w:rsidRDefault="0046335B" w:rsidP="00CA76B9">
      <w:pPr>
        <w:pStyle w:val="Prrafodelista"/>
        <w:numPr>
          <w:ilvl w:val="2"/>
          <w:numId w:val="1"/>
        </w:numPr>
        <w:spacing w:line="288" w:lineRule="auto"/>
        <w:ind w:left="0" w:firstLine="0"/>
        <w:jc w:val="both"/>
        <w:rPr>
          <w:rFonts w:ascii="Arial" w:hAnsi="Arial" w:cs="Arial"/>
          <w:sz w:val="22"/>
          <w:szCs w:val="22"/>
        </w:rPr>
      </w:pPr>
      <w:r w:rsidRPr="00E21050">
        <w:rPr>
          <w:rFonts w:ascii="Arial" w:hAnsi="Arial" w:cs="Arial"/>
          <w:b/>
          <w:sz w:val="22"/>
          <w:szCs w:val="22"/>
        </w:rPr>
        <w:lastRenderedPageBreak/>
        <w:t>Cronograma contable:</w:t>
      </w:r>
      <w:r w:rsidRPr="00D71F0B">
        <w:rPr>
          <w:rFonts w:ascii="Arial" w:hAnsi="Arial" w:cs="Arial"/>
          <w:sz w:val="22"/>
          <w:szCs w:val="22"/>
        </w:rPr>
        <w:t xml:space="preserve"> Para</w:t>
      </w:r>
      <w:r w:rsidRPr="00AD11B7">
        <w:rPr>
          <w:rFonts w:ascii="Arial" w:hAnsi="Arial" w:cs="Arial"/>
          <w:sz w:val="22"/>
          <w:szCs w:val="22"/>
        </w:rPr>
        <w:t xml:space="preserve"> el registro y conciliación de información, se deben tener en cuenta los plazos fijados en el cronograma contable</w:t>
      </w:r>
      <w:r w:rsidR="00874AF0">
        <w:rPr>
          <w:rFonts w:ascii="Arial" w:hAnsi="Arial" w:cs="Arial"/>
          <w:sz w:val="22"/>
          <w:szCs w:val="22"/>
        </w:rPr>
        <w:t>, el cual es un instrumento que permite planear las fechas, responsables y actividades que se realizarán durante la vigencia, para obtener los informes financieros y contables mensuales y los estados financieros del MHCP .</w:t>
      </w:r>
    </w:p>
    <w:p w14:paraId="73713178" w14:textId="77777777" w:rsidR="00751BD6" w:rsidRPr="00AD11B7" w:rsidRDefault="00751BD6" w:rsidP="00CA76B9">
      <w:pPr>
        <w:pStyle w:val="Prrafodelista"/>
        <w:spacing w:line="288" w:lineRule="auto"/>
        <w:ind w:left="0"/>
        <w:jc w:val="both"/>
        <w:rPr>
          <w:rFonts w:ascii="Arial" w:hAnsi="Arial" w:cs="Arial"/>
          <w:sz w:val="22"/>
          <w:szCs w:val="22"/>
        </w:rPr>
      </w:pPr>
    </w:p>
    <w:p w14:paraId="5883C69F" w14:textId="77777777" w:rsidR="0046335B" w:rsidRPr="00AD11B7" w:rsidRDefault="00751BD6" w:rsidP="00CA76B9">
      <w:pPr>
        <w:pStyle w:val="Prrafodelista"/>
        <w:spacing w:line="288" w:lineRule="auto"/>
        <w:ind w:left="0"/>
        <w:jc w:val="both"/>
        <w:rPr>
          <w:rFonts w:ascii="Arial" w:hAnsi="Arial" w:cs="Arial"/>
          <w:sz w:val="22"/>
          <w:szCs w:val="22"/>
        </w:rPr>
      </w:pPr>
      <w:r w:rsidRPr="00AD11B7">
        <w:rPr>
          <w:rFonts w:ascii="Arial" w:hAnsi="Arial" w:cs="Arial"/>
          <w:sz w:val="22"/>
          <w:szCs w:val="22"/>
        </w:rPr>
        <w:t xml:space="preserve">A </w:t>
      </w:r>
      <w:proofErr w:type="gramStart"/>
      <w:r w:rsidRPr="00AD11B7">
        <w:rPr>
          <w:rFonts w:ascii="Arial" w:hAnsi="Arial" w:cs="Arial"/>
          <w:sz w:val="22"/>
          <w:szCs w:val="22"/>
        </w:rPr>
        <w:t>continuación</w:t>
      </w:r>
      <w:proofErr w:type="gramEnd"/>
      <w:r w:rsidRPr="00AD11B7">
        <w:rPr>
          <w:rFonts w:ascii="Arial" w:hAnsi="Arial" w:cs="Arial"/>
          <w:sz w:val="22"/>
          <w:szCs w:val="22"/>
        </w:rPr>
        <w:t xml:space="preserve"> se presentan </w:t>
      </w:r>
      <w:r w:rsidR="00AB7DF8" w:rsidRPr="00AD11B7">
        <w:rPr>
          <w:rFonts w:ascii="Arial" w:hAnsi="Arial" w:cs="Arial"/>
          <w:sz w:val="22"/>
          <w:szCs w:val="22"/>
        </w:rPr>
        <w:t>los criterios generales fijado</w:t>
      </w:r>
      <w:r w:rsidR="0046335B" w:rsidRPr="00AD11B7">
        <w:rPr>
          <w:rFonts w:ascii="Arial" w:hAnsi="Arial" w:cs="Arial"/>
          <w:sz w:val="22"/>
          <w:szCs w:val="22"/>
        </w:rPr>
        <w:t>s para la administración y control de dicho cronograma</w:t>
      </w:r>
      <w:r w:rsidRPr="00AD11B7">
        <w:rPr>
          <w:rFonts w:ascii="Arial" w:hAnsi="Arial" w:cs="Arial"/>
          <w:sz w:val="22"/>
          <w:szCs w:val="22"/>
        </w:rPr>
        <w:t>:</w:t>
      </w:r>
    </w:p>
    <w:p w14:paraId="5267AFAE" w14:textId="77777777" w:rsidR="0046335B" w:rsidRPr="00AD11B7" w:rsidRDefault="0046335B" w:rsidP="00CA76B9">
      <w:pPr>
        <w:pStyle w:val="Prrafodelista"/>
        <w:spacing w:line="288" w:lineRule="auto"/>
        <w:ind w:left="360"/>
        <w:rPr>
          <w:rFonts w:ascii="Arial" w:hAnsi="Arial" w:cs="Arial"/>
          <w:sz w:val="22"/>
          <w:szCs w:val="22"/>
        </w:rPr>
      </w:pPr>
    </w:p>
    <w:p w14:paraId="6ECB91F5" w14:textId="76B3DC57" w:rsidR="0046335B" w:rsidRDefault="0046335B" w:rsidP="00CA76B9">
      <w:pPr>
        <w:numPr>
          <w:ilvl w:val="0"/>
          <w:numId w:val="5"/>
        </w:numPr>
        <w:spacing w:line="288" w:lineRule="auto"/>
        <w:ind w:left="284" w:hanging="284"/>
        <w:jc w:val="both"/>
        <w:rPr>
          <w:rFonts w:ascii="Arial" w:hAnsi="Arial" w:cs="Arial"/>
          <w:sz w:val="22"/>
          <w:szCs w:val="22"/>
        </w:rPr>
      </w:pPr>
      <w:r w:rsidRPr="00E55D68">
        <w:rPr>
          <w:rFonts w:ascii="Arial" w:hAnsi="Arial" w:cs="Arial"/>
          <w:sz w:val="22"/>
          <w:szCs w:val="22"/>
        </w:rPr>
        <w:t xml:space="preserve">El cronograma del proceso contable se diseña al inicio de cada vigencia, teniendo en cuenta las actividades que se prevé realizar para la preparación y presentación de los </w:t>
      </w:r>
      <w:r w:rsidR="00E55D68" w:rsidRPr="00E55D68">
        <w:rPr>
          <w:rFonts w:ascii="Arial" w:hAnsi="Arial" w:cs="Arial"/>
          <w:sz w:val="22"/>
          <w:szCs w:val="22"/>
        </w:rPr>
        <w:t>informes financieros y contables</w:t>
      </w:r>
      <w:r w:rsidR="00874AF0">
        <w:rPr>
          <w:rFonts w:ascii="Arial" w:hAnsi="Arial" w:cs="Arial"/>
          <w:sz w:val="22"/>
          <w:szCs w:val="22"/>
        </w:rPr>
        <w:t xml:space="preserve"> mensuales</w:t>
      </w:r>
      <w:r w:rsidR="00E55D68" w:rsidRPr="00E55D68">
        <w:rPr>
          <w:rFonts w:ascii="Arial" w:hAnsi="Arial" w:cs="Arial"/>
          <w:sz w:val="22"/>
          <w:szCs w:val="22"/>
        </w:rPr>
        <w:t xml:space="preserve">, así como de los </w:t>
      </w:r>
      <w:r w:rsidRPr="00E55D68">
        <w:rPr>
          <w:rFonts w:ascii="Arial" w:hAnsi="Arial" w:cs="Arial"/>
          <w:sz w:val="22"/>
          <w:szCs w:val="22"/>
        </w:rPr>
        <w:t>estados financieros del Ministerio de Hacienda y Crédito Público durante el periodo respectivo</w:t>
      </w:r>
      <w:r w:rsidR="00E55D68" w:rsidRPr="00E55D68">
        <w:rPr>
          <w:rFonts w:ascii="Arial" w:hAnsi="Arial" w:cs="Arial"/>
          <w:sz w:val="22"/>
          <w:szCs w:val="22"/>
        </w:rPr>
        <w:t xml:space="preserve">. </w:t>
      </w:r>
    </w:p>
    <w:p w14:paraId="12AB457D" w14:textId="77777777" w:rsidR="00E55D68" w:rsidRPr="00E55D68" w:rsidRDefault="00E55D68" w:rsidP="00CA76B9">
      <w:pPr>
        <w:spacing w:line="288" w:lineRule="auto"/>
        <w:ind w:left="284" w:hanging="284"/>
        <w:jc w:val="both"/>
        <w:rPr>
          <w:rFonts w:ascii="Arial" w:hAnsi="Arial" w:cs="Arial"/>
          <w:sz w:val="22"/>
          <w:szCs w:val="22"/>
        </w:rPr>
      </w:pPr>
    </w:p>
    <w:p w14:paraId="4F958C06" w14:textId="77777777"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 xml:space="preserve">Para la elaboración del cronograma, adicional a las actividades programadas, se incorporan las fechas y responsables de las mismas, de acuerdo con los plazos establecidos para la recepción y registro de la información. </w:t>
      </w:r>
    </w:p>
    <w:p w14:paraId="3729A430" w14:textId="77777777" w:rsidR="0046335B" w:rsidRPr="00AD11B7" w:rsidRDefault="0046335B" w:rsidP="00CA76B9">
      <w:pPr>
        <w:spacing w:line="288" w:lineRule="auto"/>
        <w:ind w:left="284" w:hanging="284"/>
        <w:jc w:val="both"/>
        <w:rPr>
          <w:rFonts w:ascii="Arial" w:hAnsi="Arial" w:cs="Arial"/>
          <w:sz w:val="22"/>
          <w:szCs w:val="22"/>
        </w:rPr>
      </w:pPr>
    </w:p>
    <w:p w14:paraId="538C8F64" w14:textId="2009677B"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 xml:space="preserve">La planeación general de </w:t>
      </w:r>
      <w:r w:rsidR="0064332B">
        <w:rPr>
          <w:rFonts w:ascii="Arial" w:hAnsi="Arial" w:cs="Arial"/>
          <w:sz w:val="22"/>
          <w:szCs w:val="22"/>
        </w:rPr>
        <w:t xml:space="preserve">las </w:t>
      </w:r>
      <w:r w:rsidRPr="00AD11B7">
        <w:rPr>
          <w:rFonts w:ascii="Arial" w:hAnsi="Arial" w:cs="Arial"/>
          <w:sz w:val="22"/>
          <w:szCs w:val="22"/>
        </w:rPr>
        <w:t xml:space="preserve">actividades está supeditada a las fechas de cierre que establezcan la </w:t>
      </w:r>
      <w:r w:rsidR="00E55D68">
        <w:rPr>
          <w:rFonts w:ascii="Arial" w:hAnsi="Arial" w:cs="Arial"/>
          <w:sz w:val="22"/>
          <w:szCs w:val="22"/>
        </w:rPr>
        <w:t>Contaduría General de la Nación y</w:t>
      </w:r>
      <w:r w:rsidRPr="00AD11B7">
        <w:rPr>
          <w:rFonts w:ascii="Arial" w:hAnsi="Arial" w:cs="Arial"/>
          <w:sz w:val="22"/>
          <w:szCs w:val="22"/>
        </w:rPr>
        <w:t xml:space="preserve"> el Administrador del SIIF Nación, así como a las fechas </w:t>
      </w:r>
      <w:r w:rsidR="00DA5832">
        <w:rPr>
          <w:rFonts w:ascii="Arial" w:hAnsi="Arial" w:cs="Arial"/>
          <w:sz w:val="22"/>
          <w:szCs w:val="22"/>
        </w:rPr>
        <w:t xml:space="preserve">o plazos </w:t>
      </w:r>
      <w:r w:rsidRPr="00AD11B7">
        <w:rPr>
          <w:rFonts w:ascii="Arial" w:hAnsi="Arial" w:cs="Arial"/>
          <w:sz w:val="22"/>
          <w:szCs w:val="22"/>
        </w:rPr>
        <w:t xml:space="preserve">de presentación de información que señalen los organismos de control y demás usuarios. </w:t>
      </w:r>
    </w:p>
    <w:p w14:paraId="277E55CD" w14:textId="77777777" w:rsidR="0046335B" w:rsidRPr="00AD11B7" w:rsidRDefault="0046335B" w:rsidP="00CA76B9">
      <w:pPr>
        <w:spacing w:line="288" w:lineRule="auto"/>
        <w:ind w:left="284" w:hanging="284"/>
        <w:jc w:val="both"/>
        <w:rPr>
          <w:rFonts w:ascii="Arial" w:hAnsi="Arial" w:cs="Arial"/>
          <w:sz w:val="22"/>
          <w:szCs w:val="22"/>
        </w:rPr>
      </w:pPr>
    </w:p>
    <w:p w14:paraId="34AE6500" w14:textId="44FA66E6"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Una de las herramientas para la administración del cronograma, es el módulo de planes del Sistema de Monitoreo de Gestión Integral (SMGI). Con la implementación del cronograma en el SMGI, se propende porque las personas que intervienen en el proceso desarrollen sus funciones dentro de los términos establecidos</w:t>
      </w:r>
      <w:r w:rsidR="00476B3B">
        <w:rPr>
          <w:rFonts w:ascii="Arial" w:hAnsi="Arial" w:cs="Arial"/>
          <w:sz w:val="22"/>
          <w:szCs w:val="22"/>
        </w:rPr>
        <w:t xml:space="preserve"> con el apoyo de una herramienta automatizada</w:t>
      </w:r>
      <w:r w:rsidRPr="00AD11B7">
        <w:rPr>
          <w:rFonts w:ascii="Arial" w:hAnsi="Arial" w:cs="Arial"/>
          <w:sz w:val="22"/>
          <w:szCs w:val="22"/>
        </w:rPr>
        <w:t>, lo cual incide directamente en la presentación oportuna de los estados financieros del MHCP ante las diferentes instancias. Asimismo, el uso de este sistema permite adelantar un monitoreo en tiempo real de las actividades</w:t>
      </w:r>
      <w:r w:rsidR="00D71F0B">
        <w:rPr>
          <w:rFonts w:ascii="Arial" w:hAnsi="Arial" w:cs="Arial"/>
          <w:sz w:val="22"/>
          <w:szCs w:val="22"/>
        </w:rPr>
        <w:t xml:space="preserve"> </w:t>
      </w:r>
      <w:r w:rsidRPr="00AD11B7">
        <w:rPr>
          <w:rFonts w:ascii="Arial" w:hAnsi="Arial" w:cs="Arial"/>
          <w:sz w:val="22"/>
          <w:szCs w:val="22"/>
        </w:rPr>
        <w:t xml:space="preserve">y fomentar el autocontrol. </w:t>
      </w:r>
    </w:p>
    <w:p w14:paraId="21658E70" w14:textId="77777777" w:rsidR="0046335B" w:rsidRPr="00AD11B7" w:rsidRDefault="0046335B" w:rsidP="00CA76B9">
      <w:pPr>
        <w:pStyle w:val="Prrafodelista"/>
        <w:spacing w:line="288" w:lineRule="auto"/>
        <w:ind w:left="284" w:hanging="284"/>
        <w:rPr>
          <w:rFonts w:ascii="Arial" w:hAnsi="Arial" w:cs="Arial"/>
          <w:sz w:val="22"/>
          <w:szCs w:val="22"/>
        </w:rPr>
      </w:pPr>
    </w:p>
    <w:p w14:paraId="50162592" w14:textId="77777777" w:rsidR="0046335B" w:rsidRPr="00AD11B7" w:rsidRDefault="0046335B" w:rsidP="00CA76B9">
      <w:pPr>
        <w:spacing w:line="288" w:lineRule="auto"/>
        <w:ind w:left="284"/>
        <w:jc w:val="both"/>
        <w:rPr>
          <w:rFonts w:ascii="Arial" w:hAnsi="Arial" w:cs="Arial"/>
          <w:sz w:val="22"/>
          <w:szCs w:val="22"/>
        </w:rPr>
      </w:pPr>
      <w:r w:rsidRPr="00AD11B7">
        <w:rPr>
          <w:rFonts w:ascii="Arial" w:hAnsi="Arial" w:cs="Arial"/>
          <w:sz w:val="22"/>
          <w:szCs w:val="22"/>
        </w:rPr>
        <w:t xml:space="preserve">Lo anterior no obsta para que, cuando se considere pertinente, se lleve a cabo la administración del cronograma en una herramienta diferente.  </w:t>
      </w:r>
    </w:p>
    <w:p w14:paraId="7CAC256E" w14:textId="77777777" w:rsidR="0046335B" w:rsidRPr="00AD11B7" w:rsidRDefault="0046335B" w:rsidP="00CA76B9">
      <w:pPr>
        <w:pStyle w:val="Prrafodelista"/>
        <w:spacing w:line="288" w:lineRule="auto"/>
        <w:ind w:left="284" w:hanging="284"/>
        <w:rPr>
          <w:rFonts w:ascii="Arial" w:hAnsi="Arial" w:cs="Arial"/>
          <w:sz w:val="22"/>
          <w:szCs w:val="22"/>
        </w:rPr>
      </w:pPr>
    </w:p>
    <w:p w14:paraId="7324F388" w14:textId="11CAAF44"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 xml:space="preserve">Los responsables del diseño, divulgación, actualización y seguimiento del cronograma son los </w:t>
      </w:r>
      <w:r w:rsidR="00F3231A">
        <w:rPr>
          <w:rFonts w:ascii="Arial" w:hAnsi="Arial" w:cs="Arial"/>
          <w:sz w:val="22"/>
          <w:szCs w:val="22"/>
        </w:rPr>
        <w:t xml:space="preserve">funcionarios o contratistas </w:t>
      </w:r>
      <w:r w:rsidRPr="00AD11B7">
        <w:rPr>
          <w:rFonts w:ascii="Arial" w:hAnsi="Arial" w:cs="Arial"/>
          <w:sz w:val="22"/>
          <w:szCs w:val="22"/>
        </w:rPr>
        <w:t xml:space="preserve"> </w:t>
      </w:r>
      <w:r w:rsidR="00D0102D" w:rsidRPr="00AD11B7">
        <w:rPr>
          <w:rFonts w:ascii="Arial" w:hAnsi="Arial" w:cs="Arial"/>
          <w:sz w:val="22"/>
          <w:szCs w:val="22"/>
        </w:rPr>
        <w:t xml:space="preserve">del Grupo de Contabilidad y su </w:t>
      </w:r>
      <w:r w:rsidRPr="00AD11B7">
        <w:rPr>
          <w:rFonts w:ascii="Arial" w:hAnsi="Arial" w:cs="Arial"/>
          <w:sz w:val="22"/>
          <w:szCs w:val="22"/>
        </w:rPr>
        <w:t xml:space="preserve">Coordinador. </w:t>
      </w:r>
    </w:p>
    <w:p w14:paraId="6B9F8AEF" w14:textId="77777777" w:rsidR="0046335B" w:rsidRPr="00AD11B7" w:rsidRDefault="0046335B" w:rsidP="00CA76B9">
      <w:pPr>
        <w:spacing w:line="288" w:lineRule="auto"/>
        <w:ind w:left="284" w:hanging="284"/>
        <w:jc w:val="both"/>
        <w:rPr>
          <w:rFonts w:ascii="Arial" w:hAnsi="Arial" w:cs="Arial"/>
          <w:sz w:val="22"/>
          <w:szCs w:val="22"/>
        </w:rPr>
      </w:pPr>
    </w:p>
    <w:p w14:paraId="62A1EDA1" w14:textId="6856E2FB"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 xml:space="preserve">Una vez elaborado el cronograma contable, este debe ser difundido a las partes que participan en el proceso contable </w:t>
      </w:r>
      <w:r w:rsidR="00D0102D" w:rsidRPr="00AD11B7">
        <w:rPr>
          <w:rFonts w:ascii="Arial" w:hAnsi="Arial" w:cs="Arial"/>
          <w:sz w:val="22"/>
          <w:szCs w:val="22"/>
        </w:rPr>
        <w:t xml:space="preserve">para </w:t>
      </w:r>
      <w:r w:rsidRPr="00AD11B7">
        <w:rPr>
          <w:rFonts w:ascii="Arial" w:hAnsi="Arial" w:cs="Arial"/>
          <w:sz w:val="22"/>
          <w:szCs w:val="22"/>
        </w:rPr>
        <w:t>su socialización</w:t>
      </w:r>
      <w:r w:rsidR="00D0102D" w:rsidRPr="00AD11B7">
        <w:rPr>
          <w:rFonts w:ascii="Arial" w:hAnsi="Arial" w:cs="Arial"/>
          <w:sz w:val="22"/>
          <w:szCs w:val="22"/>
        </w:rPr>
        <w:t xml:space="preserve"> </w:t>
      </w:r>
      <w:r w:rsidRPr="00AD11B7">
        <w:rPr>
          <w:rFonts w:ascii="Arial" w:hAnsi="Arial" w:cs="Arial"/>
          <w:sz w:val="22"/>
          <w:szCs w:val="22"/>
        </w:rPr>
        <w:t xml:space="preserve">y ajuste, si es del caso. </w:t>
      </w:r>
    </w:p>
    <w:p w14:paraId="79262E99" w14:textId="77777777" w:rsidR="0046335B" w:rsidRPr="00AD11B7" w:rsidRDefault="0046335B" w:rsidP="00CA76B9">
      <w:pPr>
        <w:spacing w:line="288" w:lineRule="auto"/>
        <w:ind w:left="284" w:hanging="284"/>
        <w:rPr>
          <w:rFonts w:ascii="Arial" w:hAnsi="Arial" w:cs="Arial"/>
          <w:sz w:val="22"/>
          <w:szCs w:val="22"/>
        </w:rPr>
      </w:pPr>
    </w:p>
    <w:p w14:paraId="48D6A01D" w14:textId="77777777" w:rsidR="0046335B" w:rsidRPr="00AD11B7" w:rsidRDefault="0046335B" w:rsidP="00CA76B9">
      <w:pPr>
        <w:numPr>
          <w:ilvl w:val="0"/>
          <w:numId w:val="5"/>
        </w:numPr>
        <w:spacing w:line="288" w:lineRule="auto"/>
        <w:ind w:left="284" w:hanging="284"/>
        <w:jc w:val="both"/>
        <w:rPr>
          <w:rFonts w:ascii="Arial" w:hAnsi="Arial" w:cs="Arial"/>
          <w:sz w:val="22"/>
          <w:szCs w:val="22"/>
        </w:rPr>
      </w:pPr>
      <w:r w:rsidRPr="00AD11B7">
        <w:rPr>
          <w:rFonts w:ascii="Arial" w:hAnsi="Arial" w:cs="Arial"/>
          <w:sz w:val="22"/>
          <w:szCs w:val="22"/>
        </w:rPr>
        <w:t xml:space="preserve">A </w:t>
      </w:r>
      <w:proofErr w:type="gramStart"/>
      <w:r w:rsidRPr="00AD11B7">
        <w:rPr>
          <w:rFonts w:ascii="Arial" w:hAnsi="Arial" w:cs="Arial"/>
          <w:sz w:val="22"/>
          <w:szCs w:val="22"/>
        </w:rPr>
        <w:t>continuación</w:t>
      </w:r>
      <w:proofErr w:type="gramEnd"/>
      <w:r w:rsidRPr="00AD11B7">
        <w:rPr>
          <w:rFonts w:ascii="Arial" w:hAnsi="Arial" w:cs="Arial"/>
          <w:sz w:val="22"/>
          <w:szCs w:val="22"/>
        </w:rPr>
        <w:t xml:space="preserve"> se presentan algunas actividades del proceso contable, y los tiempos fijados para la realización de las mismas: </w:t>
      </w:r>
    </w:p>
    <w:p w14:paraId="6CC94E2D" w14:textId="77777777" w:rsidR="0046335B" w:rsidRDefault="0046335B" w:rsidP="00A606C2">
      <w:pPr>
        <w:rPr>
          <w:rFonts w:ascii="Arial" w:hAnsi="Arial" w:cs="Arial"/>
          <w:sz w:val="22"/>
          <w:szCs w:val="22"/>
        </w:rPr>
      </w:pPr>
    </w:p>
    <w:tbl>
      <w:tblPr>
        <w:tblW w:w="9082" w:type="dxa"/>
        <w:tblInd w:w="60" w:type="dxa"/>
        <w:tblBorders>
          <w:top w:val="single" w:sz="12" w:space="0" w:color="3366CC"/>
          <w:left w:val="single" w:sz="12" w:space="0" w:color="3366CC"/>
          <w:bottom w:val="single" w:sz="12" w:space="0" w:color="3366CC"/>
          <w:insideH w:val="single" w:sz="12" w:space="0" w:color="3366CC"/>
        </w:tblBorders>
        <w:shd w:val="clear" w:color="auto" w:fill="3366CC"/>
        <w:tblCellMar>
          <w:left w:w="70" w:type="dxa"/>
          <w:right w:w="70" w:type="dxa"/>
        </w:tblCellMar>
        <w:tblLook w:val="04A0" w:firstRow="1" w:lastRow="0" w:firstColumn="1" w:lastColumn="0" w:noHBand="0" w:noVBand="1"/>
      </w:tblPr>
      <w:tblGrid>
        <w:gridCol w:w="9082"/>
      </w:tblGrid>
      <w:tr w:rsidR="00925EC4" w:rsidRPr="003A4C7B" w14:paraId="17EFF086" w14:textId="77777777" w:rsidTr="00100505">
        <w:trPr>
          <w:trHeight w:val="315"/>
        </w:trPr>
        <w:tc>
          <w:tcPr>
            <w:tcW w:w="9082" w:type="dxa"/>
            <w:shd w:val="clear" w:color="auto" w:fill="3366CC"/>
            <w:vAlign w:val="center"/>
            <w:hideMark/>
          </w:tcPr>
          <w:p w14:paraId="01C905CB" w14:textId="77777777" w:rsidR="00925EC4" w:rsidRPr="003A4C7B" w:rsidRDefault="00925EC4" w:rsidP="0028567D">
            <w:pPr>
              <w:jc w:val="center"/>
              <w:rPr>
                <w:rFonts w:ascii="Arial" w:hAnsi="Arial" w:cs="Arial"/>
                <w:b/>
                <w:bCs/>
                <w:color w:val="FFFFFF"/>
                <w:sz w:val="18"/>
                <w:szCs w:val="18"/>
                <w:lang w:eastAsia="es-CO"/>
              </w:rPr>
            </w:pPr>
            <w:bookmarkStart w:id="269" w:name="_Hlk58957885"/>
            <w:r w:rsidRPr="003A4C7B">
              <w:rPr>
                <w:rFonts w:ascii="Arial" w:hAnsi="Arial" w:cs="Arial"/>
                <w:b/>
                <w:bCs/>
                <w:color w:val="FFFFFF"/>
                <w:sz w:val="18"/>
                <w:szCs w:val="18"/>
                <w:lang w:eastAsia="es-CO"/>
              </w:rPr>
              <w:t>PLAZOS PARA LA REALIZACIÓN DE ACTIVIDADES</w:t>
            </w:r>
          </w:p>
        </w:tc>
      </w:tr>
      <w:tr w:rsidR="00925EC4" w:rsidRPr="003A4C7B" w14:paraId="5632FD31" w14:textId="77777777" w:rsidTr="00100505">
        <w:trPr>
          <w:trHeight w:val="300"/>
        </w:trPr>
        <w:tc>
          <w:tcPr>
            <w:tcW w:w="9082" w:type="dxa"/>
            <w:shd w:val="clear" w:color="auto" w:fill="3366CC"/>
            <w:vAlign w:val="center"/>
          </w:tcPr>
          <w:p w14:paraId="6AEB0BDD" w14:textId="77777777" w:rsidR="00925EC4" w:rsidRPr="003A4C7B" w:rsidRDefault="00925EC4" w:rsidP="0028567D">
            <w:pPr>
              <w:jc w:val="center"/>
              <w:rPr>
                <w:rFonts w:ascii="Arial" w:hAnsi="Arial" w:cs="Arial"/>
                <w:b/>
                <w:bCs/>
                <w:color w:val="FFFFFF"/>
                <w:sz w:val="18"/>
                <w:szCs w:val="18"/>
                <w:lang w:eastAsia="es-CO"/>
              </w:rPr>
            </w:pPr>
            <w:r w:rsidRPr="00B71716">
              <w:rPr>
                <w:rFonts w:ascii="Arial" w:hAnsi="Arial" w:cs="Arial"/>
                <w:b/>
                <w:color w:val="FFFFFF"/>
                <w:sz w:val="18"/>
                <w:szCs w:val="18"/>
                <w:lang w:eastAsia="es-CO"/>
              </w:rPr>
              <w:t>RECEPCIÓN DE INFORMACIÓN</w:t>
            </w:r>
          </w:p>
        </w:tc>
      </w:tr>
    </w:tbl>
    <w:p w14:paraId="7D282DD1" w14:textId="77777777" w:rsidR="00925EC4" w:rsidRDefault="00925EC4" w:rsidP="00925EC4">
      <w:pPr>
        <w:spacing w:line="120" w:lineRule="auto"/>
        <w:rPr>
          <w:rFonts w:ascii="Arial" w:hAnsi="Arial" w:cs="Arial"/>
          <w:sz w:val="22"/>
          <w:szCs w:val="22"/>
        </w:rPr>
      </w:pPr>
    </w:p>
    <w:tbl>
      <w:tblPr>
        <w:tblW w:w="9082" w:type="dxa"/>
        <w:tblInd w:w="60" w:type="dxa"/>
        <w:tblBorders>
          <w:top w:val="single" w:sz="12" w:space="0" w:color="3366CC"/>
          <w:left w:val="single" w:sz="12" w:space="0" w:color="3366CC"/>
          <w:bottom w:val="single" w:sz="12" w:space="0" w:color="3366CC"/>
          <w:right w:val="single" w:sz="12" w:space="0" w:color="3366CC"/>
          <w:insideH w:val="single" w:sz="2" w:space="0" w:color="3366CC"/>
          <w:insideV w:val="single" w:sz="2" w:space="0" w:color="3366CC"/>
        </w:tblBorders>
        <w:shd w:val="clear" w:color="auto" w:fill="FFFFFF"/>
        <w:tblCellMar>
          <w:left w:w="70" w:type="dxa"/>
          <w:right w:w="70" w:type="dxa"/>
        </w:tblCellMar>
        <w:tblLook w:val="04A0" w:firstRow="1" w:lastRow="0" w:firstColumn="1" w:lastColumn="0" w:noHBand="0" w:noVBand="1"/>
      </w:tblPr>
      <w:tblGrid>
        <w:gridCol w:w="4745"/>
        <w:gridCol w:w="2565"/>
        <w:gridCol w:w="1772"/>
      </w:tblGrid>
      <w:tr w:rsidR="0046335B" w:rsidRPr="00B71716" w14:paraId="0E47D475" w14:textId="77777777" w:rsidTr="00DB31BB">
        <w:trPr>
          <w:trHeight w:val="300"/>
          <w:tblHeader/>
        </w:trPr>
        <w:tc>
          <w:tcPr>
            <w:tcW w:w="4745" w:type="dxa"/>
            <w:shd w:val="clear" w:color="auto" w:fill="3366CC"/>
            <w:hideMark/>
          </w:tcPr>
          <w:p w14:paraId="0972B625" w14:textId="77777777" w:rsidR="0046335B" w:rsidRPr="00183EC9" w:rsidRDefault="0046335B" w:rsidP="00A606C2">
            <w:pPr>
              <w:jc w:val="center"/>
              <w:rPr>
                <w:rFonts w:ascii="Arial" w:hAnsi="Arial" w:cs="Arial"/>
                <w:b/>
                <w:bCs/>
                <w:color w:val="FFFFFF"/>
                <w:sz w:val="18"/>
                <w:szCs w:val="18"/>
                <w:lang w:eastAsia="es-CO"/>
              </w:rPr>
            </w:pPr>
            <w:r w:rsidRPr="00183EC9">
              <w:rPr>
                <w:rFonts w:ascii="Arial" w:hAnsi="Arial" w:cs="Arial"/>
                <w:b/>
                <w:bCs/>
                <w:color w:val="FFFFFF"/>
                <w:sz w:val="18"/>
                <w:szCs w:val="18"/>
                <w:lang w:eastAsia="es-CO"/>
              </w:rPr>
              <w:t>ACTIVIDAD</w:t>
            </w:r>
          </w:p>
        </w:tc>
        <w:tc>
          <w:tcPr>
            <w:tcW w:w="4337" w:type="dxa"/>
            <w:gridSpan w:val="2"/>
            <w:shd w:val="clear" w:color="auto" w:fill="3366CC"/>
            <w:hideMark/>
          </w:tcPr>
          <w:p w14:paraId="10C26FCD" w14:textId="77777777" w:rsidR="0046335B" w:rsidRPr="006A674B" w:rsidRDefault="0046335B" w:rsidP="00A606C2">
            <w:pPr>
              <w:jc w:val="center"/>
              <w:rPr>
                <w:rFonts w:ascii="Arial" w:hAnsi="Arial" w:cs="Arial"/>
                <w:b/>
                <w:bCs/>
                <w:color w:val="FFFFFF"/>
                <w:sz w:val="18"/>
                <w:szCs w:val="18"/>
                <w:lang w:eastAsia="es-CO"/>
              </w:rPr>
            </w:pPr>
            <w:r w:rsidRPr="006A674B">
              <w:rPr>
                <w:rFonts w:ascii="Arial" w:hAnsi="Arial" w:cs="Arial"/>
                <w:b/>
                <w:bCs/>
                <w:color w:val="FFFFFF"/>
                <w:sz w:val="18"/>
                <w:szCs w:val="18"/>
                <w:lang w:eastAsia="es-CO"/>
              </w:rPr>
              <w:t>TIEMPO LÍMITE</w:t>
            </w:r>
          </w:p>
        </w:tc>
      </w:tr>
      <w:tr w:rsidR="0046335B" w:rsidRPr="00B71716" w14:paraId="2398B88B" w14:textId="77777777" w:rsidTr="00DB31BB">
        <w:trPr>
          <w:trHeight w:val="477"/>
        </w:trPr>
        <w:tc>
          <w:tcPr>
            <w:tcW w:w="4745" w:type="dxa"/>
            <w:shd w:val="clear" w:color="auto" w:fill="FFFFFF"/>
            <w:hideMark/>
          </w:tcPr>
          <w:p w14:paraId="74AE3CD4" w14:textId="5066DA7A" w:rsidR="0046335B" w:rsidRPr="00E554A9" w:rsidRDefault="00200ACB" w:rsidP="00200ACB">
            <w:pPr>
              <w:jc w:val="both"/>
              <w:rPr>
                <w:rFonts w:ascii="Arial" w:hAnsi="Arial" w:cs="Arial"/>
                <w:sz w:val="18"/>
                <w:szCs w:val="18"/>
                <w:lang w:eastAsia="es-CO"/>
              </w:rPr>
            </w:pPr>
            <w:r w:rsidRPr="00E554A9">
              <w:rPr>
                <w:rFonts w:ascii="Arial" w:hAnsi="Arial" w:cs="Arial"/>
                <w:sz w:val="18"/>
                <w:szCs w:val="18"/>
                <w:lang w:eastAsia="es-CO"/>
              </w:rPr>
              <w:t xml:space="preserve">Generar desde el aplicativo de activos fijos </w:t>
            </w:r>
            <w:r w:rsidR="0046335B" w:rsidRPr="00E554A9">
              <w:rPr>
                <w:rFonts w:ascii="Arial" w:hAnsi="Arial" w:cs="Arial"/>
                <w:sz w:val="18"/>
                <w:szCs w:val="18"/>
                <w:lang w:eastAsia="es-CO"/>
              </w:rPr>
              <w:t xml:space="preserve">de la Subdirección de Servicios, la información relacionada con los movimientos de </w:t>
            </w:r>
            <w:r w:rsidR="00766432" w:rsidRPr="00E554A9">
              <w:rPr>
                <w:rFonts w:ascii="Arial" w:hAnsi="Arial" w:cs="Arial"/>
                <w:sz w:val="18"/>
                <w:szCs w:val="18"/>
                <w:lang w:eastAsia="es-CO"/>
              </w:rPr>
              <w:t>los bienes del Ministerio de Hacienda y Crédito Público</w:t>
            </w:r>
          </w:p>
        </w:tc>
        <w:tc>
          <w:tcPr>
            <w:tcW w:w="4337" w:type="dxa"/>
            <w:gridSpan w:val="2"/>
            <w:shd w:val="clear" w:color="auto" w:fill="FFFFFF"/>
            <w:hideMark/>
          </w:tcPr>
          <w:p w14:paraId="5B609749" w14:textId="77777777" w:rsidR="0046335B" w:rsidRPr="00E554A9" w:rsidRDefault="0046335B" w:rsidP="00C33ED9">
            <w:pPr>
              <w:jc w:val="both"/>
              <w:rPr>
                <w:rFonts w:ascii="Arial" w:hAnsi="Arial" w:cs="Arial"/>
                <w:sz w:val="18"/>
                <w:szCs w:val="18"/>
                <w:lang w:eastAsia="es-CO"/>
              </w:rPr>
            </w:pPr>
            <w:r w:rsidRPr="00E554A9">
              <w:rPr>
                <w:rFonts w:ascii="Arial" w:hAnsi="Arial" w:cs="Arial"/>
                <w:b/>
                <w:sz w:val="18"/>
                <w:szCs w:val="18"/>
                <w:lang w:eastAsia="es-CO"/>
              </w:rPr>
              <w:t xml:space="preserve">Mensual: </w:t>
            </w:r>
            <w:r w:rsidRPr="00E554A9">
              <w:rPr>
                <w:rFonts w:ascii="Arial" w:hAnsi="Arial" w:cs="Arial"/>
                <w:sz w:val="18"/>
                <w:szCs w:val="18"/>
                <w:lang w:eastAsia="es-CO"/>
              </w:rPr>
              <w:t>La información puede ser consultada todos los días hábiles del mes, por medio de interfaz</w:t>
            </w:r>
            <w:r w:rsidR="00C33ED9" w:rsidRPr="00E554A9">
              <w:rPr>
                <w:rFonts w:ascii="Arial" w:hAnsi="Arial" w:cs="Arial"/>
                <w:sz w:val="18"/>
                <w:szCs w:val="18"/>
                <w:lang w:eastAsia="es-CO"/>
              </w:rPr>
              <w:t xml:space="preserve">. Sin embargo, dados los cierres contables, se debe garantizar contar con la información entre el primer día hábil del mes siguiente al que corresponde la información y tres (3) días antes del cierre contable </w:t>
            </w:r>
          </w:p>
        </w:tc>
      </w:tr>
      <w:tr w:rsidR="0046335B" w:rsidRPr="00B71716" w14:paraId="307C8A4E" w14:textId="77777777" w:rsidTr="00DB31BB">
        <w:trPr>
          <w:trHeight w:val="651"/>
        </w:trPr>
        <w:tc>
          <w:tcPr>
            <w:tcW w:w="4745" w:type="dxa"/>
            <w:shd w:val="clear" w:color="auto" w:fill="FFFFFF"/>
            <w:hideMark/>
          </w:tcPr>
          <w:p w14:paraId="34EC6AFD" w14:textId="77777777" w:rsidR="0046335B" w:rsidRPr="006A674B" w:rsidRDefault="0046335B" w:rsidP="00580C7E">
            <w:pPr>
              <w:jc w:val="both"/>
              <w:rPr>
                <w:rFonts w:ascii="Arial" w:hAnsi="Arial" w:cs="Arial"/>
                <w:sz w:val="18"/>
                <w:szCs w:val="18"/>
                <w:lang w:eastAsia="es-CO"/>
              </w:rPr>
            </w:pPr>
            <w:r w:rsidRPr="006A674B">
              <w:rPr>
                <w:rFonts w:ascii="Arial" w:hAnsi="Arial" w:cs="Arial"/>
                <w:sz w:val="18"/>
                <w:szCs w:val="18"/>
                <w:lang w:eastAsia="es-CO"/>
              </w:rPr>
              <w:t>Recepción de la oficina de bonos pensionales, de los informes que dan cuenta de las operaciones relacionadas con las cuotas partes de bonos pensionales liquidados provisionalmente y de los emitidos.</w:t>
            </w:r>
          </w:p>
        </w:tc>
        <w:tc>
          <w:tcPr>
            <w:tcW w:w="4337" w:type="dxa"/>
            <w:gridSpan w:val="2"/>
            <w:shd w:val="clear" w:color="auto" w:fill="FFFFFF"/>
            <w:hideMark/>
          </w:tcPr>
          <w:p w14:paraId="6CD1321E" w14:textId="7B51E0FB" w:rsidR="0046335B" w:rsidRPr="006A674B" w:rsidRDefault="0046335B" w:rsidP="00580C7E">
            <w:pPr>
              <w:jc w:val="both"/>
              <w:rPr>
                <w:rFonts w:ascii="Arial" w:hAnsi="Arial" w:cs="Arial"/>
                <w:sz w:val="18"/>
                <w:szCs w:val="18"/>
                <w:lang w:eastAsia="es-CO"/>
              </w:rPr>
            </w:pPr>
            <w:r w:rsidRPr="006A674B">
              <w:rPr>
                <w:rFonts w:ascii="Arial" w:hAnsi="Arial" w:cs="Arial"/>
                <w:b/>
                <w:sz w:val="18"/>
                <w:szCs w:val="18"/>
                <w:lang w:eastAsia="es-CO"/>
              </w:rPr>
              <w:t xml:space="preserve">Mensual: </w:t>
            </w:r>
            <w:r w:rsidR="006A674B" w:rsidRPr="00E554A9">
              <w:rPr>
                <w:rFonts w:ascii="Arial" w:hAnsi="Arial" w:cs="Arial"/>
                <w:sz w:val="18"/>
                <w:szCs w:val="18"/>
                <w:lang w:eastAsia="es-CO"/>
              </w:rPr>
              <w:t>Cinco (5) primeros días hábiles del mes siguiente al que corresponde la información.</w:t>
            </w:r>
          </w:p>
        </w:tc>
      </w:tr>
      <w:tr w:rsidR="0046335B" w:rsidRPr="00B71716" w14:paraId="1A722F88" w14:textId="77777777" w:rsidTr="00DB31BB">
        <w:trPr>
          <w:trHeight w:val="933"/>
        </w:trPr>
        <w:tc>
          <w:tcPr>
            <w:tcW w:w="4745" w:type="dxa"/>
            <w:shd w:val="clear" w:color="auto" w:fill="FFFFFF"/>
            <w:hideMark/>
          </w:tcPr>
          <w:p w14:paraId="34D2B145" w14:textId="77777777" w:rsidR="0046335B" w:rsidRPr="00E554A9" w:rsidRDefault="0046335B" w:rsidP="00580C7E">
            <w:pPr>
              <w:jc w:val="both"/>
              <w:rPr>
                <w:rFonts w:ascii="Arial" w:hAnsi="Arial" w:cs="Arial"/>
                <w:sz w:val="18"/>
                <w:szCs w:val="18"/>
                <w:lang w:eastAsia="es-CO"/>
              </w:rPr>
            </w:pPr>
            <w:r w:rsidRPr="00E554A9">
              <w:rPr>
                <w:rFonts w:ascii="Arial" w:hAnsi="Arial" w:cs="Arial"/>
                <w:sz w:val="18"/>
                <w:szCs w:val="18"/>
                <w:lang w:eastAsia="es-CO"/>
              </w:rPr>
              <w:t>Recepción de la Dirección General de Crédito y del Tesoro nacional y de la Dirección General de Regulación Económica de la Seguridad Social- DRESS, de los informes que dan cuenta de las operaciones relacionadas con los movimientos del  FONPET</w:t>
            </w:r>
          </w:p>
        </w:tc>
        <w:tc>
          <w:tcPr>
            <w:tcW w:w="4337" w:type="dxa"/>
            <w:gridSpan w:val="2"/>
            <w:shd w:val="clear" w:color="auto" w:fill="FFFFFF"/>
            <w:hideMark/>
          </w:tcPr>
          <w:p w14:paraId="11E7833A" w14:textId="77777777" w:rsidR="0046335B" w:rsidRPr="00E554A9" w:rsidRDefault="0046335B" w:rsidP="00580C7E">
            <w:pPr>
              <w:jc w:val="both"/>
              <w:rPr>
                <w:rFonts w:ascii="Arial" w:hAnsi="Arial" w:cs="Arial"/>
                <w:b/>
                <w:sz w:val="18"/>
                <w:szCs w:val="18"/>
                <w:lang w:eastAsia="es-CO"/>
              </w:rPr>
            </w:pPr>
            <w:r w:rsidRPr="00E554A9">
              <w:rPr>
                <w:rFonts w:ascii="Arial" w:hAnsi="Arial" w:cs="Arial"/>
                <w:b/>
                <w:sz w:val="18"/>
                <w:szCs w:val="18"/>
                <w:lang w:eastAsia="es-CO"/>
              </w:rPr>
              <w:t>Mensual:</w:t>
            </w:r>
          </w:p>
          <w:p w14:paraId="79A215C5" w14:textId="37532BF0" w:rsidR="0046335B" w:rsidRPr="00E554A9" w:rsidRDefault="0046335B" w:rsidP="00580C7E">
            <w:pPr>
              <w:jc w:val="both"/>
              <w:rPr>
                <w:rFonts w:ascii="Arial" w:hAnsi="Arial" w:cs="Arial"/>
                <w:sz w:val="18"/>
                <w:szCs w:val="18"/>
                <w:lang w:eastAsia="es-CO"/>
              </w:rPr>
            </w:pPr>
            <w:r w:rsidRPr="00E554A9">
              <w:rPr>
                <w:rFonts w:ascii="Arial" w:hAnsi="Arial" w:cs="Arial"/>
                <w:b/>
                <w:sz w:val="18"/>
                <w:szCs w:val="18"/>
                <w:lang w:eastAsia="es-CO"/>
              </w:rPr>
              <w:t xml:space="preserve">DRESS: </w:t>
            </w:r>
            <w:r w:rsidRPr="00E554A9">
              <w:rPr>
                <w:rFonts w:ascii="Arial" w:hAnsi="Arial" w:cs="Arial"/>
                <w:sz w:val="18"/>
                <w:szCs w:val="18"/>
                <w:lang w:eastAsia="es-CO"/>
              </w:rPr>
              <w:t>Diez (</w:t>
            </w:r>
            <w:r w:rsidRPr="006A674B">
              <w:rPr>
                <w:rFonts w:ascii="Arial" w:hAnsi="Arial" w:cs="Arial"/>
                <w:sz w:val="18"/>
                <w:szCs w:val="18"/>
                <w:lang w:eastAsia="es-CO"/>
              </w:rPr>
              <w:t xml:space="preserve">10) primeros días hábiles </w:t>
            </w:r>
            <w:r w:rsidR="006A674B">
              <w:rPr>
                <w:rFonts w:ascii="Arial" w:hAnsi="Arial" w:cs="Arial"/>
                <w:sz w:val="18"/>
                <w:szCs w:val="18"/>
                <w:lang w:eastAsia="es-CO"/>
              </w:rPr>
              <w:t xml:space="preserve">del mes </w:t>
            </w:r>
            <w:r w:rsidRPr="006A674B">
              <w:rPr>
                <w:rFonts w:ascii="Arial" w:hAnsi="Arial" w:cs="Arial"/>
                <w:sz w:val="18"/>
                <w:szCs w:val="18"/>
                <w:lang w:eastAsia="es-CO"/>
              </w:rPr>
              <w:t>siguiente al que corresponde la información. La información del m</w:t>
            </w:r>
            <w:r w:rsidRPr="00E554A9">
              <w:rPr>
                <w:rFonts w:ascii="Arial" w:hAnsi="Arial" w:cs="Arial"/>
                <w:sz w:val="18"/>
                <w:szCs w:val="18"/>
                <w:lang w:eastAsia="es-CO"/>
              </w:rPr>
              <w:t xml:space="preserve">es de diciembre, se recibe con fecha límite 30 de enero </w:t>
            </w:r>
          </w:p>
          <w:p w14:paraId="5A2A0E44" w14:textId="48287AE1" w:rsidR="0046335B" w:rsidRPr="00E554A9" w:rsidRDefault="0046335B" w:rsidP="00322817">
            <w:pPr>
              <w:jc w:val="both"/>
              <w:rPr>
                <w:rFonts w:ascii="Arial" w:hAnsi="Arial" w:cs="Arial"/>
                <w:b/>
                <w:sz w:val="18"/>
                <w:szCs w:val="18"/>
                <w:lang w:eastAsia="es-CO"/>
              </w:rPr>
            </w:pPr>
            <w:r w:rsidRPr="00E554A9">
              <w:rPr>
                <w:rFonts w:ascii="Arial" w:hAnsi="Arial" w:cs="Arial"/>
                <w:b/>
                <w:sz w:val="18"/>
                <w:szCs w:val="18"/>
                <w:lang w:eastAsia="es-CO"/>
              </w:rPr>
              <w:t xml:space="preserve">DGCPTN: </w:t>
            </w:r>
            <w:r w:rsidR="00DD6A62" w:rsidRPr="00E554A9">
              <w:rPr>
                <w:rFonts w:ascii="Arial" w:hAnsi="Arial" w:cs="Arial"/>
                <w:sz w:val="18"/>
                <w:szCs w:val="18"/>
                <w:lang w:eastAsia="es-CO"/>
              </w:rPr>
              <w:t>El día dieciocho (</w:t>
            </w:r>
            <w:r w:rsidR="00322817" w:rsidRPr="00E554A9">
              <w:rPr>
                <w:rFonts w:ascii="Arial" w:hAnsi="Arial" w:cs="Arial"/>
                <w:sz w:val="18"/>
                <w:szCs w:val="18"/>
                <w:lang w:eastAsia="es-CO"/>
              </w:rPr>
              <w:t>18</w:t>
            </w:r>
            <w:r w:rsidR="00DD6A62" w:rsidRPr="00E554A9">
              <w:rPr>
                <w:rFonts w:ascii="Arial" w:hAnsi="Arial" w:cs="Arial"/>
                <w:sz w:val="18"/>
                <w:szCs w:val="18"/>
                <w:lang w:eastAsia="es-CO"/>
              </w:rPr>
              <w:t>)</w:t>
            </w:r>
            <w:r w:rsidR="00322817" w:rsidRPr="00E554A9">
              <w:rPr>
                <w:rFonts w:ascii="Arial" w:hAnsi="Arial" w:cs="Arial"/>
                <w:sz w:val="18"/>
                <w:szCs w:val="18"/>
                <w:lang w:eastAsia="es-CO"/>
              </w:rPr>
              <w:t xml:space="preserve"> </w:t>
            </w:r>
            <w:r w:rsidRPr="00E554A9">
              <w:rPr>
                <w:rFonts w:ascii="Arial" w:hAnsi="Arial" w:cs="Arial"/>
                <w:sz w:val="18"/>
                <w:szCs w:val="18"/>
                <w:lang w:eastAsia="es-CO"/>
              </w:rPr>
              <w:t xml:space="preserve">del mes siguiente al informado </w:t>
            </w:r>
          </w:p>
        </w:tc>
      </w:tr>
      <w:tr w:rsidR="0046335B" w:rsidRPr="00B71716" w14:paraId="6E041EDE" w14:textId="77777777" w:rsidTr="00DB31BB">
        <w:trPr>
          <w:trHeight w:val="984"/>
        </w:trPr>
        <w:tc>
          <w:tcPr>
            <w:tcW w:w="4745" w:type="dxa"/>
            <w:shd w:val="clear" w:color="auto" w:fill="FFFFFF"/>
            <w:hideMark/>
          </w:tcPr>
          <w:p w14:paraId="29962C4E" w14:textId="2822AF94" w:rsidR="00BC3A06" w:rsidRPr="00E554A9" w:rsidRDefault="00BC3A06" w:rsidP="00580C7E">
            <w:pPr>
              <w:jc w:val="both"/>
              <w:rPr>
                <w:rFonts w:ascii="Arial" w:hAnsi="Arial" w:cs="Arial"/>
                <w:sz w:val="18"/>
                <w:szCs w:val="18"/>
                <w:lang w:eastAsia="es-CO"/>
              </w:rPr>
            </w:pPr>
            <w:r w:rsidRPr="00E554A9">
              <w:rPr>
                <w:rFonts w:ascii="Arial" w:hAnsi="Arial" w:cs="Arial"/>
                <w:sz w:val="18"/>
                <w:szCs w:val="18"/>
                <w:lang w:eastAsia="es-CO"/>
              </w:rPr>
              <w:t xml:space="preserve">Generación desde al aplicativo de </w:t>
            </w:r>
            <w:r w:rsidR="00670B37" w:rsidRPr="00E554A9">
              <w:rPr>
                <w:rFonts w:ascii="Arial" w:hAnsi="Arial" w:cs="Arial"/>
                <w:sz w:val="18"/>
                <w:szCs w:val="18"/>
                <w:lang w:eastAsia="es-CO"/>
              </w:rPr>
              <w:t>Gestión del Talento Humano</w:t>
            </w:r>
            <w:r w:rsidRPr="00E554A9">
              <w:rPr>
                <w:rFonts w:ascii="Arial" w:hAnsi="Arial" w:cs="Arial"/>
                <w:sz w:val="18"/>
                <w:szCs w:val="18"/>
                <w:lang w:eastAsia="es-CO"/>
              </w:rPr>
              <w:t xml:space="preserve">, de la información para el registro de la </w:t>
            </w:r>
            <w:proofErr w:type="spellStart"/>
            <w:r w:rsidRPr="00E554A9">
              <w:rPr>
                <w:rFonts w:ascii="Arial" w:hAnsi="Arial" w:cs="Arial"/>
                <w:sz w:val="18"/>
                <w:szCs w:val="18"/>
                <w:lang w:eastAsia="es-CO"/>
              </w:rPr>
              <w:t>causación</w:t>
            </w:r>
            <w:proofErr w:type="spellEnd"/>
            <w:r w:rsidRPr="00E554A9">
              <w:rPr>
                <w:rFonts w:ascii="Arial" w:hAnsi="Arial" w:cs="Arial"/>
                <w:sz w:val="18"/>
                <w:szCs w:val="18"/>
                <w:lang w:eastAsia="es-CO"/>
              </w:rPr>
              <w:t xml:space="preserve"> de provisión de prestaciones sociales de los funcionarios del MHCP</w:t>
            </w:r>
          </w:p>
        </w:tc>
        <w:tc>
          <w:tcPr>
            <w:tcW w:w="4337" w:type="dxa"/>
            <w:gridSpan w:val="2"/>
            <w:shd w:val="clear" w:color="auto" w:fill="FFFFFF"/>
            <w:hideMark/>
          </w:tcPr>
          <w:p w14:paraId="012E7326" w14:textId="55B6816E" w:rsidR="0046335B" w:rsidRPr="00E554A9" w:rsidRDefault="0046335B" w:rsidP="00580C7E">
            <w:pPr>
              <w:jc w:val="both"/>
              <w:rPr>
                <w:rFonts w:ascii="Arial" w:hAnsi="Arial" w:cs="Arial"/>
                <w:sz w:val="18"/>
                <w:szCs w:val="18"/>
                <w:lang w:eastAsia="es-CO"/>
              </w:rPr>
            </w:pPr>
            <w:r w:rsidRPr="00E554A9">
              <w:rPr>
                <w:rFonts w:ascii="Arial" w:hAnsi="Arial" w:cs="Arial"/>
                <w:b/>
                <w:sz w:val="18"/>
                <w:szCs w:val="18"/>
                <w:lang w:eastAsia="es-CO"/>
              </w:rPr>
              <w:t>Mensual:</w:t>
            </w:r>
            <w:r w:rsidRPr="00E554A9">
              <w:rPr>
                <w:rFonts w:ascii="Arial" w:hAnsi="Arial" w:cs="Arial"/>
                <w:sz w:val="18"/>
                <w:szCs w:val="18"/>
                <w:lang w:eastAsia="es-CO"/>
              </w:rPr>
              <w:t xml:space="preserve"> Se descarga la información del aplicativo de </w:t>
            </w:r>
            <w:r w:rsidR="00670B37" w:rsidRPr="00E554A9">
              <w:rPr>
                <w:rFonts w:ascii="Arial" w:hAnsi="Arial" w:cs="Arial"/>
                <w:sz w:val="18"/>
                <w:szCs w:val="18"/>
                <w:lang w:eastAsia="es-CO"/>
              </w:rPr>
              <w:t>Gestión del Talento Humano</w:t>
            </w:r>
            <w:r w:rsidRPr="00E554A9">
              <w:rPr>
                <w:rFonts w:ascii="Arial" w:hAnsi="Arial" w:cs="Arial"/>
                <w:sz w:val="18"/>
                <w:szCs w:val="18"/>
                <w:lang w:eastAsia="es-CO"/>
              </w:rPr>
              <w:t>, los primeros cinco (5) días hábiles del mes siguiente al que corresponde la información.</w:t>
            </w:r>
          </w:p>
        </w:tc>
      </w:tr>
      <w:tr w:rsidR="0046335B" w:rsidRPr="00B71716" w14:paraId="5193D0AA" w14:textId="77777777" w:rsidTr="00DB31BB">
        <w:trPr>
          <w:trHeight w:val="1079"/>
        </w:trPr>
        <w:tc>
          <w:tcPr>
            <w:tcW w:w="4745" w:type="dxa"/>
            <w:shd w:val="clear" w:color="auto" w:fill="FFFFFF"/>
          </w:tcPr>
          <w:p w14:paraId="2F210EFB" w14:textId="091F1480" w:rsidR="0046335B" w:rsidRPr="00E554A9" w:rsidRDefault="0046335B" w:rsidP="00580C7E">
            <w:pPr>
              <w:jc w:val="both"/>
              <w:rPr>
                <w:rFonts w:ascii="Arial" w:hAnsi="Arial" w:cs="Arial"/>
                <w:sz w:val="18"/>
                <w:szCs w:val="18"/>
                <w:lang w:eastAsia="es-CO"/>
              </w:rPr>
            </w:pPr>
            <w:r w:rsidRPr="00E554A9">
              <w:rPr>
                <w:rFonts w:ascii="Arial" w:hAnsi="Arial" w:cs="Arial"/>
                <w:sz w:val="18"/>
                <w:szCs w:val="18"/>
                <w:lang w:eastAsia="es-CO"/>
              </w:rPr>
              <w:t xml:space="preserve">Recepción de la Subdirección de </w:t>
            </w:r>
            <w:r w:rsidR="00670B37" w:rsidRPr="00E554A9">
              <w:rPr>
                <w:rFonts w:ascii="Arial" w:hAnsi="Arial" w:cs="Arial"/>
                <w:sz w:val="18"/>
                <w:szCs w:val="18"/>
                <w:lang w:eastAsia="es-CO"/>
              </w:rPr>
              <w:t>Gestión del Talento Humano</w:t>
            </w:r>
            <w:r w:rsidRPr="00E554A9">
              <w:rPr>
                <w:rFonts w:ascii="Arial" w:hAnsi="Arial" w:cs="Arial"/>
                <w:sz w:val="18"/>
                <w:szCs w:val="18"/>
                <w:lang w:eastAsia="es-CO"/>
              </w:rPr>
              <w:t xml:space="preserve">, de las novedades de incapacidades por enfermedad, accidente laboral, </w:t>
            </w:r>
            <w:proofErr w:type="spellStart"/>
            <w:r w:rsidRPr="00E554A9">
              <w:rPr>
                <w:rFonts w:ascii="Arial" w:hAnsi="Arial" w:cs="Arial"/>
                <w:sz w:val="18"/>
                <w:szCs w:val="18"/>
                <w:lang w:eastAsia="es-CO"/>
              </w:rPr>
              <w:t>etc</w:t>
            </w:r>
            <w:proofErr w:type="spellEnd"/>
            <w:r w:rsidRPr="00E554A9">
              <w:rPr>
                <w:rFonts w:ascii="Arial" w:hAnsi="Arial" w:cs="Arial"/>
                <w:sz w:val="18"/>
                <w:szCs w:val="18"/>
                <w:lang w:eastAsia="es-CO"/>
              </w:rPr>
              <w:t>, y/o licencias de maternidad o paternidad de los funcionarios del MHCP</w:t>
            </w:r>
          </w:p>
        </w:tc>
        <w:tc>
          <w:tcPr>
            <w:tcW w:w="4337" w:type="dxa"/>
            <w:gridSpan w:val="2"/>
            <w:shd w:val="clear" w:color="auto" w:fill="FFFFFF"/>
          </w:tcPr>
          <w:p w14:paraId="22487A98" w14:textId="77777777" w:rsidR="0046335B" w:rsidRPr="00E554A9" w:rsidRDefault="0046335B" w:rsidP="00580C7E">
            <w:pPr>
              <w:jc w:val="both"/>
              <w:rPr>
                <w:rFonts w:ascii="Arial" w:hAnsi="Arial" w:cs="Arial"/>
                <w:sz w:val="18"/>
                <w:szCs w:val="18"/>
                <w:lang w:eastAsia="es-CO"/>
              </w:rPr>
            </w:pPr>
            <w:r w:rsidRPr="00E554A9">
              <w:rPr>
                <w:rFonts w:ascii="Arial" w:hAnsi="Arial" w:cs="Arial"/>
                <w:b/>
                <w:sz w:val="18"/>
                <w:szCs w:val="18"/>
                <w:lang w:eastAsia="es-CO"/>
              </w:rPr>
              <w:t>Mensual:</w:t>
            </w:r>
            <w:r w:rsidR="00766432" w:rsidRPr="00E554A9">
              <w:rPr>
                <w:rFonts w:ascii="Arial" w:hAnsi="Arial" w:cs="Arial"/>
                <w:b/>
                <w:sz w:val="18"/>
                <w:szCs w:val="18"/>
                <w:lang w:eastAsia="es-CO"/>
              </w:rPr>
              <w:t xml:space="preserve"> </w:t>
            </w:r>
            <w:r w:rsidR="00766432" w:rsidRPr="00E554A9">
              <w:rPr>
                <w:rFonts w:ascii="Arial" w:hAnsi="Arial" w:cs="Arial"/>
                <w:sz w:val="18"/>
                <w:szCs w:val="18"/>
                <w:lang w:eastAsia="es-CO"/>
              </w:rPr>
              <w:t>Día treinta (30)</w:t>
            </w:r>
            <w:r w:rsidRPr="00E554A9">
              <w:rPr>
                <w:rFonts w:ascii="Arial" w:hAnsi="Arial" w:cs="Arial"/>
                <w:b/>
                <w:sz w:val="18"/>
                <w:szCs w:val="18"/>
                <w:lang w:eastAsia="es-CO"/>
              </w:rPr>
              <w:t xml:space="preserve"> </w:t>
            </w:r>
            <w:r w:rsidR="00766432" w:rsidRPr="00E554A9">
              <w:rPr>
                <w:rFonts w:ascii="Arial" w:hAnsi="Arial" w:cs="Arial"/>
                <w:sz w:val="18"/>
                <w:szCs w:val="18"/>
                <w:lang w:eastAsia="es-CO"/>
              </w:rPr>
              <w:t xml:space="preserve">del </w:t>
            </w:r>
            <w:r w:rsidR="006759B0" w:rsidRPr="00E554A9">
              <w:rPr>
                <w:rFonts w:ascii="Arial" w:hAnsi="Arial" w:cs="Arial"/>
                <w:sz w:val="18"/>
                <w:szCs w:val="18"/>
                <w:lang w:eastAsia="es-CO"/>
              </w:rPr>
              <w:t>respectivo mes</w:t>
            </w:r>
            <w:r w:rsidR="00766432" w:rsidRPr="00E554A9">
              <w:rPr>
                <w:rFonts w:ascii="Arial" w:hAnsi="Arial" w:cs="Arial"/>
                <w:sz w:val="18"/>
                <w:szCs w:val="18"/>
                <w:lang w:eastAsia="es-CO"/>
              </w:rPr>
              <w:t xml:space="preserve"> al que corresponde la información. </w:t>
            </w:r>
          </w:p>
        </w:tc>
      </w:tr>
      <w:tr w:rsidR="0046335B" w:rsidRPr="00B71716" w14:paraId="2FE6A094" w14:textId="77777777" w:rsidTr="00DB31BB">
        <w:trPr>
          <w:trHeight w:val="1079"/>
        </w:trPr>
        <w:tc>
          <w:tcPr>
            <w:tcW w:w="4745" w:type="dxa"/>
            <w:shd w:val="clear" w:color="auto" w:fill="FFFFFF"/>
            <w:hideMark/>
          </w:tcPr>
          <w:p w14:paraId="2EB8F37C" w14:textId="77777777" w:rsidR="0046335B" w:rsidRPr="00E554A9" w:rsidRDefault="0046335B" w:rsidP="00580C7E">
            <w:pPr>
              <w:spacing w:line="288" w:lineRule="auto"/>
              <w:jc w:val="both"/>
              <w:rPr>
                <w:rFonts w:ascii="Arial" w:hAnsi="Arial" w:cs="Arial"/>
                <w:sz w:val="18"/>
                <w:szCs w:val="18"/>
                <w:lang w:eastAsia="es-CO"/>
              </w:rPr>
            </w:pPr>
            <w:r w:rsidRPr="006A674B">
              <w:rPr>
                <w:rFonts w:ascii="Arial" w:hAnsi="Arial" w:cs="Arial"/>
                <w:sz w:val="18"/>
                <w:szCs w:val="18"/>
                <w:lang w:eastAsia="es-CO"/>
              </w:rPr>
              <w:t xml:space="preserve">Recepción de la información relacionada con la ejecución de contratos y convenios interadministrativos, suscritos por el MHCP con entidades tales como: </w:t>
            </w:r>
            <w:r w:rsidR="000C1E6E" w:rsidRPr="00E554A9">
              <w:rPr>
                <w:rFonts w:ascii="Arial" w:hAnsi="Arial" w:cs="Arial"/>
                <w:sz w:val="18"/>
                <w:szCs w:val="18"/>
                <w:lang w:eastAsia="es-CO"/>
              </w:rPr>
              <w:t>FOGAFIN FONADE, FINDETER, ICETEX, FNG, FDN, BANCOLDEX, etc.</w:t>
            </w:r>
          </w:p>
          <w:p w14:paraId="08619AD7" w14:textId="77777777" w:rsidR="00CE2459" w:rsidRPr="00E554A9" w:rsidRDefault="00CE2459" w:rsidP="00580C7E">
            <w:pPr>
              <w:spacing w:line="288" w:lineRule="auto"/>
              <w:jc w:val="both"/>
              <w:rPr>
                <w:rFonts w:ascii="Arial" w:hAnsi="Arial" w:cs="Arial"/>
                <w:sz w:val="18"/>
                <w:szCs w:val="18"/>
                <w:lang w:eastAsia="es-CO"/>
              </w:rPr>
            </w:pPr>
          </w:p>
        </w:tc>
        <w:tc>
          <w:tcPr>
            <w:tcW w:w="4337" w:type="dxa"/>
            <w:gridSpan w:val="2"/>
            <w:shd w:val="clear" w:color="auto" w:fill="FFFFFF"/>
            <w:hideMark/>
          </w:tcPr>
          <w:p w14:paraId="237DE5D3" w14:textId="03B27B66" w:rsidR="0046335B" w:rsidRPr="00100505" w:rsidRDefault="0046335B" w:rsidP="00DD6A62">
            <w:pPr>
              <w:jc w:val="both"/>
              <w:rPr>
                <w:rFonts w:ascii="Arial" w:hAnsi="Arial" w:cs="Arial"/>
                <w:sz w:val="18"/>
                <w:szCs w:val="18"/>
                <w:lang w:eastAsia="es-CO"/>
              </w:rPr>
            </w:pPr>
            <w:r w:rsidRPr="00DB31BB">
              <w:rPr>
                <w:rFonts w:ascii="Arial" w:hAnsi="Arial" w:cs="Arial"/>
                <w:b/>
                <w:sz w:val="18"/>
                <w:szCs w:val="18"/>
                <w:lang w:eastAsia="es-CO"/>
              </w:rPr>
              <w:t xml:space="preserve">Mensual: </w:t>
            </w:r>
            <w:r w:rsidRPr="00DB31BB">
              <w:rPr>
                <w:rFonts w:ascii="Arial" w:hAnsi="Arial" w:cs="Arial"/>
                <w:sz w:val="18"/>
                <w:szCs w:val="18"/>
                <w:lang w:eastAsia="es-CO"/>
              </w:rPr>
              <w:t xml:space="preserve">El </w:t>
            </w:r>
            <w:r w:rsidR="0098644A" w:rsidRPr="00DB31BB">
              <w:rPr>
                <w:rFonts w:ascii="Arial" w:hAnsi="Arial" w:cs="Arial"/>
                <w:sz w:val="18"/>
                <w:szCs w:val="18"/>
                <w:lang w:eastAsia="es-CO"/>
              </w:rPr>
              <w:t xml:space="preserve">día </w:t>
            </w:r>
            <w:r w:rsidR="00DD6A62" w:rsidRPr="00DB31BB">
              <w:rPr>
                <w:rFonts w:ascii="Arial" w:hAnsi="Arial" w:cs="Arial"/>
                <w:sz w:val="18"/>
                <w:szCs w:val="18"/>
                <w:lang w:eastAsia="es-CO"/>
              </w:rPr>
              <w:t xml:space="preserve">quince </w:t>
            </w:r>
            <w:r w:rsidRPr="00DB31BB">
              <w:rPr>
                <w:rFonts w:ascii="Arial" w:hAnsi="Arial" w:cs="Arial"/>
                <w:sz w:val="18"/>
                <w:szCs w:val="18"/>
                <w:lang w:eastAsia="es-CO"/>
              </w:rPr>
              <w:t>(</w:t>
            </w:r>
            <w:r w:rsidR="00DD6A62" w:rsidRPr="00DB31BB">
              <w:rPr>
                <w:rFonts w:ascii="Arial" w:hAnsi="Arial" w:cs="Arial"/>
                <w:sz w:val="18"/>
                <w:szCs w:val="18"/>
                <w:lang w:eastAsia="es-CO"/>
              </w:rPr>
              <w:t>15</w:t>
            </w:r>
            <w:r w:rsidRPr="00DB31BB">
              <w:rPr>
                <w:rFonts w:ascii="Arial" w:hAnsi="Arial" w:cs="Arial"/>
                <w:sz w:val="18"/>
                <w:szCs w:val="18"/>
                <w:lang w:eastAsia="es-CO"/>
              </w:rPr>
              <w:t xml:space="preserve">) del mes siguiente al que corresponde la información. La información con fecha de corte diciembre 31, se recibe con fecha límite </w:t>
            </w:r>
            <w:r w:rsidR="009712A7" w:rsidRPr="007E269E">
              <w:rPr>
                <w:rFonts w:ascii="Arial" w:hAnsi="Arial" w:cs="Arial"/>
                <w:sz w:val="18"/>
                <w:szCs w:val="18"/>
                <w:lang w:eastAsia="es-CO"/>
              </w:rPr>
              <w:t>30 de enero</w:t>
            </w:r>
            <w:r w:rsidRPr="007E269E">
              <w:rPr>
                <w:rFonts w:ascii="Arial" w:hAnsi="Arial" w:cs="Arial"/>
                <w:sz w:val="18"/>
                <w:szCs w:val="18"/>
                <w:lang w:eastAsia="es-CO"/>
              </w:rPr>
              <w:t xml:space="preserve">, y la de enero, la fecha límite es el último día hábil de febrero </w:t>
            </w:r>
          </w:p>
        </w:tc>
      </w:tr>
      <w:tr w:rsidR="0021322C" w:rsidRPr="00B71716" w14:paraId="0C79B2EF" w14:textId="77777777" w:rsidTr="00DB31BB">
        <w:trPr>
          <w:trHeight w:val="710"/>
        </w:trPr>
        <w:tc>
          <w:tcPr>
            <w:tcW w:w="4745" w:type="dxa"/>
            <w:shd w:val="clear" w:color="auto" w:fill="FFFFFF"/>
          </w:tcPr>
          <w:p w14:paraId="3DAB07D6" w14:textId="77777777" w:rsidR="0021322C" w:rsidRPr="00E554A9" w:rsidRDefault="0021322C" w:rsidP="0021322C">
            <w:pPr>
              <w:spacing w:line="288" w:lineRule="auto"/>
              <w:jc w:val="both"/>
              <w:rPr>
                <w:rFonts w:ascii="Arial" w:hAnsi="Arial" w:cs="Arial"/>
                <w:sz w:val="18"/>
                <w:szCs w:val="18"/>
                <w:lang w:eastAsia="es-CO"/>
              </w:rPr>
            </w:pPr>
            <w:r w:rsidRPr="006A674B">
              <w:rPr>
                <w:rFonts w:ascii="Arial" w:hAnsi="Arial" w:cs="Arial"/>
                <w:sz w:val="18"/>
                <w:szCs w:val="18"/>
                <w:lang w:eastAsia="es-CO"/>
              </w:rPr>
              <w:t xml:space="preserve">Recepción de la Información relacionada con derechos en fideicomiso tales como: </w:t>
            </w:r>
            <w:proofErr w:type="spellStart"/>
            <w:r w:rsidRPr="006A674B">
              <w:rPr>
                <w:rFonts w:ascii="Arial" w:hAnsi="Arial" w:cs="Arial"/>
                <w:sz w:val="18"/>
                <w:szCs w:val="18"/>
                <w:lang w:eastAsia="es-CO"/>
              </w:rPr>
              <w:t>Fibratolima</w:t>
            </w:r>
            <w:proofErr w:type="spellEnd"/>
            <w:r w:rsidRPr="006A674B">
              <w:rPr>
                <w:rFonts w:ascii="Arial" w:hAnsi="Arial" w:cs="Arial"/>
                <w:sz w:val="18"/>
                <w:szCs w:val="18"/>
                <w:lang w:eastAsia="es-CO"/>
              </w:rPr>
              <w:t xml:space="preserve"> y Fiduprevisora.</w:t>
            </w:r>
          </w:p>
        </w:tc>
        <w:tc>
          <w:tcPr>
            <w:tcW w:w="4337" w:type="dxa"/>
            <w:gridSpan w:val="2"/>
            <w:shd w:val="clear" w:color="auto" w:fill="FFFFFF"/>
          </w:tcPr>
          <w:p w14:paraId="65586DD0" w14:textId="77777777" w:rsidR="0021322C" w:rsidRPr="00DB31BB" w:rsidRDefault="0021322C" w:rsidP="0021322C">
            <w:pPr>
              <w:jc w:val="both"/>
              <w:rPr>
                <w:rFonts w:ascii="Arial" w:hAnsi="Arial" w:cs="Arial"/>
                <w:b/>
                <w:sz w:val="18"/>
                <w:szCs w:val="18"/>
                <w:lang w:eastAsia="es-CO"/>
              </w:rPr>
            </w:pPr>
            <w:r w:rsidRPr="00E554A9">
              <w:rPr>
                <w:rFonts w:ascii="Arial" w:hAnsi="Arial" w:cs="Arial"/>
                <w:b/>
                <w:sz w:val="18"/>
                <w:szCs w:val="18"/>
                <w:lang w:eastAsia="es-CO"/>
              </w:rPr>
              <w:t xml:space="preserve">Mensual: </w:t>
            </w:r>
            <w:r w:rsidRPr="00E554A9">
              <w:rPr>
                <w:rFonts w:ascii="Arial" w:hAnsi="Arial" w:cs="Arial"/>
                <w:sz w:val="18"/>
                <w:szCs w:val="18"/>
                <w:lang w:eastAsia="es-CO"/>
              </w:rPr>
              <w:t>El día quince (15) del mes siguiente al que corresponde la información. La información con fecha de corte diciembre 31, se recibe con fecha límite 30 de enero, y la de enero, la fecha límite es el último día hábil de febrero</w:t>
            </w:r>
          </w:p>
        </w:tc>
      </w:tr>
      <w:tr w:rsidR="00E97EC0" w:rsidRPr="00B71716" w14:paraId="02E0A32D" w14:textId="77777777" w:rsidTr="00DB31BB">
        <w:trPr>
          <w:trHeight w:val="710"/>
        </w:trPr>
        <w:tc>
          <w:tcPr>
            <w:tcW w:w="4745" w:type="dxa"/>
            <w:shd w:val="clear" w:color="auto" w:fill="FFFFFF"/>
          </w:tcPr>
          <w:p w14:paraId="33D243A8" w14:textId="31002697" w:rsidR="00E97EC0" w:rsidRPr="00E554A9" w:rsidRDefault="00706002" w:rsidP="00706002">
            <w:pPr>
              <w:spacing w:line="288" w:lineRule="auto"/>
              <w:jc w:val="both"/>
              <w:rPr>
                <w:rFonts w:ascii="Arial" w:hAnsi="Arial" w:cs="Arial"/>
                <w:sz w:val="18"/>
                <w:szCs w:val="18"/>
                <w:lang w:eastAsia="es-CO"/>
              </w:rPr>
            </w:pPr>
            <w:r w:rsidRPr="006A674B">
              <w:rPr>
                <w:rFonts w:ascii="Arial" w:hAnsi="Arial" w:cs="Arial"/>
                <w:sz w:val="18"/>
                <w:szCs w:val="18"/>
                <w:lang w:eastAsia="es-CO"/>
              </w:rPr>
              <w:t>Recepción de la i</w:t>
            </w:r>
            <w:r w:rsidR="00E97EC0" w:rsidRPr="006A674B">
              <w:rPr>
                <w:rFonts w:ascii="Arial" w:hAnsi="Arial" w:cs="Arial"/>
                <w:sz w:val="18"/>
                <w:szCs w:val="18"/>
                <w:lang w:eastAsia="es-CO"/>
              </w:rPr>
              <w:t>nformación r</w:t>
            </w:r>
            <w:r w:rsidR="00E97EC0" w:rsidRPr="00804F26">
              <w:rPr>
                <w:rFonts w:ascii="Arial" w:hAnsi="Arial" w:cs="Arial"/>
                <w:sz w:val="18"/>
                <w:szCs w:val="18"/>
                <w:lang w:eastAsia="es-CO"/>
              </w:rPr>
              <w:t xml:space="preserve">elacionada con recursos entregados en administración a la Dirección General de Crédito Público y del Tesoro Nacional (DGCPTN) </w:t>
            </w:r>
          </w:p>
        </w:tc>
        <w:tc>
          <w:tcPr>
            <w:tcW w:w="4337" w:type="dxa"/>
            <w:gridSpan w:val="2"/>
            <w:shd w:val="clear" w:color="auto" w:fill="FFFFFF"/>
          </w:tcPr>
          <w:p w14:paraId="247A4CCA" w14:textId="2A69A54E" w:rsidR="00E97EC0" w:rsidRPr="00DB31BB" w:rsidRDefault="00E97EC0" w:rsidP="00DD6A62">
            <w:pPr>
              <w:jc w:val="both"/>
            </w:pPr>
            <w:r w:rsidRPr="00E554A9">
              <w:rPr>
                <w:rFonts w:ascii="Arial" w:hAnsi="Arial" w:cs="Arial"/>
                <w:b/>
                <w:sz w:val="18"/>
                <w:szCs w:val="18"/>
                <w:lang w:eastAsia="es-CO"/>
              </w:rPr>
              <w:t xml:space="preserve">Mensual: </w:t>
            </w:r>
            <w:r w:rsidRPr="00E554A9">
              <w:rPr>
                <w:rFonts w:ascii="Arial" w:hAnsi="Arial" w:cs="Arial"/>
                <w:sz w:val="18"/>
                <w:szCs w:val="18"/>
                <w:lang w:eastAsia="es-CO"/>
              </w:rPr>
              <w:t>El</w:t>
            </w:r>
            <w:r w:rsidR="00580C7E" w:rsidRPr="00E554A9">
              <w:rPr>
                <w:rFonts w:ascii="Arial" w:hAnsi="Arial" w:cs="Arial"/>
                <w:sz w:val="18"/>
                <w:szCs w:val="18"/>
                <w:lang w:eastAsia="es-CO"/>
              </w:rPr>
              <w:t xml:space="preserve"> día</w:t>
            </w:r>
            <w:r w:rsidRPr="00E554A9">
              <w:rPr>
                <w:rFonts w:ascii="Arial" w:hAnsi="Arial" w:cs="Arial"/>
                <w:sz w:val="18"/>
                <w:szCs w:val="18"/>
                <w:lang w:eastAsia="es-CO"/>
              </w:rPr>
              <w:t xml:space="preserve"> </w:t>
            </w:r>
            <w:r w:rsidR="00DD6A62" w:rsidRPr="00E554A9">
              <w:rPr>
                <w:rFonts w:ascii="Arial" w:hAnsi="Arial" w:cs="Arial"/>
                <w:sz w:val="18"/>
                <w:szCs w:val="18"/>
                <w:lang w:eastAsia="es-CO"/>
              </w:rPr>
              <w:t xml:space="preserve">dieciocho </w:t>
            </w:r>
            <w:r w:rsidRPr="00E554A9">
              <w:rPr>
                <w:rFonts w:ascii="Arial" w:hAnsi="Arial" w:cs="Arial"/>
                <w:sz w:val="18"/>
                <w:szCs w:val="18"/>
                <w:lang w:eastAsia="es-CO"/>
              </w:rPr>
              <w:t>(</w:t>
            </w:r>
            <w:r w:rsidR="00DD6A62" w:rsidRPr="00E554A9">
              <w:rPr>
                <w:rFonts w:ascii="Arial" w:hAnsi="Arial" w:cs="Arial"/>
                <w:sz w:val="18"/>
                <w:szCs w:val="18"/>
                <w:lang w:eastAsia="es-CO"/>
              </w:rPr>
              <w:t>18</w:t>
            </w:r>
            <w:r w:rsidRPr="00E554A9">
              <w:rPr>
                <w:rFonts w:ascii="Arial" w:hAnsi="Arial" w:cs="Arial"/>
                <w:sz w:val="18"/>
                <w:szCs w:val="18"/>
                <w:lang w:eastAsia="es-CO"/>
              </w:rPr>
              <w:t xml:space="preserve">) del mes siguiente al que corresponde la información. La información con fecha de corte diciembre 31, se recibe con fecha límite 13 de febrero, y la de enero, la fecha límite es el último día hábil de febrero </w:t>
            </w:r>
          </w:p>
        </w:tc>
      </w:tr>
      <w:tr w:rsidR="008F526A" w:rsidRPr="00B71716" w14:paraId="72EEA53E" w14:textId="77777777" w:rsidTr="00DB31BB">
        <w:trPr>
          <w:trHeight w:val="710"/>
        </w:trPr>
        <w:tc>
          <w:tcPr>
            <w:tcW w:w="4745" w:type="dxa"/>
            <w:shd w:val="clear" w:color="auto" w:fill="FFFFFF"/>
          </w:tcPr>
          <w:p w14:paraId="090FEB40" w14:textId="7441A04D" w:rsidR="008F526A" w:rsidRPr="006A674B" w:rsidRDefault="008F526A" w:rsidP="008F526A">
            <w:pPr>
              <w:jc w:val="both"/>
              <w:rPr>
                <w:rFonts w:ascii="Arial" w:hAnsi="Arial" w:cs="Arial"/>
                <w:sz w:val="18"/>
                <w:szCs w:val="18"/>
                <w:lang w:eastAsia="es-CO"/>
              </w:rPr>
            </w:pPr>
            <w:r w:rsidRPr="00183EC9">
              <w:rPr>
                <w:rFonts w:ascii="Arial" w:hAnsi="Arial" w:cs="Arial"/>
                <w:sz w:val="18"/>
                <w:szCs w:val="18"/>
                <w:lang w:eastAsia="es-CO"/>
              </w:rPr>
              <w:t>Recepción de la Subdirección de Servicios, de la información para registros contables de recaudos de ingresos al Ministerio de Hacienda y Crédit</w:t>
            </w:r>
            <w:r w:rsidRPr="006A674B">
              <w:rPr>
                <w:rFonts w:ascii="Arial" w:hAnsi="Arial" w:cs="Arial"/>
                <w:sz w:val="18"/>
                <w:szCs w:val="18"/>
                <w:lang w:eastAsia="es-CO"/>
              </w:rPr>
              <w:t>o Público</w:t>
            </w:r>
          </w:p>
        </w:tc>
        <w:tc>
          <w:tcPr>
            <w:tcW w:w="4337" w:type="dxa"/>
            <w:gridSpan w:val="2"/>
            <w:shd w:val="clear" w:color="auto" w:fill="FFFFFF"/>
          </w:tcPr>
          <w:p w14:paraId="42C0A109" w14:textId="107DD6BB" w:rsidR="008F526A" w:rsidRPr="00804F26" w:rsidRDefault="008F526A" w:rsidP="008F526A">
            <w:pPr>
              <w:jc w:val="both"/>
              <w:rPr>
                <w:rFonts w:ascii="Arial" w:hAnsi="Arial" w:cs="Arial"/>
                <w:b/>
                <w:sz w:val="18"/>
                <w:szCs w:val="18"/>
                <w:lang w:eastAsia="es-CO"/>
              </w:rPr>
            </w:pPr>
            <w:r w:rsidRPr="00804F26">
              <w:rPr>
                <w:rFonts w:ascii="Arial" w:hAnsi="Arial" w:cs="Arial"/>
                <w:b/>
                <w:sz w:val="18"/>
                <w:szCs w:val="18"/>
                <w:lang w:eastAsia="es-CO"/>
              </w:rPr>
              <w:t xml:space="preserve">Mensual: </w:t>
            </w:r>
            <w:r w:rsidRPr="00804F26">
              <w:rPr>
                <w:rFonts w:ascii="Arial" w:hAnsi="Arial" w:cs="Arial"/>
                <w:sz w:val="18"/>
                <w:szCs w:val="18"/>
                <w:lang w:eastAsia="es-CO"/>
              </w:rPr>
              <w:t xml:space="preserve">Diez (10) primeros días hábiles </w:t>
            </w:r>
            <w:r w:rsidR="00804F26">
              <w:rPr>
                <w:rFonts w:ascii="Arial" w:hAnsi="Arial" w:cs="Arial"/>
                <w:sz w:val="18"/>
                <w:szCs w:val="18"/>
                <w:lang w:eastAsia="es-CO"/>
              </w:rPr>
              <w:t xml:space="preserve">del mes </w:t>
            </w:r>
            <w:r w:rsidRPr="00804F26">
              <w:rPr>
                <w:rFonts w:ascii="Arial" w:hAnsi="Arial" w:cs="Arial"/>
                <w:sz w:val="18"/>
                <w:szCs w:val="18"/>
                <w:lang w:eastAsia="es-CO"/>
              </w:rPr>
              <w:t xml:space="preserve">siguiente al que corresponde la información. </w:t>
            </w:r>
          </w:p>
        </w:tc>
      </w:tr>
      <w:tr w:rsidR="0046335B" w:rsidRPr="00B71716" w14:paraId="5F4C2DC2" w14:textId="77777777" w:rsidTr="00DB31BB">
        <w:trPr>
          <w:trHeight w:val="710"/>
        </w:trPr>
        <w:tc>
          <w:tcPr>
            <w:tcW w:w="4745" w:type="dxa"/>
            <w:shd w:val="clear" w:color="auto" w:fill="FFFFFF"/>
            <w:hideMark/>
          </w:tcPr>
          <w:p w14:paraId="748861F3" w14:textId="7EED037E" w:rsidR="0046335B" w:rsidRPr="006A674B" w:rsidRDefault="0046335B" w:rsidP="00580C7E">
            <w:pPr>
              <w:jc w:val="both"/>
              <w:rPr>
                <w:rFonts w:ascii="Arial" w:hAnsi="Arial" w:cs="Arial"/>
                <w:sz w:val="18"/>
                <w:szCs w:val="18"/>
                <w:lang w:eastAsia="es-CO"/>
              </w:rPr>
            </w:pPr>
            <w:r w:rsidRPr="00183EC9">
              <w:rPr>
                <w:rFonts w:ascii="Arial" w:hAnsi="Arial" w:cs="Arial"/>
                <w:sz w:val="18"/>
                <w:szCs w:val="18"/>
                <w:lang w:eastAsia="es-CO"/>
              </w:rPr>
              <w:lastRenderedPageBreak/>
              <w:t xml:space="preserve">Recepción de la Subdirección </w:t>
            </w:r>
            <w:r w:rsidRPr="00804F26">
              <w:rPr>
                <w:rFonts w:ascii="Arial" w:hAnsi="Arial" w:cs="Arial"/>
                <w:sz w:val="18"/>
                <w:szCs w:val="18"/>
                <w:lang w:eastAsia="es-CO"/>
              </w:rPr>
              <w:t xml:space="preserve">de </w:t>
            </w:r>
            <w:r w:rsidR="00670B37" w:rsidRPr="00804F26">
              <w:rPr>
                <w:rFonts w:ascii="Arial" w:hAnsi="Arial" w:cs="Arial"/>
                <w:sz w:val="18"/>
                <w:szCs w:val="18"/>
                <w:lang w:eastAsia="es-CO"/>
              </w:rPr>
              <w:t>Gestión del Talento Humano</w:t>
            </w:r>
            <w:r w:rsidRPr="00804F26">
              <w:rPr>
                <w:rFonts w:ascii="Arial" w:hAnsi="Arial" w:cs="Arial"/>
                <w:sz w:val="18"/>
                <w:szCs w:val="18"/>
                <w:lang w:eastAsia="es-CO"/>
              </w:rPr>
              <w:t xml:space="preserve">, de la información para registros contables de recaudos de </w:t>
            </w:r>
            <w:r w:rsidRPr="00183EC9">
              <w:rPr>
                <w:rFonts w:ascii="Arial" w:hAnsi="Arial" w:cs="Arial"/>
                <w:sz w:val="18"/>
                <w:szCs w:val="18"/>
                <w:lang w:eastAsia="es-CO"/>
              </w:rPr>
              <w:t>ingresos al Ministerio de Hacienda y Crédito Público</w:t>
            </w:r>
          </w:p>
        </w:tc>
        <w:tc>
          <w:tcPr>
            <w:tcW w:w="4337" w:type="dxa"/>
            <w:gridSpan w:val="2"/>
            <w:shd w:val="clear" w:color="auto" w:fill="FFFFFF"/>
            <w:hideMark/>
          </w:tcPr>
          <w:p w14:paraId="2F22A622" w14:textId="184EE4C6" w:rsidR="0046335B" w:rsidRPr="00804F26" w:rsidRDefault="0046335B" w:rsidP="008F526A">
            <w:pPr>
              <w:jc w:val="both"/>
              <w:rPr>
                <w:rFonts w:ascii="Arial" w:hAnsi="Arial" w:cs="Arial"/>
                <w:sz w:val="18"/>
                <w:szCs w:val="18"/>
                <w:lang w:eastAsia="es-CO"/>
              </w:rPr>
            </w:pPr>
            <w:r w:rsidRPr="00804F26">
              <w:rPr>
                <w:rFonts w:ascii="Arial" w:hAnsi="Arial" w:cs="Arial"/>
                <w:b/>
                <w:sz w:val="18"/>
                <w:szCs w:val="18"/>
                <w:lang w:eastAsia="es-CO"/>
              </w:rPr>
              <w:t xml:space="preserve">Mensual: </w:t>
            </w:r>
            <w:r w:rsidR="008F526A" w:rsidRPr="00804F26">
              <w:rPr>
                <w:rFonts w:ascii="Arial" w:hAnsi="Arial" w:cs="Arial"/>
                <w:sz w:val="18"/>
                <w:szCs w:val="18"/>
                <w:lang w:eastAsia="es-CO"/>
              </w:rPr>
              <w:t xml:space="preserve">Diez </w:t>
            </w:r>
            <w:r w:rsidRPr="00804F26">
              <w:rPr>
                <w:rFonts w:ascii="Arial" w:hAnsi="Arial" w:cs="Arial"/>
                <w:sz w:val="18"/>
                <w:szCs w:val="18"/>
                <w:lang w:eastAsia="es-CO"/>
              </w:rPr>
              <w:t>(</w:t>
            </w:r>
            <w:r w:rsidR="008F526A" w:rsidRPr="00804F26">
              <w:rPr>
                <w:rFonts w:ascii="Arial" w:hAnsi="Arial" w:cs="Arial"/>
                <w:sz w:val="18"/>
                <w:szCs w:val="18"/>
                <w:lang w:eastAsia="es-CO"/>
              </w:rPr>
              <w:t>10</w:t>
            </w:r>
            <w:r w:rsidRPr="00804F26">
              <w:rPr>
                <w:rFonts w:ascii="Arial" w:hAnsi="Arial" w:cs="Arial"/>
                <w:sz w:val="18"/>
                <w:szCs w:val="18"/>
                <w:lang w:eastAsia="es-CO"/>
              </w:rPr>
              <w:t xml:space="preserve">) primeros días hábiles </w:t>
            </w:r>
            <w:r w:rsidR="00804F26">
              <w:rPr>
                <w:rFonts w:ascii="Arial" w:hAnsi="Arial" w:cs="Arial"/>
                <w:sz w:val="18"/>
                <w:szCs w:val="18"/>
                <w:lang w:eastAsia="es-CO"/>
              </w:rPr>
              <w:t xml:space="preserve">del mes </w:t>
            </w:r>
            <w:r w:rsidRPr="00804F26">
              <w:rPr>
                <w:rFonts w:ascii="Arial" w:hAnsi="Arial" w:cs="Arial"/>
                <w:sz w:val="18"/>
                <w:szCs w:val="18"/>
                <w:lang w:eastAsia="es-CO"/>
              </w:rPr>
              <w:t xml:space="preserve">siguiente al que corresponde la información. </w:t>
            </w:r>
          </w:p>
        </w:tc>
      </w:tr>
      <w:tr w:rsidR="0046335B" w:rsidRPr="00B71716" w14:paraId="4DDEB2AD" w14:textId="77777777" w:rsidTr="00DB31BB">
        <w:trPr>
          <w:trHeight w:val="692"/>
        </w:trPr>
        <w:tc>
          <w:tcPr>
            <w:tcW w:w="4745" w:type="dxa"/>
            <w:shd w:val="clear" w:color="auto" w:fill="FFFFFF"/>
            <w:hideMark/>
          </w:tcPr>
          <w:p w14:paraId="0884494A" w14:textId="77777777" w:rsidR="0046335B" w:rsidRPr="00804F26" w:rsidRDefault="0046335B" w:rsidP="00580C7E">
            <w:pPr>
              <w:jc w:val="both"/>
              <w:rPr>
                <w:rFonts w:ascii="Arial" w:hAnsi="Arial" w:cs="Arial"/>
                <w:sz w:val="18"/>
                <w:szCs w:val="18"/>
                <w:lang w:eastAsia="es-CO"/>
              </w:rPr>
            </w:pPr>
            <w:r w:rsidRPr="00183EC9">
              <w:rPr>
                <w:rFonts w:ascii="Arial" w:hAnsi="Arial" w:cs="Arial"/>
                <w:sz w:val="18"/>
                <w:szCs w:val="18"/>
                <w:lang w:eastAsia="es-CO"/>
              </w:rPr>
              <w:t>Recepción de la Subdirección Jurídica de la información relacionada con los procesos judiciales, laudos arbitrales y concil</w:t>
            </w:r>
            <w:r w:rsidRPr="006A674B">
              <w:rPr>
                <w:rFonts w:ascii="Arial" w:hAnsi="Arial" w:cs="Arial"/>
                <w:sz w:val="18"/>
                <w:szCs w:val="18"/>
                <w:lang w:eastAsia="es-CO"/>
              </w:rPr>
              <w:t>iaciones extrajudiciales a favor y en contra del MHCP</w:t>
            </w:r>
          </w:p>
        </w:tc>
        <w:tc>
          <w:tcPr>
            <w:tcW w:w="4337" w:type="dxa"/>
            <w:gridSpan w:val="2"/>
            <w:shd w:val="clear" w:color="auto" w:fill="FFFFFF"/>
            <w:hideMark/>
          </w:tcPr>
          <w:p w14:paraId="55FC5F3E" w14:textId="2CFDE967" w:rsidR="0046335B" w:rsidRPr="00804F26" w:rsidRDefault="00706002" w:rsidP="00322817">
            <w:pPr>
              <w:jc w:val="both"/>
              <w:rPr>
                <w:rFonts w:ascii="Arial" w:hAnsi="Arial" w:cs="Arial"/>
                <w:sz w:val="18"/>
                <w:szCs w:val="18"/>
                <w:lang w:eastAsia="es-CO"/>
              </w:rPr>
            </w:pPr>
            <w:r w:rsidRPr="00804F26">
              <w:rPr>
                <w:rFonts w:ascii="Arial" w:hAnsi="Arial" w:cs="Arial"/>
                <w:b/>
                <w:sz w:val="18"/>
                <w:szCs w:val="18"/>
                <w:lang w:eastAsia="es-CO"/>
              </w:rPr>
              <w:t>Mensual</w:t>
            </w:r>
            <w:r w:rsidR="0046335B" w:rsidRPr="00804F26">
              <w:rPr>
                <w:rFonts w:ascii="Arial" w:hAnsi="Arial" w:cs="Arial"/>
                <w:b/>
                <w:sz w:val="18"/>
                <w:szCs w:val="18"/>
                <w:lang w:eastAsia="es-CO"/>
              </w:rPr>
              <w:t xml:space="preserve">: </w:t>
            </w:r>
            <w:r w:rsidR="00322817" w:rsidRPr="00804F26">
              <w:rPr>
                <w:rFonts w:ascii="Arial" w:hAnsi="Arial" w:cs="Arial"/>
                <w:sz w:val="18"/>
                <w:szCs w:val="18"/>
                <w:lang w:eastAsia="es-CO"/>
              </w:rPr>
              <w:t>Quince</w:t>
            </w:r>
            <w:r w:rsidR="00322817" w:rsidRPr="00804F26">
              <w:rPr>
                <w:rFonts w:ascii="Arial" w:hAnsi="Arial" w:cs="Arial"/>
                <w:b/>
                <w:sz w:val="18"/>
                <w:szCs w:val="18"/>
                <w:lang w:eastAsia="es-CO"/>
              </w:rPr>
              <w:t xml:space="preserve"> </w:t>
            </w:r>
            <w:r w:rsidR="0046335B" w:rsidRPr="00804F26">
              <w:rPr>
                <w:rFonts w:ascii="Arial" w:hAnsi="Arial" w:cs="Arial"/>
                <w:sz w:val="18"/>
                <w:szCs w:val="18"/>
                <w:lang w:eastAsia="es-CO"/>
              </w:rPr>
              <w:t>(</w:t>
            </w:r>
            <w:r w:rsidR="00322817" w:rsidRPr="00804F26">
              <w:rPr>
                <w:rFonts w:ascii="Arial" w:hAnsi="Arial" w:cs="Arial"/>
                <w:sz w:val="18"/>
                <w:szCs w:val="18"/>
                <w:lang w:eastAsia="es-CO"/>
              </w:rPr>
              <w:t>15</w:t>
            </w:r>
            <w:r w:rsidR="0046335B" w:rsidRPr="00804F26">
              <w:rPr>
                <w:rFonts w:ascii="Arial" w:hAnsi="Arial" w:cs="Arial"/>
                <w:sz w:val="18"/>
                <w:szCs w:val="18"/>
                <w:lang w:eastAsia="es-CO"/>
              </w:rPr>
              <w:t xml:space="preserve">) </w:t>
            </w:r>
            <w:r w:rsidR="00804F26">
              <w:rPr>
                <w:rFonts w:ascii="Arial" w:hAnsi="Arial" w:cs="Arial"/>
                <w:sz w:val="18"/>
                <w:szCs w:val="18"/>
                <w:lang w:eastAsia="es-CO"/>
              </w:rPr>
              <w:t xml:space="preserve">primeros </w:t>
            </w:r>
            <w:r w:rsidR="00322817" w:rsidRPr="00804F26">
              <w:rPr>
                <w:rFonts w:ascii="Arial" w:hAnsi="Arial" w:cs="Arial"/>
                <w:sz w:val="18"/>
                <w:szCs w:val="18"/>
                <w:lang w:eastAsia="es-CO"/>
              </w:rPr>
              <w:t xml:space="preserve">días calendario </w:t>
            </w:r>
            <w:r w:rsidR="00804F26">
              <w:rPr>
                <w:rFonts w:ascii="Arial" w:hAnsi="Arial" w:cs="Arial"/>
                <w:sz w:val="18"/>
                <w:szCs w:val="18"/>
                <w:lang w:eastAsia="es-CO"/>
              </w:rPr>
              <w:t xml:space="preserve">del mes </w:t>
            </w:r>
            <w:r w:rsidR="0046335B" w:rsidRPr="00804F26">
              <w:rPr>
                <w:rFonts w:ascii="Arial" w:hAnsi="Arial" w:cs="Arial"/>
                <w:sz w:val="18"/>
                <w:szCs w:val="18"/>
                <w:lang w:eastAsia="es-CO"/>
              </w:rPr>
              <w:t xml:space="preserve">siguiente al </w:t>
            </w:r>
            <w:r w:rsidR="00804F26">
              <w:rPr>
                <w:rFonts w:ascii="Arial" w:hAnsi="Arial" w:cs="Arial"/>
                <w:sz w:val="18"/>
                <w:szCs w:val="18"/>
                <w:lang w:eastAsia="es-CO"/>
              </w:rPr>
              <w:t xml:space="preserve">que </w:t>
            </w:r>
            <w:r w:rsidR="0046335B" w:rsidRPr="00804F26">
              <w:rPr>
                <w:rFonts w:ascii="Arial" w:hAnsi="Arial" w:cs="Arial"/>
                <w:sz w:val="18"/>
                <w:szCs w:val="18"/>
                <w:lang w:eastAsia="es-CO"/>
              </w:rPr>
              <w:t>corresponde la información.</w:t>
            </w:r>
          </w:p>
        </w:tc>
      </w:tr>
      <w:tr w:rsidR="0046335B" w:rsidRPr="00B71716" w14:paraId="0DF1770A" w14:textId="77777777" w:rsidTr="00DB31BB">
        <w:trPr>
          <w:trHeight w:val="535"/>
        </w:trPr>
        <w:tc>
          <w:tcPr>
            <w:tcW w:w="4745" w:type="dxa"/>
            <w:shd w:val="clear" w:color="auto" w:fill="FFFFFF"/>
            <w:hideMark/>
          </w:tcPr>
          <w:p w14:paraId="737978ED" w14:textId="77777777" w:rsidR="0046335B" w:rsidRPr="006A674B" w:rsidRDefault="0046335B" w:rsidP="00580C7E">
            <w:pPr>
              <w:jc w:val="both"/>
              <w:rPr>
                <w:rFonts w:ascii="Arial" w:hAnsi="Arial" w:cs="Arial"/>
                <w:sz w:val="18"/>
                <w:szCs w:val="18"/>
                <w:lang w:eastAsia="es-CO"/>
              </w:rPr>
            </w:pPr>
            <w:r w:rsidRPr="00183EC9">
              <w:rPr>
                <w:rFonts w:ascii="Arial" w:hAnsi="Arial" w:cs="Arial"/>
                <w:sz w:val="18"/>
                <w:szCs w:val="18"/>
                <w:lang w:eastAsia="es-CO"/>
              </w:rPr>
              <w:t>Recepción del Banco de la República de la Información relacionada con el FRECH – Fondo de Reserva de Estabiliza</w:t>
            </w:r>
            <w:r w:rsidRPr="006A674B">
              <w:rPr>
                <w:rFonts w:ascii="Arial" w:hAnsi="Arial" w:cs="Arial"/>
                <w:sz w:val="18"/>
                <w:szCs w:val="18"/>
                <w:lang w:eastAsia="es-CO"/>
              </w:rPr>
              <w:t>ción de la Cartera Hipotecaria.</w:t>
            </w:r>
          </w:p>
        </w:tc>
        <w:tc>
          <w:tcPr>
            <w:tcW w:w="4337" w:type="dxa"/>
            <w:gridSpan w:val="2"/>
            <w:shd w:val="clear" w:color="auto" w:fill="FFFFFF"/>
            <w:hideMark/>
          </w:tcPr>
          <w:p w14:paraId="16211363" w14:textId="5EB5CF25" w:rsidR="0046335B" w:rsidRPr="00804F26" w:rsidRDefault="0046335B" w:rsidP="00580C7E">
            <w:pPr>
              <w:jc w:val="both"/>
              <w:rPr>
                <w:rFonts w:ascii="Arial" w:hAnsi="Arial" w:cs="Arial"/>
                <w:sz w:val="18"/>
                <w:szCs w:val="18"/>
                <w:lang w:eastAsia="es-CO"/>
              </w:rPr>
            </w:pPr>
            <w:r w:rsidRPr="00804F26">
              <w:rPr>
                <w:rFonts w:ascii="Arial" w:hAnsi="Arial" w:cs="Arial"/>
                <w:b/>
                <w:sz w:val="18"/>
                <w:szCs w:val="18"/>
                <w:lang w:eastAsia="es-CO"/>
              </w:rPr>
              <w:t xml:space="preserve">Mensual: </w:t>
            </w:r>
            <w:r w:rsidRPr="00804F26">
              <w:rPr>
                <w:rFonts w:ascii="Arial" w:hAnsi="Arial" w:cs="Arial"/>
                <w:sz w:val="18"/>
                <w:szCs w:val="18"/>
                <w:lang w:eastAsia="es-CO"/>
              </w:rPr>
              <w:t>Diez (10)</w:t>
            </w:r>
            <w:r w:rsidR="00804F26">
              <w:rPr>
                <w:rFonts w:ascii="Arial" w:hAnsi="Arial" w:cs="Arial"/>
                <w:sz w:val="18"/>
                <w:szCs w:val="18"/>
                <w:lang w:eastAsia="es-CO"/>
              </w:rPr>
              <w:t xml:space="preserve"> primeros </w:t>
            </w:r>
            <w:r w:rsidRPr="00804F26">
              <w:rPr>
                <w:rFonts w:ascii="Arial" w:hAnsi="Arial" w:cs="Arial"/>
                <w:sz w:val="18"/>
                <w:szCs w:val="18"/>
                <w:lang w:eastAsia="es-CO"/>
              </w:rPr>
              <w:t xml:space="preserve">días </w:t>
            </w:r>
            <w:r w:rsidR="00D770DB" w:rsidRPr="00804F26">
              <w:rPr>
                <w:rFonts w:ascii="Arial" w:hAnsi="Arial" w:cs="Arial"/>
                <w:sz w:val="18"/>
                <w:szCs w:val="18"/>
                <w:lang w:eastAsia="es-CO"/>
              </w:rPr>
              <w:t>calendario</w:t>
            </w:r>
            <w:r w:rsidR="002E0FC0">
              <w:rPr>
                <w:rFonts w:ascii="Arial" w:hAnsi="Arial" w:cs="Arial"/>
                <w:sz w:val="18"/>
                <w:szCs w:val="18"/>
                <w:lang w:eastAsia="es-CO"/>
              </w:rPr>
              <w:t xml:space="preserve"> del mes </w:t>
            </w:r>
            <w:r w:rsidRPr="00804F26">
              <w:rPr>
                <w:rFonts w:ascii="Arial" w:hAnsi="Arial" w:cs="Arial"/>
                <w:sz w:val="18"/>
                <w:szCs w:val="18"/>
                <w:lang w:eastAsia="es-CO"/>
              </w:rPr>
              <w:t>siguiente al que corresponde la información</w:t>
            </w:r>
          </w:p>
        </w:tc>
      </w:tr>
      <w:tr w:rsidR="0046335B" w:rsidRPr="00B71716" w14:paraId="571B47A6" w14:textId="77777777" w:rsidTr="00DB31BB">
        <w:trPr>
          <w:trHeight w:val="543"/>
        </w:trPr>
        <w:tc>
          <w:tcPr>
            <w:tcW w:w="4745" w:type="dxa"/>
            <w:shd w:val="clear" w:color="auto" w:fill="FFFFFF"/>
            <w:hideMark/>
          </w:tcPr>
          <w:p w14:paraId="03706559" w14:textId="77777777" w:rsidR="0046335B" w:rsidRPr="006A674B" w:rsidRDefault="0046335B" w:rsidP="00580C7E">
            <w:pPr>
              <w:jc w:val="both"/>
              <w:rPr>
                <w:rFonts w:ascii="Arial" w:hAnsi="Arial" w:cs="Arial"/>
                <w:sz w:val="18"/>
                <w:szCs w:val="18"/>
                <w:lang w:eastAsia="es-CO"/>
              </w:rPr>
            </w:pPr>
            <w:r w:rsidRPr="00183EC9">
              <w:rPr>
                <w:rFonts w:ascii="Arial" w:hAnsi="Arial" w:cs="Arial"/>
                <w:sz w:val="18"/>
                <w:szCs w:val="18"/>
                <w:lang w:eastAsia="es-CO"/>
              </w:rPr>
              <w:t xml:space="preserve">Recepción de la información relacionada con los movimientos de cartera y de deudores del MHCP </w:t>
            </w:r>
          </w:p>
        </w:tc>
        <w:tc>
          <w:tcPr>
            <w:tcW w:w="4337" w:type="dxa"/>
            <w:gridSpan w:val="2"/>
            <w:shd w:val="clear" w:color="auto" w:fill="FFFFFF"/>
            <w:hideMark/>
          </w:tcPr>
          <w:p w14:paraId="09ECA8FA" w14:textId="17EC1C6E" w:rsidR="0046335B" w:rsidRPr="002E0FC0" w:rsidRDefault="0046335B" w:rsidP="00580C7E">
            <w:pPr>
              <w:jc w:val="both"/>
              <w:rPr>
                <w:rFonts w:ascii="Arial" w:hAnsi="Arial" w:cs="Arial"/>
                <w:sz w:val="18"/>
                <w:szCs w:val="18"/>
                <w:lang w:eastAsia="es-CO"/>
              </w:rPr>
            </w:pPr>
            <w:r w:rsidRPr="002E0FC0">
              <w:rPr>
                <w:rFonts w:ascii="Arial" w:hAnsi="Arial" w:cs="Arial"/>
                <w:b/>
                <w:sz w:val="18"/>
                <w:szCs w:val="18"/>
                <w:lang w:eastAsia="es-CO"/>
              </w:rPr>
              <w:t xml:space="preserve">Mensual: </w:t>
            </w:r>
            <w:r w:rsidRPr="002E0FC0">
              <w:rPr>
                <w:rFonts w:ascii="Arial" w:hAnsi="Arial" w:cs="Arial"/>
                <w:sz w:val="18"/>
                <w:szCs w:val="18"/>
                <w:lang w:eastAsia="es-CO"/>
              </w:rPr>
              <w:t xml:space="preserve">Cinco (5) primeros días hábiles </w:t>
            </w:r>
            <w:r w:rsidR="002E0FC0">
              <w:rPr>
                <w:rFonts w:ascii="Arial" w:hAnsi="Arial" w:cs="Arial"/>
                <w:sz w:val="18"/>
                <w:szCs w:val="18"/>
                <w:lang w:eastAsia="es-CO"/>
              </w:rPr>
              <w:t xml:space="preserve">del mes </w:t>
            </w:r>
            <w:r w:rsidRPr="002E0FC0">
              <w:rPr>
                <w:rFonts w:ascii="Arial" w:hAnsi="Arial" w:cs="Arial"/>
                <w:sz w:val="18"/>
                <w:szCs w:val="18"/>
                <w:lang w:eastAsia="es-CO"/>
              </w:rPr>
              <w:t>siguiente al que corresponde la información.</w:t>
            </w:r>
          </w:p>
        </w:tc>
      </w:tr>
      <w:tr w:rsidR="0046335B" w:rsidRPr="00100505" w14:paraId="7999E0DF" w14:textId="77777777" w:rsidTr="00DB31BB">
        <w:trPr>
          <w:trHeight w:val="964"/>
        </w:trPr>
        <w:tc>
          <w:tcPr>
            <w:tcW w:w="4745" w:type="dxa"/>
            <w:shd w:val="clear" w:color="auto" w:fill="FFFFFF"/>
          </w:tcPr>
          <w:p w14:paraId="4C989A6C" w14:textId="77777777" w:rsidR="0046335B" w:rsidRPr="00DB31BB" w:rsidRDefault="0046335B" w:rsidP="0098644A">
            <w:pPr>
              <w:jc w:val="both"/>
              <w:rPr>
                <w:rFonts w:ascii="Arial" w:hAnsi="Arial" w:cs="Arial"/>
                <w:sz w:val="18"/>
                <w:szCs w:val="18"/>
                <w:lang w:eastAsia="es-CO"/>
              </w:rPr>
            </w:pPr>
            <w:r w:rsidRPr="00DB31BB">
              <w:rPr>
                <w:rFonts w:ascii="Arial" w:hAnsi="Arial" w:cs="Arial"/>
                <w:sz w:val="18"/>
                <w:szCs w:val="18"/>
                <w:lang w:eastAsia="es-CO"/>
              </w:rPr>
              <w:t>Recepción del Grupo de Registro Contable de la D</w:t>
            </w:r>
            <w:r w:rsidR="0098644A" w:rsidRPr="00DB31BB">
              <w:rPr>
                <w:rFonts w:ascii="Arial" w:hAnsi="Arial" w:cs="Arial"/>
                <w:sz w:val="18"/>
                <w:szCs w:val="18"/>
                <w:lang w:eastAsia="es-CO"/>
              </w:rPr>
              <w:t>GCPTN</w:t>
            </w:r>
            <w:r w:rsidRPr="00DB31BB">
              <w:rPr>
                <w:rFonts w:ascii="Arial" w:hAnsi="Arial" w:cs="Arial"/>
                <w:sz w:val="18"/>
                <w:szCs w:val="18"/>
                <w:lang w:eastAsia="es-CO"/>
              </w:rPr>
              <w:t>, de la información relacionada con los ingresos recibidos en la cuenta de fondos comunes del Banco Popular, asignados al MHCP</w:t>
            </w:r>
          </w:p>
        </w:tc>
        <w:tc>
          <w:tcPr>
            <w:tcW w:w="4337" w:type="dxa"/>
            <w:gridSpan w:val="2"/>
            <w:shd w:val="clear" w:color="auto" w:fill="FFFFFF"/>
          </w:tcPr>
          <w:p w14:paraId="15690963" w14:textId="45245035" w:rsidR="0046335B" w:rsidRPr="00DB31BB" w:rsidRDefault="0046335B" w:rsidP="00580C7E">
            <w:pPr>
              <w:jc w:val="both"/>
              <w:rPr>
                <w:rFonts w:ascii="Arial" w:hAnsi="Arial" w:cs="Arial"/>
                <w:sz w:val="18"/>
                <w:szCs w:val="18"/>
                <w:lang w:eastAsia="es-CO"/>
              </w:rPr>
            </w:pPr>
            <w:r w:rsidRPr="007E269E">
              <w:rPr>
                <w:rFonts w:ascii="Arial" w:hAnsi="Arial" w:cs="Arial"/>
                <w:b/>
                <w:sz w:val="18"/>
                <w:szCs w:val="18"/>
                <w:lang w:eastAsia="es-CO"/>
              </w:rPr>
              <w:t>M</w:t>
            </w:r>
            <w:r w:rsidRPr="00DB31BB">
              <w:rPr>
                <w:rFonts w:ascii="Arial" w:hAnsi="Arial" w:cs="Arial"/>
                <w:b/>
                <w:sz w:val="18"/>
                <w:szCs w:val="18"/>
                <w:lang w:eastAsia="es-CO"/>
              </w:rPr>
              <w:t>ensual:</w:t>
            </w:r>
            <w:r w:rsidRPr="00DB31BB">
              <w:rPr>
                <w:rFonts w:ascii="Arial" w:hAnsi="Arial" w:cs="Arial"/>
                <w:sz w:val="18"/>
                <w:szCs w:val="18"/>
                <w:lang w:eastAsia="es-CO"/>
              </w:rPr>
              <w:t xml:space="preserve"> </w:t>
            </w:r>
            <w:r w:rsidR="00790B34" w:rsidRPr="00DB31BB">
              <w:rPr>
                <w:rFonts w:ascii="Arial" w:hAnsi="Arial" w:cs="Arial"/>
                <w:sz w:val="18"/>
                <w:szCs w:val="18"/>
                <w:lang w:eastAsia="es-CO"/>
              </w:rPr>
              <w:t xml:space="preserve">Diez (10) </w:t>
            </w:r>
            <w:r w:rsidR="00DB31BB" w:rsidRPr="00DB31BB">
              <w:rPr>
                <w:rFonts w:ascii="Arial" w:hAnsi="Arial" w:cs="Arial"/>
                <w:sz w:val="18"/>
                <w:szCs w:val="18"/>
                <w:lang w:eastAsia="es-CO"/>
              </w:rPr>
              <w:t xml:space="preserve">primeros </w:t>
            </w:r>
            <w:r w:rsidR="00790B34" w:rsidRPr="00DB31BB">
              <w:rPr>
                <w:rFonts w:ascii="Arial" w:hAnsi="Arial" w:cs="Arial"/>
                <w:sz w:val="18"/>
                <w:szCs w:val="18"/>
                <w:lang w:eastAsia="es-CO"/>
              </w:rPr>
              <w:t>días</w:t>
            </w:r>
            <w:r w:rsidR="008C3684" w:rsidRPr="00DB31BB">
              <w:rPr>
                <w:rFonts w:ascii="Arial" w:hAnsi="Arial" w:cs="Arial"/>
                <w:sz w:val="18"/>
                <w:szCs w:val="18"/>
                <w:lang w:eastAsia="es-CO"/>
              </w:rPr>
              <w:t xml:space="preserve"> </w:t>
            </w:r>
            <w:r w:rsidR="00790B34" w:rsidRPr="00DB31BB">
              <w:rPr>
                <w:rFonts w:ascii="Arial" w:hAnsi="Arial" w:cs="Arial"/>
                <w:sz w:val="18"/>
                <w:szCs w:val="18"/>
                <w:lang w:eastAsia="es-CO"/>
              </w:rPr>
              <w:t>calendario</w:t>
            </w:r>
            <w:r w:rsidR="00DB31BB" w:rsidRPr="00DB31BB">
              <w:rPr>
                <w:rFonts w:ascii="Arial" w:hAnsi="Arial" w:cs="Arial"/>
                <w:sz w:val="18"/>
                <w:szCs w:val="18"/>
                <w:lang w:eastAsia="es-CO"/>
              </w:rPr>
              <w:t xml:space="preserve"> del mes </w:t>
            </w:r>
            <w:r w:rsidR="00790B34" w:rsidRPr="00DB31BB">
              <w:rPr>
                <w:rFonts w:ascii="Arial" w:hAnsi="Arial" w:cs="Arial"/>
                <w:sz w:val="18"/>
                <w:szCs w:val="18"/>
                <w:lang w:eastAsia="es-CO"/>
              </w:rPr>
              <w:t>siguiente al que corresponde la información</w:t>
            </w:r>
          </w:p>
        </w:tc>
      </w:tr>
      <w:tr w:rsidR="0046335B" w:rsidRPr="00B71716" w14:paraId="7DEE9DAF" w14:textId="77777777" w:rsidTr="00DB31BB">
        <w:trPr>
          <w:trHeight w:val="211"/>
        </w:trPr>
        <w:tc>
          <w:tcPr>
            <w:tcW w:w="4745" w:type="dxa"/>
            <w:vMerge w:val="restart"/>
            <w:shd w:val="clear" w:color="auto" w:fill="FFFFFF"/>
          </w:tcPr>
          <w:p w14:paraId="1F54B6E9" w14:textId="77777777" w:rsidR="0046335B" w:rsidRPr="00E554A9" w:rsidRDefault="0046335B" w:rsidP="00580C7E">
            <w:pPr>
              <w:jc w:val="both"/>
              <w:rPr>
                <w:rFonts w:ascii="Arial" w:hAnsi="Arial" w:cs="Arial"/>
                <w:sz w:val="18"/>
                <w:szCs w:val="18"/>
                <w:lang w:eastAsia="es-CO"/>
              </w:rPr>
            </w:pPr>
            <w:r w:rsidRPr="00183EC9">
              <w:rPr>
                <w:rFonts w:ascii="Arial" w:hAnsi="Arial" w:cs="Arial"/>
                <w:sz w:val="18"/>
                <w:szCs w:val="18"/>
                <w:lang w:eastAsia="es-CO"/>
              </w:rPr>
              <w:t xml:space="preserve">Recepción de información relacionada con el </w:t>
            </w:r>
            <w:r w:rsidRPr="006A674B">
              <w:rPr>
                <w:rFonts w:ascii="Arial" w:hAnsi="Arial" w:cs="Arial"/>
                <w:sz w:val="18"/>
                <w:szCs w:val="18"/>
                <w:lang w:eastAsia="es-CO"/>
              </w:rPr>
              <w:t>reconocimiento y actualización de las inversiones del MHCP</w:t>
            </w:r>
          </w:p>
        </w:tc>
        <w:tc>
          <w:tcPr>
            <w:tcW w:w="4337" w:type="dxa"/>
            <w:gridSpan w:val="2"/>
            <w:shd w:val="clear" w:color="auto" w:fill="FFFFFF"/>
          </w:tcPr>
          <w:p w14:paraId="0FF9D1B4" w14:textId="77777777" w:rsidR="0046335B" w:rsidRPr="00E554A9" w:rsidRDefault="0046335B" w:rsidP="00580C7E">
            <w:pPr>
              <w:jc w:val="both"/>
              <w:rPr>
                <w:rFonts w:ascii="Arial" w:hAnsi="Arial" w:cs="Arial"/>
                <w:b/>
                <w:sz w:val="18"/>
                <w:szCs w:val="18"/>
                <w:lang w:eastAsia="es-CO"/>
              </w:rPr>
            </w:pPr>
            <w:r w:rsidRPr="00E554A9">
              <w:rPr>
                <w:rFonts w:ascii="Arial" w:hAnsi="Arial" w:cs="Arial"/>
                <w:b/>
                <w:sz w:val="18"/>
                <w:szCs w:val="18"/>
                <w:lang w:eastAsia="es-CO"/>
              </w:rPr>
              <w:t>Trimestral:</w:t>
            </w:r>
          </w:p>
        </w:tc>
      </w:tr>
      <w:tr w:rsidR="0046335B" w:rsidRPr="00B71716" w14:paraId="2B1990A7" w14:textId="77777777" w:rsidTr="00DB31BB">
        <w:trPr>
          <w:trHeight w:val="289"/>
        </w:trPr>
        <w:tc>
          <w:tcPr>
            <w:tcW w:w="4745" w:type="dxa"/>
            <w:vMerge/>
            <w:shd w:val="clear" w:color="auto" w:fill="FFFFFF"/>
          </w:tcPr>
          <w:p w14:paraId="462444BA" w14:textId="77777777" w:rsidR="0046335B" w:rsidRPr="00100505" w:rsidRDefault="0046335B" w:rsidP="00580C7E">
            <w:pPr>
              <w:jc w:val="both"/>
              <w:rPr>
                <w:rFonts w:ascii="Arial" w:hAnsi="Arial" w:cs="Arial"/>
                <w:sz w:val="18"/>
                <w:szCs w:val="18"/>
                <w:lang w:eastAsia="es-CO"/>
              </w:rPr>
            </w:pPr>
          </w:p>
        </w:tc>
        <w:tc>
          <w:tcPr>
            <w:tcW w:w="2565" w:type="dxa"/>
            <w:shd w:val="clear" w:color="auto" w:fill="FFFFFF"/>
          </w:tcPr>
          <w:p w14:paraId="786D5AAD" w14:textId="77777777" w:rsidR="0046335B" w:rsidRPr="00100505" w:rsidRDefault="0046335B" w:rsidP="009D03C3">
            <w:pPr>
              <w:jc w:val="center"/>
              <w:rPr>
                <w:rFonts w:ascii="Arial" w:hAnsi="Arial" w:cs="Arial"/>
                <w:b/>
                <w:sz w:val="18"/>
                <w:szCs w:val="18"/>
                <w:lang w:eastAsia="es-CO"/>
              </w:rPr>
            </w:pPr>
            <w:r w:rsidRPr="00100505">
              <w:rPr>
                <w:rFonts w:ascii="Arial" w:hAnsi="Arial" w:cs="Arial"/>
                <w:b/>
                <w:sz w:val="18"/>
                <w:szCs w:val="18"/>
                <w:lang w:eastAsia="es-CO"/>
              </w:rPr>
              <w:t>Fecha de corte</w:t>
            </w:r>
          </w:p>
        </w:tc>
        <w:tc>
          <w:tcPr>
            <w:tcW w:w="1772" w:type="dxa"/>
            <w:shd w:val="clear" w:color="auto" w:fill="FFFFFF"/>
          </w:tcPr>
          <w:p w14:paraId="163C8727" w14:textId="77777777" w:rsidR="0046335B" w:rsidRPr="00100505" w:rsidRDefault="0046335B" w:rsidP="009D03C3">
            <w:pPr>
              <w:jc w:val="center"/>
              <w:rPr>
                <w:rFonts w:ascii="Arial" w:hAnsi="Arial" w:cs="Arial"/>
                <w:b/>
                <w:sz w:val="18"/>
                <w:szCs w:val="18"/>
                <w:lang w:eastAsia="es-CO"/>
              </w:rPr>
            </w:pPr>
            <w:r w:rsidRPr="00100505">
              <w:rPr>
                <w:rFonts w:ascii="Arial" w:hAnsi="Arial" w:cs="Arial"/>
                <w:b/>
                <w:sz w:val="18"/>
                <w:szCs w:val="18"/>
                <w:lang w:eastAsia="es-CO"/>
              </w:rPr>
              <w:t>Fecha Límite de presentación</w:t>
            </w:r>
            <w:r w:rsidR="002C450F" w:rsidRPr="00100505">
              <w:rPr>
                <w:rFonts w:ascii="Arial" w:hAnsi="Arial" w:cs="Arial"/>
                <w:b/>
                <w:sz w:val="18"/>
                <w:szCs w:val="18"/>
                <w:lang w:eastAsia="es-CO"/>
              </w:rPr>
              <w:t xml:space="preserve"> al MHCP</w:t>
            </w:r>
          </w:p>
        </w:tc>
      </w:tr>
      <w:tr w:rsidR="0046335B" w:rsidRPr="00B71716" w14:paraId="790CE305" w14:textId="77777777" w:rsidTr="00DB31BB">
        <w:trPr>
          <w:trHeight w:val="289"/>
        </w:trPr>
        <w:tc>
          <w:tcPr>
            <w:tcW w:w="4745" w:type="dxa"/>
            <w:vMerge/>
            <w:shd w:val="clear" w:color="auto" w:fill="FFFFFF"/>
          </w:tcPr>
          <w:p w14:paraId="0ECF13F6" w14:textId="77777777" w:rsidR="0046335B" w:rsidRPr="00100505" w:rsidRDefault="0046335B" w:rsidP="00580C7E">
            <w:pPr>
              <w:jc w:val="both"/>
              <w:rPr>
                <w:rFonts w:ascii="Arial" w:hAnsi="Arial" w:cs="Arial"/>
                <w:sz w:val="18"/>
                <w:szCs w:val="18"/>
                <w:lang w:eastAsia="es-CO"/>
              </w:rPr>
            </w:pPr>
          </w:p>
        </w:tc>
        <w:tc>
          <w:tcPr>
            <w:tcW w:w="2565" w:type="dxa"/>
            <w:shd w:val="clear" w:color="auto" w:fill="FFFFFF"/>
          </w:tcPr>
          <w:p w14:paraId="393D8E2C" w14:textId="77777777" w:rsidR="0046335B" w:rsidRPr="00100505" w:rsidRDefault="0046335B" w:rsidP="00580C7E">
            <w:pPr>
              <w:jc w:val="both"/>
              <w:rPr>
                <w:rFonts w:ascii="Arial" w:hAnsi="Arial" w:cs="Arial"/>
                <w:sz w:val="18"/>
                <w:szCs w:val="18"/>
                <w:lang w:eastAsia="es-CO"/>
              </w:rPr>
            </w:pPr>
            <w:r w:rsidRPr="00100505">
              <w:rPr>
                <w:rFonts w:ascii="Arial" w:hAnsi="Arial" w:cs="Arial"/>
                <w:sz w:val="18"/>
                <w:szCs w:val="18"/>
                <w:lang w:eastAsia="es-CO"/>
              </w:rPr>
              <w:t xml:space="preserve">31 de marzo </w:t>
            </w:r>
          </w:p>
          <w:p w14:paraId="0984049B" w14:textId="77777777" w:rsidR="0046335B" w:rsidRPr="00100505" w:rsidRDefault="0046335B" w:rsidP="00580C7E">
            <w:pPr>
              <w:jc w:val="both"/>
              <w:rPr>
                <w:rFonts w:ascii="Arial" w:hAnsi="Arial" w:cs="Arial"/>
                <w:sz w:val="18"/>
                <w:szCs w:val="18"/>
                <w:lang w:eastAsia="es-CO"/>
              </w:rPr>
            </w:pPr>
            <w:r w:rsidRPr="00100505">
              <w:rPr>
                <w:rFonts w:ascii="Arial" w:hAnsi="Arial" w:cs="Arial"/>
                <w:sz w:val="18"/>
                <w:szCs w:val="18"/>
                <w:lang w:eastAsia="es-CO"/>
              </w:rPr>
              <w:t xml:space="preserve">30 de junio  </w:t>
            </w:r>
          </w:p>
          <w:p w14:paraId="28B160E3" w14:textId="77777777" w:rsidR="0046335B" w:rsidRPr="00100505" w:rsidRDefault="0046335B" w:rsidP="00580C7E">
            <w:pPr>
              <w:jc w:val="both"/>
              <w:rPr>
                <w:rFonts w:ascii="Arial" w:hAnsi="Arial" w:cs="Arial"/>
                <w:sz w:val="18"/>
                <w:szCs w:val="18"/>
                <w:lang w:eastAsia="es-CO"/>
              </w:rPr>
            </w:pPr>
            <w:r w:rsidRPr="00100505">
              <w:rPr>
                <w:rFonts w:ascii="Arial" w:hAnsi="Arial" w:cs="Arial"/>
                <w:sz w:val="18"/>
                <w:szCs w:val="18"/>
                <w:lang w:eastAsia="es-CO"/>
              </w:rPr>
              <w:t>30 de septiembre</w:t>
            </w:r>
          </w:p>
          <w:p w14:paraId="37DEAF3E" w14:textId="77777777" w:rsidR="0046335B" w:rsidRPr="00100505" w:rsidRDefault="0046335B" w:rsidP="00580C7E">
            <w:pPr>
              <w:jc w:val="both"/>
              <w:rPr>
                <w:rFonts w:ascii="Arial" w:hAnsi="Arial" w:cs="Arial"/>
                <w:sz w:val="18"/>
                <w:szCs w:val="18"/>
                <w:lang w:eastAsia="es-CO"/>
              </w:rPr>
            </w:pPr>
            <w:r w:rsidRPr="00100505">
              <w:rPr>
                <w:rFonts w:ascii="Arial" w:hAnsi="Arial" w:cs="Arial"/>
                <w:sz w:val="18"/>
                <w:szCs w:val="18"/>
                <w:lang w:eastAsia="es-CO"/>
              </w:rPr>
              <w:t>31</w:t>
            </w:r>
            <w:r w:rsidR="002C450F" w:rsidRPr="00100505">
              <w:rPr>
                <w:rFonts w:ascii="Arial" w:hAnsi="Arial" w:cs="Arial"/>
                <w:sz w:val="18"/>
                <w:szCs w:val="18"/>
                <w:lang w:eastAsia="es-CO"/>
              </w:rPr>
              <w:t xml:space="preserve"> </w:t>
            </w:r>
            <w:r w:rsidRPr="00100505">
              <w:rPr>
                <w:rFonts w:ascii="Arial" w:hAnsi="Arial" w:cs="Arial"/>
                <w:sz w:val="18"/>
                <w:szCs w:val="18"/>
                <w:lang w:eastAsia="es-CO"/>
              </w:rPr>
              <w:t>de diciembre</w:t>
            </w:r>
          </w:p>
        </w:tc>
        <w:tc>
          <w:tcPr>
            <w:tcW w:w="1772" w:type="dxa"/>
            <w:shd w:val="clear" w:color="auto" w:fill="FFFFFF"/>
          </w:tcPr>
          <w:p w14:paraId="74F5C200" w14:textId="00A5678E" w:rsidR="0046335B" w:rsidRPr="00100505" w:rsidRDefault="00793F79" w:rsidP="00580C7E">
            <w:pPr>
              <w:jc w:val="both"/>
              <w:rPr>
                <w:rFonts w:ascii="Arial" w:hAnsi="Arial" w:cs="Arial"/>
                <w:sz w:val="18"/>
                <w:szCs w:val="18"/>
                <w:lang w:eastAsia="es-CO"/>
              </w:rPr>
            </w:pPr>
            <w:r w:rsidRPr="00100505">
              <w:rPr>
                <w:rFonts w:ascii="Arial" w:hAnsi="Arial" w:cs="Arial"/>
                <w:sz w:val="18"/>
                <w:szCs w:val="18"/>
                <w:lang w:eastAsia="es-CO"/>
              </w:rPr>
              <w:t xml:space="preserve">30 </w:t>
            </w:r>
            <w:r w:rsidR="0046335B" w:rsidRPr="00100505">
              <w:rPr>
                <w:rFonts w:ascii="Arial" w:hAnsi="Arial" w:cs="Arial"/>
                <w:sz w:val="18"/>
                <w:szCs w:val="18"/>
                <w:lang w:eastAsia="es-CO"/>
              </w:rPr>
              <w:t xml:space="preserve">de abril </w:t>
            </w:r>
          </w:p>
          <w:p w14:paraId="13206A19" w14:textId="648265AF" w:rsidR="0046335B" w:rsidRPr="00100505" w:rsidRDefault="00793F79" w:rsidP="00580C7E">
            <w:pPr>
              <w:jc w:val="both"/>
              <w:rPr>
                <w:rFonts w:ascii="Arial" w:hAnsi="Arial" w:cs="Arial"/>
                <w:sz w:val="18"/>
                <w:szCs w:val="18"/>
                <w:lang w:eastAsia="es-CO"/>
              </w:rPr>
            </w:pPr>
            <w:r w:rsidRPr="00100505">
              <w:rPr>
                <w:rFonts w:ascii="Arial" w:hAnsi="Arial" w:cs="Arial"/>
                <w:sz w:val="18"/>
                <w:szCs w:val="18"/>
                <w:lang w:eastAsia="es-CO"/>
              </w:rPr>
              <w:t xml:space="preserve">31 </w:t>
            </w:r>
            <w:r w:rsidR="0046335B" w:rsidRPr="00100505">
              <w:rPr>
                <w:rFonts w:ascii="Arial" w:hAnsi="Arial" w:cs="Arial"/>
                <w:sz w:val="18"/>
                <w:szCs w:val="18"/>
                <w:lang w:eastAsia="es-CO"/>
              </w:rPr>
              <w:t xml:space="preserve">de julio   </w:t>
            </w:r>
          </w:p>
          <w:p w14:paraId="5D92EA5E" w14:textId="7983E621" w:rsidR="0046335B" w:rsidRPr="00100505" w:rsidRDefault="00793F79" w:rsidP="00580C7E">
            <w:pPr>
              <w:jc w:val="both"/>
              <w:rPr>
                <w:rFonts w:ascii="Arial" w:hAnsi="Arial" w:cs="Arial"/>
                <w:sz w:val="18"/>
                <w:szCs w:val="18"/>
                <w:lang w:eastAsia="es-CO"/>
              </w:rPr>
            </w:pPr>
            <w:r w:rsidRPr="00100505">
              <w:rPr>
                <w:rFonts w:ascii="Arial" w:hAnsi="Arial" w:cs="Arial"/>
                <w:sz w:val="18"/>
                <w:szCs w:val="18"/>
                <w:lang w:eastAsia="es-CO"/>
              </w:rPr>
              <w:t xml:space="preserve">31 </w:t>
            </w:r>
            <w:r w:rsidR="0046335B" w:rsidRPr="00100505">
              <w:rPr>
                <w:rFonts w:ascii="Arial" w:hAnsi="Arial" w:cs="Arial"/>
                <w:sz w:val="18"/>
                <w:szCs w:val="18"/>
                <w:lang w:eastAsia="es-CO"/>
              </w:rPr>
              <w:t xml:space="preserve">de octubre </w:t>
            </w:r>
          </w:p>
          <w:p w14:paraId="6835F535" w14:textId="54207972" w:rsidR="0046335B" w:rsidRPr="00100505" w:rsidRDefault="00793F79" w:rsidP="00580C7E">
            <w:pPr>
              <w:jc w:val="both"/>
              <w:rPr>
                <w:rFonts w:ascii="Arial" w:hAnsi="Arial" w:cs="Arial"/>
                <w:sz w:val="18"/>
                <w:szCs w:val="18"/>
                <w:lang w:eastAsia="es-CO"/>
              </w:rPr>
            </w:pPr>
            <w:r w:rsidRPr="00100505">
              <w:rPr>
                <w:rFonts w:ascii="Arial" w:hAnsi="Arial" w:cs="Arial"/>
                <w:sz w:val="18"/>
                <w:szCs w:val="18"/>
                <w:lang w:eastAsia="es-CO"/>
              </w:rPr>
              <w:t xml:space="preserve">28 </w:t>
            </w:r>
            <w:r w:rsidR="002C450F" w:rsidRPr="00100505">
              <w:rPr>
                <w:rFonts w:ascii="Arial" w:hAnsi="Arial" w:cs="Arial"/>
                <w:sz w:val="18"/>
                <w:szCs w:val="18"/>
                <w:lang w:eastAsia="es-CO"/>
              </w:rPr>
              <w:t>de febrero de la vigencia siguiente</w:t>
            </w:r>
            <w:r w:rsidR="003970F3" w:rsidRPr="00100505">
              <w:rPr>
                <w:rFonts w:ascii="Arial" w:hAnsi="Arial" w:cs="Arial"/>
                <w:sz w:val="18"/>
                <w:szCs w:val="18"/>
                <w:lang w:eastAsia="es-CO"/>
              </w:rPr>
              <w:t xml:space="preserve"> a la que corresponde la </w:t>
            </w:r>
            <w:r w:rsidR="0091219D" w:rsidRPr="00100505">
              <w:rPr>
                <w:rFonts w:ascii="Arial" w:hAnsi="Arial" w:cs="Arial"/>
                <w:sz w:val="18"/>
                <w:szCs w:val="18"/>
                <w:lang w:eastAsia="es-CO"/>
              </w:rPr>
              <w:t>información</w:t>
            </w:r>
          </w:p>
        </w:tc>
      </w:tr>
      <w:tr w:rsidR="0046335B" w:rsidRPr="00B71716" w14:paraId="7BDFD630" w14:textId="77777777" w:rsidTr="00DB31BB">
        <w:trPr>
          <w:trHeight w:val="289"/>
        </w:trPr>
        <w:tc>
          <w:tcPr>
            <w:tcW w:w="4745" w:type="dxa"/>
            <w:shd w:val="clear" w:color="auto" w:fill="FFFFFF"/>
          </w:tcPr>
          <w:p w14:paraId="7E6E1ED0" w14:textId="77777777" w:rsidR="0046335B" w:rsidRPr="006A674B" w:rsidRDefault="0046335B" w:rsidP="00580C7E">
            <w:pPr>
              <w:jc w:val="both"/>
              <w:rPr>
                <w:rFonts w:ascii="Arial" w:hAnsi="Arial" w:cs="Arial"/>
                <w:sz w:val="18"/>
                <w:szCs w:val="18"/>
                <w:lang w:eastAsia="es-CO"/>
              </w:rPr>
            </w:pPr>
            <w:r w:rsidRPr="00183EC9">
              <w:rPr>
                <w:rFonts w:ascii="Arial" w:hAnsi="Arial" w:cs="Arial"/>
                <w:sz w:val="18"/>
                <w:szCs w:val="18"/>
                <w:lang w:eastAsia="es-CO"/>
              </w:rPr>
              <w:t>Recepción de información relacionada con los movimientos de los CERT</w:t>
            </w:r>
          </w:p>
        </w:tc>
        <w:tc>
          <w:tcPr>
            <w:tcW w:w="4337" w:type="dxa"/>
            <w:gridSpan w:val="2"/>
            <w:shd w:val="clear" w:color="auto" w:fill="FFFFFF"/>
          </w:tcPr>
          <w:p w14:paraId="61A11642" w14:textId="5B514BA2" w:rsidR="0046335B" w:rsidRPr="00E554A9" w:rsidRDefault="0046335B" w:rsidP="00580C7E">
            <w:pPr>
              <w:jc w:val="both"/>
              <w:rPr>
                <w:rFonts w:ascii="Arial" w:hAnsi="Arial" w:cs="Arial"/>
                <w:b/>
                <w:sz w:val="18"/>
                <w:szCs w:val="18"/>
                <w:lang w:val="es-CO" w:eastAsia="es-CO"/>
              </w:rPr>
            </w:pPr>
            <w:r w:rsidRPr="00E554A9">
              <w:rPr>
                <w:rFonts w:ascii="Arial" w:hAnsi="Arial" w:cs="Arial"/>
                <w:b/>
                <w:sz w:val="18"/>
                <w:szCs w:val="18"/>
                <w:lang w:eastAsia="es-CO"/>
              </w:rPr>
              <w:t>Anual:</w:t>
            </w:r>
            <w:r w:rsidRPr="00E554A9">
              <w:rPr>
                <w:rFonts w:ascii="Arial" w:hAnsi="Arial" w:cs="Arial"/>
                <w:sz w:val="18"/>
                <w:szCs w:val="18"/>
                <w:lang w:eastAsia="es-CO"/>
              </w:rPr>
              <w:t xml:space="preserve"> 31 de enero de la vigencia siguiente a la que corresponde la información.</w:t>
            </w:r>
            <w:r w:rsidRPr="00E554A9">
              <w:rPr>
                <w:rFonts w:ascii="Arial" w:hAnsi="Arial" w:cs="Arial"/>
                <w:sz w:val="18"/>
                <w:szCs w:val="18"/>
                <w:lang w:val="es-CO" w:eastAsia="es-CO"/>
              </w:rPr>
              <w:t xml:space="preserve"> </w:t>
            </w:r>
          </w:p>
        </w:tc>
      </w:tr>
      <w:tr w:rsidR="00703221" w:rsidRPr="00B71716" w14:paraId="361A5F4C" w14:textId="77777777" w:rsidTr="00DB31BB">
        <w:trPr>
          <w:trHeight w:val="289"/>
        </w:trPr>
        <w:tc>
          <w:tcPr>
            <w:tcW w:w="4745" w:type="dxa"/>
            <w:shd w:val="clear" w:color="auto" w:fill="FFFFFF"/>
          </w:tcPr>
          <w:p w14:paraId="5528E513" w14:textId="77777777" w:rsidR="00703221" w:rsidRPr="006A674B" w:rsidRDefault="00703221" w:rsidP="00703221">
            <w:pPr>
              <w:jc w:val="both"/>
              <w:rPr>
                <w:rFonts w:ascii="Arial" w:hAnsi="Arial" w:cs="Arial"/>
                <w:sz w:val="18"/>
                <w:szCs w:val="18"/>
                <w:lang w:eastAsia="es-CO"/>
              </w:rPr>
            </w:pPr>
            <w:r w:rsidRPr="00183EC9">
              <w:rPr>
                <w:rFonts w:ascii="Arial" w:hAnsi="Arial" w:cs="Arial"/>
                <w:sz w:val="18"/>
                <w:szCs w:val="18"/>
                <w:lang w:eastAsia="es-CO"/>
              </w:rPr>
              <w:t>Recepción de la DGCPTN de la información para el registro de los hechos económicos relacionados con el Fondo de Estabilización de Precios de los Combustibles.</w:t>
            </w:r>
          </w:p>
        </w:tc>
        <w:tc>
          <w:tcPr>
            <w:tcW w:w="4337" w:type="dxa"/>
            <w:gridSpan w:val="2"/>
            <w:shd w:val="clear" w:color="auto" w:fill="FFFFFF"/>
          </w:tcPr>
          <w:p w14:paraId="1CE8EAA3" w14:textId="2A7C4E19" w:rsidR="008D3F26" w:rsidRPr="00DB31BB" w:rsidRDefault="00703221" w:rsidP="008D3F26">
            <w:pPr>
              <w:jc w:val="both"/>
              <w:rPr>
                <w:rFonts w:ascii="Arial" w:hAnsi="Arial" w:cs="Arial"/>
                <w:sz w:val="18"/>
                <w:szCs w:val="18"/>
                <w:lang w:eastAsia="es-CO"/>
              </w:rPr>
            </w:pPr>
            <w:r w:rsidRPr="00E554A9">
              <w:rPr>
                <w:rFonts w:ascii="Arial" w:hAnsi="Arial" w:cs="Arial"/>
                <w:b/>
                <w:sz w:val="18"/>
                <w:szCs w:val="18"/>
                <w:lang w:eastAsia="es-CO"/>
              </w:rPr>
              <w:t xml:space="preserve">Mensual: </w:t>
            </w:r>
            <w:r w:rsidRPr="00E554A9">
              <w:rPr>
                <w:rFonts w:ascii="Arial" w:hAnsi="Arial" w:cs="Arial"/>
                <w:sz w:val="18"/>
                <w:szCs w:val="18"/>
                <w:lang w:eastAsia="es-CO"/>
              </w:rPr>
              <w:t>Quince</w:t>
            </w:r>
            <w:r w:rsidRPr="00E554A9">
              <w:rPr>
                <w:rFonts w:ascii="Arial" w:hAnsi="Arial" w:cs="Arial"/>
                <w:b/>
                <w:sz w:val="18"/>
                <w:szCs w:val="18"/>
                <w:lang w:eastAsia="es-CO"/>
              </w:rPr>
              <w:t xml:space="preserve"> </w:t>
            </w:r>
            <w:r w:rsidRPr="00E554A9">
              <w:rPr>
                <w:rFonts w:ascii="Arial" w:hAnsi="Arial" w:cs="Arial"/>
                <w:sz w:val="18"/>
                <w:szCs w:val="18"/>
                <w:lang w:eastAsia="es-CO"/>
              </w:rPr>
              <w:t xml:space="preserve">(15) </w:t>
            </w:r>
            <w:r w:rsidR="00DB31BB">
              <w:rPr>
                <w:rFonts w:ascii="Arial" w:hAnsi="Arial" w:cs="Arial"/>
                <w:sz w:val="18"/>
                <w:szCs w:val="18"/>
                <w:lang w:eastAsia="es-CO"/>
              </w:rPr>
              <w:t xml:space="preserve">primeros </w:t>
            </w:r>
            <w:r w:rsidRPr="00E554A9">
              <w:rPr>
                <w:rFonts w:ascii="Arial" w:hAnsi="Arial" w:cs="Arial"/>
                <w:sz w:val="18"/>
                <w:szCs w:val="18"/>
                <w:lang w:eastAsia="es-CO"/>
              </w:rPr>
              <w:t xml:space="preserve">días calendario </w:t>
            </w:r>
            <w:r w:rsidR="00DB31BB">
              <w:rPr>
                <w:rFonts w:ascii="Arial" w:hAnsi="Arial" w:cs="Arial"/>
                <w:sz w:val="18"/>
                <w:szCs w:val="18"/>
                <w:lang w:eastAsia="es-CO"/>
              </w:rPr>
              <w:t xml:space="preserve">del mes </w:t>
            </w:r>
            <w:r w:rsidRPr="00E554A9">
              <w:rPr>
                <w:rFonts w:ascii="Arial" w:hAnsi="Arial" w:cs="Arial"/>
                <w:sz w:val="18"/>
                <w:szCs w:val="18"/>
                <w:lang w:eastAsia="es-CO"/>
              </w:rPr>
              <w:t>siguiente al que corresponde la información</w:t>
            </w:r>
            <w:r w:rsidR="008D3F26" w:rsidRPr="00E554A9">
              <w:rPr>
                <w:rFonts w:ascii="Arial" w:hAnsi="Arial" w:cs="Arial"/>
                <w:sz w:val="18"/>
                <w:szCs w:val="18"/>
                <w:lang w:eastAsia="es-CO"/>
              </w:rPr>
              <w:t>, excepto los siguientes meses:</w:t>
            </w:r>
          </w:p>
          <w:p w14:paraId="2E7E35CC" w14:textId="77777777" w:rsidR="008D3F26" w:rsidRPr="00DB31BB" w:rsidRDefault="008D3F26" w:rsidP="008D3F26">
            <w:pPr>
              <w:jc w:val="both"/>
              <w:rPr>
                <w:rFonts w:ascii="Arial" w:hAnsi="Arial" w:cs="Arial"/>
                <w:sz w:val="18"/>
                <w:szCs w:val="18"/>
                <w:lang w:eastAsia="es-CO"/>
              </w:rPr>
            </w:pPr>
          </w:p>
          <w:p w14:paraId="3AE2B0FF" w14:textId="5B8AE6E1" w:rsidR="008D3F26" w:rsidRPr="00DB31BB" w:rsidRDefault="008D3F26" w:rsidP="008D3F26">
            <w:pPr>
              <w:jc w:val="both"/>
              <w:rPr>
                <w:rFonts w:ascii="Arial" w:hAnsi="Arial" w:cs="Arial"/>
                <w:sz w:val="18"/>
                <w:szCs w:val="18"/>
                <w:lang w:eastAsia="es-CO"/>
              </w:rPr>
            </w:pPr>
            <w:r w:rsidRPr="00DB31BB">
              <w:rPr>
                <w:rFonts w:ascii="Arial" w:hAnsi="Arial" w:cs="Arial"/>
                <w:b/>
                <w:sz w:val="18"/>
                <w:szCs w:val="18"/>
                <w:lang w:eastAsia="es-CO"/>
              </w:rPr>
              <w:t xml:space="preserve">Diciembre: </w:t>
            </w:r>
            <w:r w:rsidRPr="00DB31BB">
              <w:rPr>
                <w:rFonts w:ascii="Arial" w:hAnsi="Arial" w:cs="Arial"/>
                <w:sz w:val="18"/>
                <w:szCs w:val="18"/>
                <w:lang w:eastAsia="es-CO"/>
              </w:rPr>
              <w:t>Fecha límite 10 de febrero de la vigencia siguiente</w:t>
            </w:r>
            <w:r w:rsidR="00F24CB2" w:rsidRPr="00DB31BB">
              <w:rPr>
                <w:rFonts w:ascii="Arial" w:hAnsi="Arial" w:cs="Arial"/>
                <w:sz w:val="18"/>
                <w:szCs w:val="18"/>
                <w:lang w:eastAsia="es-CO"/>
              </w:rPr>
              <w:t xml:space="preserve"> a la que corresponde la información </w:t>
            </w:r>
          </w:p>
          <w:p w14:paraId="25ACF0F8" w14:textId="77777777" w:rsidR="008D3F26" w:rsidRPr="00DB31BB" w:rsidRDefault="008D3F26" w:rsidP="008D3F26">
            <w:pPr>
              <w:jc w:val="both"/>
              <w:rPr>
                <w:rFonts w:ascii="Arial" w:hAnsi="Arial" w:cs="Arial"/>
                <w:sz w:val="18"/>
                <w:szCs w:val="18"/>
                <w:lang w:eastAsia="es-CO"/>
              </w:rPr>
            </w:pPr>
            <w:r w:rsidRPr="00DB31BB">
              <w:rPr>
                <w:rFonts w:ascii="Arial" w:hAnsi="Arial" w:cs="Arial"/>
                <w:b/>
                <w:sz w:val="18"/>
                <w:szCs w:val="18"/>
                <w:lang w:eastAsia="es-CO"/>
              </w:rPr>
              <w:t>Enero:</w:t>
            </w:r>
            <w:r w:rsidRPr="00DB31BB">
              <w:rPr>
                <w:rFonts w:ascii="Arial" w:hAnsi="Arial" w:cs="Arial"/>
                <w:sz w:val="18"/>
                <w:szCs w:val="18"/>
                <w:lang w:eastAsia="es-CO"/>
              </w:rPr>
              <w:t xml:space="preserve"> 15 de marzo </w:t>
            </w:r>
          </w:p>
          <w:p w14:paraId="76A514C2" w14:textId="77777777" w:rsidR="00703221" w:rsidRPr="00DB31BB" w:rsidDel="004212FE" w:rsidRDefault="008D3F26" w:rsidP="00BD3329">
            <w:pPr>
              <w:jc w:val="both"/>
              <w:rPr>
                <w:rFonts w:ascii="Arial" w:hAnsi="Arial" w:cs="Arial"/>
                <w:b/>
                <w:sz w:val="18"/>
                <w:szCs w:val="18"/>
                <w:lang w:eastAsia="es-CO"/>
              </w:rPr>
            </w:pPr>
            <w:r w:rsidRPr="00DB31BB">
              <w:rPr>
                <w:rFonts w:ascii="Arial" w:hAnsi="Arial" w:cs="Arial"/>
                <w:b/>
                <w:sz w:val="18"/>
                <w:szCs w:val="18"/>
                <w:lang w:eastAsia="es-CO"/>
              </w:rPr>
              <w:t>Febrero:</w:t>
            </w:r>
            <w:r w:rsidRPr="00DB31BB">
              <w:rPr>
                <w:rFonts w:ascii="Arial" w:hAnsi="Arial" w:cs="Arial"/>
                <w:sz w:val="18"/>
                <w:szCs w:val="18"/>
                <w:lang w:eastAsia="es-CO"/>
              </w:rPr>
              <w:t xml:space="preserve"> 30 de marzo </w:t>
            </w:r>
          </w:p>
        </w:tc>
      </w:tr>
      <w:tr w:rsidR="009715F8" w:rsidRPr="00B71716" w14:paraId="624E7497" w14:textId="77777777" w:rsidTr="00DB31BB">
        <w:trPr>
          <w:trHeight w:val="289"/>
        </w:trPr>
        <w:tc>
          <w:tcPr>
            <w:tcW w:w="4745" w:type="dxa"/>
            <w:shd w:val="clear" w:color="auto" w:fill="FFFFFF"/>
          </w:tcPr>
          <w:p w14:paraId="2CC6B429" w14:textId="77777777" w:rsidR="009715F8" w:rsidRPr="006A674B" w:rsidRDefault="009715F8" w:rsidP="009715F8">
            <w:pPr>
              <w:jc w:val="both"/>
              <w:rPr>
                <w:rFonts w:ascii="Arial" w:hAnsi="Arial" w:cs="Arial"/>
                <w:sz w:val="18"/>
                <w:szCs w:val="18"/>
                <w:lang w:eastAsia="es-CO"/>
              </w:rPr>
            </w:pPr>
            <w:r w:rsidRPr="00183EC9">
              <w:rPr>
                <w:rFonts w:ascii="Arial" w:hAnsi="Arial" w:cs="Arial"/>
                <w:sz w:val="18"/>
                <w:szCs w:val="18"/>
                <w:lang w:eastAsia="es-CO"/>
              </w:rPr>
              <w:t xml:space="preserve">Generación desde la página web del MHCP, de los comprobantes de operación Banco de la República para la </w:t>
            </w:r>
            <w:r w:rsidRPr="006A674B">
              <w:rPr>
                <w:rFonts w:ascii="Arial" w:hAnsi="Arial" w:cs="Arial"/>
                <w:sz w:val="18"/>
                <w:szCs w:val="18"/>
                <w:lang w:eastAsia="es-CO"/>
              </w:rPr>
              <w:t>imputación de ingresos al Ministerio.</w:t>
            </w:r>
          </w:p>
        </w:tc>
        <w:tc>
          <w:tcPr>
            <w:tcW w:w="4337" w:type="dxa"/>
            <w:gridSpan w:val="2"/>
            <w:shd w:val="clear" w:color="auto" w:fill="FFFFFF"/>
          </w:tcPr>
          <w:p w14:paraId="5DFA62A8" w14:textId="388C1CD8" w:rsidR="003E082B" w:rsidRPr="00E554A9" w:rsidRDefault="003E082B" w:rsidP="003E082B">
            <w:pPr>
              <w:jc w:val="both"/>
              <w:rPr>
                <w:rFonts w:ascii="Arial" w:hAnsi="Arial" w:cs="Arial"/>
                <w:sz w:val="18"/>
                <w:szCs w:val="18"/>
                <w:lang w:eastAsia="es-CO"/>
              </w:rPr>
            </w:pPr>
            <w:r w:rsidRPr="00E554A9">
              <w:rPr>
                <w:rFonts w:ascii="Arial" w:hAnsi="Arial" w:cs="Arial"/>
                <w:b/>
                <w:sz w:val="18"/>
                <w:szCs w:val="18"/>
                <w:lang w:eastAsia="es-CO"/>
              </w:rPr>
              <w:t xml:space="preserve">Mensual: </w:t>
            </w:r>
            <w:r w:rsidRPr="00E554A9">
              <w:rPr>
                <w:rFonts w:ascii="Arial" w:hAnsi="Arial" w:cs="Arial"/>
                <w:sz w:val="18"/>
                <w:szCs w:val="18"/>
                <w:lang w:eastAsia="es-CO"/>
              </w:rPr>
              <w:t>Quince</w:t>
            </w:r>
            <w:r w:rsidRPr="00E554A9">
              <w:rPr>
                <w:rFonts w:ascii="Arial" w:hAnsi="Arial" w:cs="Arial"/>
                <w:b/>
                <w:sz w:val="18"/>
                <w:szCs w:val="18"/>
                <w:lang w:eastAsia="es-CO"/>
              </w:rPr>
              <w:t xml:space="preserve"> </w:t>
            </w:r>
            <w:r w:rsidRPr="00E554A9">
              <w:rPr>
                <w:rFonts w:ascii="Arial" w:hAnsi="Arial" w:cs="Arial"/>
                <w:sz w:val="18"/>
                <w:szCs w:val="18"/>
                <w:lang w:eastAsia="es-CO"/>
              </w:rPr>
              <w:t xml:space="preserve">(15) </w:t>
            </w:r>
            <w:r w:rsidR="00DB31BB">
              <w:rPr>
                <w:rFonts w:ascii="Arial" w:hAnsi="Arial" w:cs="Arial"/>
                <w:sz w:val="18"/>
                <w:szCs w:val="18"/>
                <w:lang w:eastAsia="es-CO"/>
              </w:rPr>
              <w:t xml:space="preserve">primeros </w:t>
            </w:r>
            <w:r w:rsidRPr="00E554A9">
              <w:rPr>
                <w:rFonts w:ascii="Arial" w:hAnsi="Arial" w:cs="Arial"/>
                <w:sz w:val="18"/>
                <w:szCs w:val="18"/>
                <w:lang w:eastAsia="es-CO"/>
              </w:rPr>
              <w:t xml:space="preserve">días calendario </w:t>
            </w:r>
            <w:r w:rsidR="00DB31BB">
              <w:rPr>
                <w:rFonts w:ascii="Arial" w:hAnsi="Arial" w:cs="Arial"/>
                <w:sz w:val="18"/>
                <w:szCs w:val="18"/>
                <w:lang w:eastAsia="es-CO"/>
              </w:rPr>
              <w:t xml:space="preserve">del mes </w:t>
            </w:r>
            <w:r w:rsidRPr="00E554A9">
              <w:rPr>
                <w:rFonts w:ascii="Arial" w:hAnsi="Arial" w:cs="Arial"/>
                <w:sz w:val="18"/>
                <w:szCs w:val="18"/>
                <w:lang w:eastAsia="es-CO"/>
              </w:rPr>
              <w:t xml:space="preserve">siguiente </w:t>
            </w:r>
            <w:r w:rsidR="00DB31BB">
              <w:rPr>
                <w:rFonts w:ascii="Arial" w:hAnsi="Arial" w:cs="Arial"/>
                <w:sz w:val="18"/>
                <w:szCs w:val="18"/>
                <w:lang w:eastAsia="es-CO"/>
              </w:rPr>
              <w:t>al que</w:t>
            </w:r>
            <w:r w:rsidRPr="00E554A9">
              <w:rPr>
                <w:rFonts w:ascii="Arial" w:hAnsi="Arial" w:cs="Arial"/>
                <w:sz w:val="18"/>
                <w:szCs w:val="18"/>
                <w:lang w:eastAsia="es-CO"/>
              </w:rPr>
              <w:t xml:space="preserve"> corresponde la información.</w:t>
            </w:r>
          </w:p>
          <w:p w14:paraId="69A7B819" w14:textId="77777777" w:rsidR="009715F8" w:rsidRPr="00DB31BB" w:rsidDel="004212FE" w:rsidRDefault="009715F8" w:rsidP="00703221">
            <w:pPr>
              <w:jc w:val="both"/>
              <w:rPr>
                <w:rFonts w:ascii="Arial" w:hAnsi="Arial" w:cs="Arial"/>
                <w:b/>
                <w:sz w:val="18"/>
                <w:szCs w:val="18"/>
                <w:lang w:eastAsia="es-CO"/>
              </w:rPr>
            </w:pPr>
          </w:p>
        </w:tc>
      </w:tr>
      <w:tr w:rsidR="00F24CB2" w:rsidRPr="00B71716" w14:paraId="2DFAC65E" w14:textId="77777777" w:rsidTr="00DB31BB">
        <w:trPr>
          <w:trHeight w:val="289"/>
        </w:trPr>
        <w:tc>
          <w:tcPr>
            <w:tcW w:w="4745" w:type="dxa"/>
            <w:shd w:val="clear" w:color="auto" w:fill="FFFFFF"/>
          </w:tcPr>
          <w:p w14:paraId="71FA200D" w14:textId="16F2B2CF" w:rsidR="00F24CB2" w:rsidRPr="006A674B" w:rsidRDefault="00F24CB2" w:rsidP="00703221">
            <w:pPr>
              <w:jc w:val="both"/>
              <w:rPr>
                <w:rFonts w:ascii="Arial" w:hAnsi="Arial" w:cs="Arial"/>
                <w:sz w:val="18"/>
                <w:szCs w:val="18"/>
                <w:lang w:eastAsia="es-CO"/>
              </w:rPr>
            </w:pPr>
            <w:r w:rsidRPr="00183EC9">
              <w:rPr>
                <w:rFonts w:ascii="Arial" w:hAnsi="Arial" w:cs="Arial"/>
                <w:sz w:val="18"/>
                <w:szCs w:val="18"/>
                <w:lang w:eastAsia="es-CO"/>
              </w:rPr>
              <w:t xml:space="preserve">Recepción de la información relativa a la distribución de erogaciones realizadas a contratistas vinculados al </w:t>
            </w:r>
            <w:r w:rsidRPr="006A674B">
              <w:rPr>
                <w:rFonts w:ascii="Arial" w:hAnsi="Arial" w:cs="Arial"/>
                <w:sz w:val="18"/>
                <w:szCs w:val="18"/>
                <w:lang w:eastAsia="es-CO"/>
              </w:rPr>
              <w:t>desarrollo de activos intangibles generados internamente</w:t>
            </w:r>
          </w:p>
        </w:tc>
        <w:tc>
          <w:tcPr>
            <w:tcW w:w="4337" w:type="dxa"/>
            <w:gridSpan w:val="2"/>
            <w:shd w:val="clear" w:color="auto" w:fill="FFFFFF"/>
          </w:tcPr>
          <w:p w14:paraId="23AC8F1B" w14:textId="65AC01F7" w:rsidR="00F24CB2" w:rsidRPr="006A674B" w:rsidDel="004212FE" w:rsidRDefault="00F24CB2" w:rsidP="00703221">
            <w:pPr>
              <w:jc w:val="both"/>
              <w:rPr>
                <w:rFonts w:ascii="Arial" w:hAnsi="Arial" w:cs="Arial"/>
                <w:b/>
                <w:sz w:val="18"/>
                <w:szCs w:val="18"/>
                <w:lang w:eastAsia="es-CO"/>
              </w:rPr>
            </w:pPr>
            <w:r w:rsidRPr="006A674B">
              <w:rPr>
                <w:rFonts w:ascii="Arial" w:hAnsi="Arial" w:cs="Arial"/>
                <w:b/>
                <w:sz w:val="18"/>
                <w:szCs w:val="18"/>
                <w:lang w:eastAsia="es-CO"/>
              </w:rPr>
              <w:t xml:space="preserve">Anual: </w:t>
            </w:r>
            <w:r w:rsidR="00DF1425" w:rsidRPr="00E554A9">
              <w:rPr>
                <w:rFonts w:ascii="Arial" w:hAnsi="Arial" w:cs="Arial"/>
                <w:sz w:val="18"/>
                <w:szCs w:val="18"/>
                <w:lang w:eastAsia="es-CO"/>
              </w:rPr>
              <w:t>C</w:t>
            </w:r>
            <w:r w:rsidRPr="00E554A9">
              <w:rPr>
                <w:rFonts w:ascii="Arial" w:hAnsi="Arial" w:cs="Arial"/>
                <w:sz w:val="18"/>
                <w:szCs w:val="18"/>
                <w:lang w:eastAsia="es-CO"/>
              </w:rPr>
              <w:t xml:space="preserve">inco (5) primeros días hábiles del mes de febrero de la vigencia </w:t>
            </w:r>
            <w:r w:rsidRPr="00183EC9">
              <w:rPr>
                <w:rFonts w:ascii="Arial" w:hAnsi="Arial" w:cs="Arial"/>
                <w:sz w:val="18"/>
                <w:szCs w:val="18"/>
                <w:lang w:eastAsia="es-CO"/>
              </w:rPr>
              <w:t xml:space="preserve">siguiente a la que corresponde la información. </w:t>
            </w:r>
          </w:p>
        </w:tc>
      </w:tr>
      <w:tr w:rsidR="00703221" w:rsidRPr="00B71716" w14:paraId="4E0D2A4B" w14:textId="77777777" w:rsidTr="00DB31BB">
        <w:trPr>
          <w:trHeight w:val="289"/>
        </w:trPr>
        <w:tc>
          <w:tcPr>
            <w:tcW w:w="4745" w:type="dxa"/>
            <w:shd w:val="clear" w:color="auto" w:fill="FFFFFF"/>
          </w:tcPr>
          <w:p w14:paraId="76DBB911" w14:textId="1F6D6896" w:rsidR="00703221" w:rsidRPr="00B71716" w:rsidRDefault="00703221" w:rsidP="003B4570">
            <w:pPr>
              <w:jc w:val="both"/>
              <w:rPr>
                <w:rFonts w:ascii="Arial" w:hAnsi="Arial" w:cs="Arial"/>
                <w:sz w:val="18"/>
                <w:szCs w:val="18"/>
                <w:lang w:eastAsia="es-CO"/>
              </w:rPr>
            </w:pPr>
            <w:r w:rsidRPr="00B71716">
              <w:rPr>
                <w:rFonts w:ascii="Arial" w:hAnsi="Arial" w:cs="Arial"/>
                <w:sz w:val="18"/>
                <w:szCs w:val="18"/>
                <w:lang w:eastAsia="es-CO"/>
              </w:rPr>
              <w:t>Recepción de la información de</w:t>
            </w:r>
            <w:r w:rsidR="003B4570">
              <w:rPr>
                <w:rFonts w:ascii="Arial" w:hAnsi="Arial" w:cs="Arial"/>
                <w:sz w:val="18"/>
                <w:szCs w:val="18"/>
                <w:lang w:eastAsia="es-CO"/>
              </w:rPr>
              <w:t xml:space="preserve"> </w:t>
            </w:r>
            <w:r w:rsidRPr="00B71716">
              <w:rPr>
                <w:rFonts w:ascii="Arial" w:hAnsi="Arial" w:cs="Arial"/>
                <w:sz w:val="18"/>
                <w:szCs w:val="18"/>
                <w:lang w:eastAsia="es-CO"/>
              </w:rPr>
              <w:t>l</w:t>
            </w:r>
            <w:r w:rsidR="003B4570">
              <w:rPr>
                <w:rFonts w:ascii="Arial" w:hAnsi="Arial" w:cs="Arial"/>
                <w:sz w:val="18"/>
                <w:szCs w:val="18"/>
                <w:lang w:eastAsia="es-CO"/>
              </w:rPr>
              <w:t xml:space="preserve">os aportes y contribuciones a </w:t>
            </w:r>
            <w:r w:rsidRPr="00B71716">
              <w:rPr>
                <w:rFonts w:ascii="Arial" w:hAnsi="Arial" w:cs="Arial"/>
                <w:sz w:val="18"/>
                <w:szCs w:val="18"/>
                <w:lang w:eastAsia="es-CO"/>
              </w:rPr>
              <w:t>Organismos Internacionales. (Las solicitudes de información las realiza el área de organismos multilaterales de la Dirección</w:t>
            </w:r>
            <w:r w:rsidR="0038691C">
              <w:rPr>
                <w:rFonts w:ascii="Arial" w:hAnsi="Arial" w:cs="Arial"/>
                <w:sz w:val="18"/>
                <w:szCs w:val="18"/>
                <w:lang w:eastAsia="es-CO"/>
              </w:rPr>
              <w:t xml:space="preserve"> General</w:t>
            </w:r>
            <w:r w:rsidRPr="00B71716">
              <w:rPr>
                <w:rFonts w:ascii="Arial" w:hAnsi="Arial" w:cs="Arial"/>
                <w:sz w:val="18"/>
                <w:szCs w:val="18"/>
                <w:lang w:eastAsia="es-CO"/>
              </w:rPr>
              <w:t xml:space="preserve"> de Crédito Público y del Tesoro Nacional)</w:t>
            </w:r>
          </w:p>
        </w:tc>
        <w:tc>
          <w:tcPr>
            <w:tcW w:w="4337" w:type="dxa"/>
            <w:gridSpan w:val="2"/>
            <w:shd w:val="clear" w:color="auto" w:fill="FFFFFF"/>
          </w:tcPr>
          <w:p w14:paraId="6657B6D0" w14:textId="6B07D76E" w:rsidR="00703221" w:rsidRPr="004212FE" w:rsidRDefault="00703221" w:rsidP="00703221">
            <w:pPr>
              <w:jc w:val="both"/>
              <w:rPr>
                <w:rFonts w:ascii="Arial" w:hAnsi="Arial" w:cs="Arial"/>
                <w:sz w:val="18"/>
                <w:szCs w:val="18"/>
                <w:lang w:eastAsia="es-CO"/>
              </w:rPr>
            </w:pPr>
            <w:r>
              <w:rPr>
                <w:rFonts w:ascii="Arial" w:hAnsi="Arial" w:cs="Arial"/>
                <w:sz w:val="18"/>
                <w:szCs w:val="18"/>
                <w:lang w:eastAsia="es-CO"/>
              </w:rPr>
              <w:t xml:space="preserve">Según se genere la información </w:t>
            </w:r>
          </w:p>
        </w:tc>
      </w:tr>
      <w:tr w:rsidR="00703221" w:rsidRPr="00B71716" w14:paraId="51693744" w14:textId="77777777" w:rsidTr="00DB31BB">
        <w:trPr>
          <w:trHeight w:val="289"/>
        </w:trPr>
        <w:tc>
          <w:tcPr>
            <w:tcW w:w="4745" w:type="dxa"/>
            <w:shd w:val="clear" w:color="auto" w:fill="FFFFFF"/>
          </w:tcPr>
          <w:p w14:paraId="6A1C6C31" w14:textId="77777777" w:rsidR="00703221" w:rsidRPr="00B71716" w:rsidRDefault="00703221" w:rsidP="00703221">
            <w:pPr>
              <w:pStyle w:val="Default"/>
              <w:jc w:val="both"/>
              <w:rPr>
                <w:sz w:val="18"/>
                <w:szCs w:val="18"/>
                <w:lang w:eastAsia="es-CO"/>
              </w:rPr>
            </w:pPr>
            <w:r w:rsidRPr="00B71716">
              <w:rPr>
                <w:sz w:val="18"/>
                <w:szCs w:val="18"/>
                <w:lang w:eastAsia="es-CO"/>
              </w:rPr>
              <w:t xml:space="preserve">Recepción de </w:t>
            </w:r>
            <w:r w:rsidRPr="00B71716">
              <w:rPr>
                <w:rFonts w:eastAsia="Times New Roman"/>
                <w:color w:val="auto"/>
                <w:sz w:val="18"/>
                <w:szCs w:val="18"/>
                <w:lang w:val="es-ES" w:eastAsia="es-CO"/>
              </w:rPr>
              <w:t>información relacionada con las sanciones disciplinarias impuestas a funcionarios del MHCP</w:t>
            </w:r>
          </w:p>
        </w:tc>
        <w:tc>
          <w:tcPr>
            <w:tcW w:w="4337" w:type="dxa"/>
            <w:gridSpan w:val="2"/>
            <w:shd w:val="clear" w:color="auto" w:fill="FFFFFF"/>
          </w:tcPr>
          <w:p w14:paraId="5F6F71AF"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Según se genere la información </w:t>
            </w:r>
          </w:p>
        </w:tc>
      </w:tr>
      <w:tr w:rsidR="00703221" w:rsidRPr="00B71716" w14:paraId="2BD73B84" w14:textId="77777777" w:rsidTr="00DB31BB">
        <w:trPr>
          <w:trHeight w:val="289"/>
        </w:trPr>
        <w:tc>
          <w:tcPr>
            <w:tcW w:w="4745" w:type="dxa"/>
            <w:shd w:val="clear" w:color="auto" w:fill="FFFFFF"/>
          </w:tcPr>
          <w:p w14:paraId="4C7A0CBC"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Recepción de información relacionada con pagos de deuda pública realizados con bienes o acciones</w:t>
            </w:r>
          </w:p>
        </w:tc>
        <w:tc>
          <w:tcPr>
            <w:tcW w:w="4337" w:type="dxa"/>
            <w:gridSpan w:val="2"/>
            <w:shd w:val="clear" w:color="auto" w:fill="FFFFFF"/>
          </w:tcPr>
          <w:p w14:paraId="01476AC2"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Según se genere la información </w:t>
            </w:r>
          </w:p>
        </w:tc>
      </w:tr>
      <w:tr w:rsidR="00703221" w:rsidRPr="00B71716" w14:paraId="7DF17DF7" w14:textId="77777777" w:rsidTr="00DB31BB">
        <w:trPr>
          <w:trHeight w:val="520"/>
        </w:trPr>
        <w:tc>
          <w:tcPr>
            <w:tcW w:w="4745" w:type="dxa"/>
            <w:shd w:val="clear" w:color="auto" w:fill="FFFFFF"/>
          </w:tcPr>
          <w:p w14:paraId="7B1302C7"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Recepción de información relacionada con la sobretasa a la gasolina asignada a la Nación</w:t>
            </w:r>
          </w:p>
        </w:tc>
        <w:tc>
          <w:tcPr>
            <w:tcW w:w="4337" w:type="dxa"/>
            <w:gridSpan w:val="2"/>
            <w:shd w:val="clear" w:color="auto" w:fill="FFFFFF"/>
          </w:tcPr>
          <w:p w14:paraId="235E911B"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Según se genere la información </w:t>
            </w:r>
          </w:p>
        </w:tc>
      </w:tr>
      <w:tr w:rsidR="00703221" w:rsidRPr="00B71716" w14:paraId="1F08109F" w14:textId="77777777" w:rsidTr="00DB31BB">
        <w:trPr>
          <w:trHeight w:val="289"/>
        </w:trPr>
        <w:tc>
          <w:tcPr>
            <w:tcW w:w="4745" w:type="dxa"/>
            <w:shd w:val="clear" w:color="auto" w:fill="FFFFFF"/>
          </w:tcPr>
          <w:p w14:paraId="347A5FAC"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lastRenderedPageBreak/>
              <w:t>Recepción de información relacionada con los Convenios de Concurrencia de la Nación al Sector Salud</w:t>
            </w:r>
          </w:p>
        </w:tc>
        <w:tc>
          <w:tcPr>
            <w:tcW w:w="4337" w:type="dxa"/>
            <w:gridSpan w:val="2"/>
            <w:shd w:val="clear" w:color="auto" w:fill="FFFFFF"/>
          </w:tcPr>
          <w:p w14:paraId="55B51589"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Según se genere la información </w:t>
            </w:r>
          </w:p>
        </w:tc>
      </w:tr>
      <w:tr w:rsidR="00703221" w:rsidRPr="00B71716" w14:paraId="12B1BE91" w14:textId="77777777" w:rsidTr="00DB31BB">
        <w:trPr>
          <w:trHeight w:val="289"/>
        </w:trPr>
        <w:tc>
          <w:tcPr>
            <w:tcW w:w="4745" w:type="dxa"/>
            <w:shd w:val="clear" w:color="auto" w:fill="FFFFFF"/>
          </w:tcPr>
          <w:p w14:paraId="1372742A"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Información relacionada con embargos a cuentas de la DGCPTN. </w:t>
            </w:r>
          </w:p>
        </w:tc>
        <w:tc>
          <w:tcPr>
            <w:tcW w:w="4337" w:type="dxa"/>
            <w:gridSpan w:val="2"/>
            <w:shd w:val="clear" w:color="auto" w:fill="FFFFFF"/>
          </w:tcPr>
          <w:p w14:paraId="28DF1EEA" w14:textId="77777777" w:rsidR="00703221" w:rsidRPr="00B71716" w:rsidRDefault="00703221" w:rsidP="00703221">
            <w:pPr>
              <w:jc w:val="both"/>
              <w:rPr>
                <w:rFonts w:ascii="Arial" w:hAnsi="Arial" w:cs="Arial"/>
                <w:sz w:val="18"/>
                <w:szCs w:val="18"/>
                <w:lang w:eastAsia="es-CO"/>
              </w:rPr>
            </w:pPr>
            <w:r w:rsidRPr="00B71716">
              <w:rPr>
                <w:rFonts w:ascii="Arial" w:hAnsi="Arial" w:cs="Arial"/>
                <w:sz w:val="18"/>
                <w:szCs w:val="18"/>
                <w:lang w:eastAsia="es-CO"/>
              </w:rPr>
              <w:t xml:space="preserve">Según se genere la información </w:t>
            </w:r>
          </w:p>
        </w:tc>
      </w:tr>
      <w:tr w:rsidR="00703221" w:rsidRPr="00B71716" w14:paraId="3E6BCEEE" w14:textId="77777777" w:rsidTr="00DB31BB">
        <w:trPr>
          <w:trHeight w:val="503"/>
        </w:trPr>
        <w:tc>
          <w:tcPr>
            <w:tcW w:w="9082" w:type="dxa"/>
            <w:gridSpan w:val="3"/>
            <w:shd w:val="clear" w:color="auto" w:fill="3366CC"/>
          </w:tcPr>
          <w:p w14:paraId="47E8860F" w14:textId="77777777" w:rsidR="00703221" w:rsidRPr="00217A96" w:rsidRDefault="00703221" w:rsidP="00703221">
            <w:pPr>
              <w:jc w:val="center"/>
              <w:rPr>
                <w:rFonts w:ascii="Arial" w:hAnsi="Arial" w:cs="Arial"/>
                <w:b/>
                <w:color w:val="FFFFFF"/>
                <w:sz w:val="18"/>
                <w:szCs w:val="18"/>
                <w:lang w:eastAsia="es-CO"/>
              </w:rPr>
            </w:pPr>
            <w:r w:rsidRPr="00217A96">
              <w:rPr>
                <w:rFonts w:ascii="Arial" w:hAnsi="Arial" w:cs="Arial"/>
                <w:b/>
                <w:color w:val="FFFFFF"/>
                <w:sz w:val="18"/>
                <w:szCs w:val="18"/>
                <w:lang w:eastAsia="es-CO"/>
              </w:rPr>
              <w:t>CONCILIACIÓN DE OPERACIONES</w:t>
            </w:r>
          </w:p>
        </w:tc>
      </w:tr>
      <w:tr w:rsidR="00703221" w:rsidRPr="00B71716" w14:paraId="4C5FE4BA" w14:textId="77777777" w:rsidTr="00DB31BB">
        <w:trPr>
          <w:trHeight w:val="503"/>
        </w:trPr>
        <w:tc>
          <w:tcPr>
            <w:tcW w:w="4745" w:type="dxa"/>
            <w:shd w:val="clear" w:color="auto" w:fill="FFFFFF"/>
            <w:hideMark/>
          </w:tcPr>
          <w:p w14:paraId="48EE665D" w14:textId="77777777" w:rsidR="00703221" w:rsidRPr="00DB31BB" w:rsidRDefault="00703221" w:rsidP="00703221">
            <w:pPr>
              <w:jc w:val="both"/>
              <w:rPr>
                <w:rFonts w:ascii="Arial" w:hAnsi="Arial" w:cs="Arial"/>
                <w:sz w:val="18"/>
                <w:szCs w:val="18"/>
                <w:lang w:eastAsia="es-CO"/>
              </w:rPr>
            </w:pPr>
            <w:r w:rsidRPr="00DB31BB">
              <w:rPr>
                <w:rFonts w:ascii="Arial" w:hAnsi="Arial" w:cs="Arial"/>
                <w:sz w:val="18"/>
                <w:szCs w:val="18"/>
                <w:lang w:eastAsia="es-CO"/>
              </w:rPr>
              <w:t>Gestión de conciliación bancaria</w:t>
            </w:r>
          </w:p>
        </w:tc>
        <w:tc>
          <w:tcPr>
            <w:tcW w:w="4337" w:type="dxa"/>
            <w:gridSpan w:val="2"/>
            <w:shd w:val="clear" w:color="auto" w:fill="FFFFFF"/>
            <w:hideMark/>
          </w:tcPr>
          <w:p w14:paraId="7CD9D8D2" w14:textId="58912982" w:rsidR="00703221" w:rsidRPr="00DB31BB" w:rsidRDefault="00703221" w:rsidP="00703221">
            <w:pPr>
              <w:jc w:val="both"/>
              <w:rPr>
                <w:rFonts w:ascii="Arial" w:hAnsi="Arial" w:cs="Arial"/>
                <w:sz w:val="18"/>
                <w:szCs w:val="18"/>
                <w:lang w:eastAsia="es-CO"/>
              </w:rPr>
            </w:pPr>
            <w:r w:rsidRPr="003E582C">
              <w:rPr>
                <w:rFonts w:ascii="Arial" w:hAnsi="Arial" w:cs="Arial"/>
                <w:b/>
                <w:sz w:val="18"/>
                <w:szCs w:val="18"/>
                <w:lang w:eastAsia="es-CO"/>
              </w:rPr>
              <w:t xml:space="preserve">Mensual: </w:t>
            </w:r>
            <w:r w:rsidRPr="003E582C">
              <w:rPr>
                <w:rFonts w:ascii="Arial" w:hAnsi="Arial" w:cs="Arial"/>
                <w:sz w:val="18"/>
                <w:szCs w:val="18"/>
                <w:lang w:eastAsia="es-CO"/>
              </w:rPr>
              <w:t>Cinco (</w:t>
            </w:r>
            <w:r w:rsidRPr="00100505">
              <w:rPr>
                <w:rFonts w:ascii="Arial" w:hAnsi="Arial" w:cs="Arial"/>
                <w:sz w:val="18"/>
                <w:szCs w:val="18"/>
                <w:lang w:eastAsia="es-CO"/>
              </w:rPr>
              <w:t xml:space="preserve">5) primeros días hábiles </w:t>
            </w:r>
            <w:r w:rsidR="00183EC9" w:rsidRPr="00100505">
              <w:rPr>
                <w:rFonts w:ascii="Arial" w:hAnsi="Arial" w:cs="Arial"/>
                <w:sz w:val="18"/>
                <w:szCs w:val="18"/>
                <w:lang w:eastAsia="es-CO"/>
              </w:rPr>
              <w:t xml:space="preserve">del mes </w:t>
            </w:r>
            <w:r w:rsidRPr="00100505">
              <w:rPr>
                <w:rFonts w:ascii="Arial" w:hAnsi="Arial" w:cs="Arial"/>
                <w:sz w:val="18"/>
                <w:szCs w:val="18"/>
                <w:lang w:eastAsia="es-CO"/>
              </w:rPr>
              <w:t xml:space="preserve">siguiente al que corresponde la información. </w:t>
            </w:r>
          </w:p>
        </w:tc>
      </w:tr>
      <w:tr w:rsidR="00703221" w:rsidRPr="00B71716" w14:paraId="3E890202" w14:textId="77777777" w:rsidTr="00DB31BB">
        <w:trPr>
          <w:trHeight w:val="702"/>
        </w:trPr>
        <w:tc>
          <w:tcPr>
            <w:tcW w:w="4745" w:type="dxa"/>
            <w:shd w:val="clear" w:color="auto" w:fill="FFFFFF"/>
          </w:tcPr>
          <w:p w14:paraId="15D697E7" w14:textId="77777777" w:rsidR="00703221" w:rsidRPr="00DB31BB" w:rsidRDefault="00703221" w:rsidP="00703221">
            <w:pPr>
              <w:jc w:val="both"/>
              <w:rPr>
                <w:rFonts w:ascii="Arial" w:hAnsi="Arial" w:cs="Arial"/>
                <w:sz w:val="18"/>
                <w:szCs w:val="18"/>
                <w:lang w:eastAsia="es-CO"/>
              </w:rPr>
            </w:pPr>
            <w:r w:rsidRPr="00DB31BB">
              <w:rPr>
                <w:rFonts w:ascii="Arial" w:hAnsi="Arial" w:cs="Arial"/>
                <w:sz w:val="18"/>
                <w:szCs w:val="18"/>
                <w:lang w:eastAsia="es-CO"/>
              </w:rPr>
              <w:t xml:space="preserve">Gestión de conciliación tributaria </w:t>
            </w:r>
          </w:p>
        </w:tc>
        <w:tc>
          <w:tcPr>
            <w:tcW w:w="4337" w:type="dxa"/>
            <w:gridSpan w:val="2"/>
            <w:shd w:val="clear" w:color="auto" w:fill="FFFFFF"/>
          </w:tcPr>
          <w:p w14:paraId="648E34B5" w14:textId="64CCE3EC" w:rsidR="00703221" w:rsidRPr="00DB31BB" w:rsidRDefault="00183EC9" w:rsidP="00703221">
            <w:pPr>
              <w:jc w:val="both"/>
              <w:rPr>
                <w:rFonts w:ascii="Arial" w:hAnsi="Arial" w:cs="Arial"/>
                <w:b/>
                <w:sz w:val="18"/>
                <w:szCs w:val="18"/>
                <w:lang w:eastAsia="es-CO"/>
              </w:rPr>
            </w:pPr>
            <w:r w:rsidRPr="00100505">
              <w:rPr>
                <w:rFonts w:ascii="Arial" w:hAnsi="Arial" w:cs="Arial"/>
                <w:b/>
                <w:sz w:val="18"/>
                <w:szCs w:val="18"/>
                <w:lang w:eastAsia="es-CO"/>
              </w:rPr>
              <w:t xml:space="preserve">Mensual: </w:t>
            </w:r>
            <w:r w:rsidRPr="00100505">
              <w:rPr>
                <w:rFonts w:ascii="Arial" w:hAnsi="Arial" w:cs="Arial"/>
                <w:sz w:val="18"/>
                <w:szCs w:val="18"/>
                <w:lang w:eastAsia="es-CO"/>
              </w:rPr>
              <w:t>Cinco (5) primeros días hábiles del mes siguiente al que corresponde la información.</w:t>
            </w:r>
          </w:p>
        </w:tc>
      </w:tr>
      <w:tr w:rsidR="00703221" w:rsidRPr="00B71716" w14:paraId="0320921E" w14:textId="77777777" w:rsidTr="00DB31BB">
        <w:trPr>
          <w:trHeight w:val="446"/>
        </w:trPr>
        <w:tc>
          <w:tcPr>
            <w:tcW w:w="4745" w:type="dxa"/>
            <w:shd w:val="clear" w:color="auto" w:fill="FFFFFF"/>
          </w:tcPr>
          <w:p w14:paraId="291EE30A" w14:textId="77777777" w:rsidR="00703221" w:rsidRPr="00DB31BB" w:rsidRDefault="00703221" w:rsidP="00703221">
            <w:pPr>
              <w:jc w:val="both"/>
              <w:rPr>
                <w:rFonts w:ascii="Arial" w:hAnsi="Arial" w:cs="Arial"/>
                <w:sz w:val="18"/>
                <w:szCs w:val="18"/>
                <w:lang w:eastAsia="es-CO"/>
              </w:rPr>
            </w:pPr>
            <w:r w:rsidRPr="00DB31BB">
              <w:rPr>
                <w:rFonts w:ascii="Arial" w:hAnsi="Arial" w:cs="Arial"/>
                <w:sz w:val="18"/>
                <w:szCs w:val="18"/>
                <w:lang w:eastAsia="es-CO"/>
              </w:rPr>
              <w:t>Gestión de conciliación de Bienes del MHCP</w:t>
            </w:r>
          </w:p>
        </w:tc>
        <w:tc>
          <w:tcPr>
            <w:tcW w:w="4337" w:type="dxa"/>
            <w:gridSpan w:val="2"/>
            <w:shd w:val="clear" w:color="auto" w:fill="FFFFFF"/>
          </w:tcPr>
          <w:p w14:paraId="20F8C815" w14:textId="5E3D10BF" w:rsidR="00703221" w:rsidRPr="00DB31BB" w:rsidRDefault="00703221" w:rsidP="00703221">
            <w:pPr>
              <w:jc w:val="both"/>
              <w:rPr>
                <w:rFonts w:ascii="Arial" w:hAnsi="Arial" w:cs="Arial"/>
                <w:sz w:val="18"/>
                <w:szCs w:val="18"/>
                <w:lang w:eastAsia="es-CO"/>
              </w:rPr>
            </w:pPr>
            <w:r w:rsidRPr="00100505">
              <w:rPr>
                <w:rFonts w:ascii="Arial" w:hAnsi="Arial" w:cs="Arial"/>
                <w:b/>
                <w:sz w:val="18"/>
                <w:szCs w:val="18"/>
                <w:lang w:eastAsia="es-CO"/>
              </w:rPr>
              <w:t xml:space="preserve">Mensual: </w:t>
            </w:r>
            <w:r w:rsidR="00183EC9" w:rsidRPr="00100505">
              <w:rPr>
                <w:rFonts w:ascii="Arial" w:hAnsi="Arial" w:cs="Arial"/>
                <w:bCs/>
                <w:sz w:val="18"/>
                <w:szCs w:val="18"/>
                <w:lang w:eastAsia="es-CO"/>
              </w:rPr>
              <w:t>Dentro de los</w:t>
            </w:r>
            <w:r w:rsidR="00183EC9" w:rsidRPr="00100505">
              <w:rPr>
                <w:rFonts w:ascii="Arial" w:hAnsi="Arial" w:cs="Arial"/>
                <w:b/>
                <w:sz w:val="18"/>
                <w:szCs w:val="18"/>
                <w:lang w:eastAsia="es-CO"/>
              </w:rPr>
              <w:t xml:space="preserve"> </w:t>
            </w:r>
            <w:r w:rsidR="00183EC9" w:rsidRPr="00100505">
              <w:rPr>
                <w:rFonts w:ascii="Arial" w:hAnsi="Arial" w:cs="Arial"/>
                <w:sz w:val="18"/>
                <w:szCs w:val="18"/>
                <w:lang w:eastAsia="es-CO"/>
              </w:rPr>
              <w:t>d</w:t>
            </w:r>
            <w:r w:rsidRPr="00100505">
              <w:rPr>
                <w:rFonts w:ascii="Arial" w:hAnsi="Arial" w:cs="Arial"/>
                <w:sz w:val="18"/>
                <w:szCs w:val="18"/>
                <w:lang w:eastAsia="es-CO"/>
              </w:rPr>
              <w:t xml:space="preserve">os (2) días hábiles </w:t>
            </w:r>
            <w:r w:rsidR="0053471A">
              <w:rPr>
                <w:rFonts w:ascii="Arial" w:hAnsi="Arial" w:cs="Arial"/>
                <w:sz w:val="18"/>
                <w:szCs w:val="18"/>
                <w:lang w:eastAsia="es-CO"/>
              </w:rPr>
              <w:t xml:space="preserve">anteriores al </w:t>
            </w:r>
            <w:r w:rsidRPr="00100505">
              <w:rPr>
                <w:rFonts w:ascii="Arial" w:hAnsi="Arial" w:cs="Arial"/>
                <w:sz w:val="18"/>
                <w:szCs w:val="18"/>
                <w:lang w:eastAsia="es-CO"/>
              </w:rPr>
              <w:t>cierre contable</w:t>
            </w:r>
          </w:p>
        </w:tc>
      </w:tr>
      <w:tr w:rsidR="00703221" w:rsidRPr="008C3684" w14:paraId="64990E28" w14:textId="77777777" w:rsidTr="00DB31BB">
        <w:trPr>
          <w:trHeight w:val="513"/>
        </w:trPr>
        <w:tc>
          <w:tcPr>
            <w:tcW w:w="4745" w:type="dxa"/>
            <w:shd w:val="clear" w:color="auto" w:fill="FFFFFF"/>
          </w:tcPr>
          <w:p w14:paraId="13923D20"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 los movimientos del  FONPET</w:t>
            </w:r>
          </w:p>
        </w:tc>
        <w:tc>
          <w:tcPr>
            <w:tcW w:w="4337" w:type="dxa"/>
            <w:gridSpan w:val="2"/>
            <w:shd w:val="clear" w:color="auto" w:fill="FFFFFF"/>
          </w:tcPr>
          <w:p w14:paraId="6C3FBF41" w14:textId="75D001E1"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Mensual</w:t>
            </w:r>
            <w:r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8C3684" w14:paraId="6E63F8F9" w14:textId="77777777" w:rsidTr="00DB31BB">
        <w:trPr>
          <w:trHeight w:val="460"/>
        </w:trPr>
        <w:tc>
          <w:tcPr>
            <w:tcW w:w="4745" w:type="dxa"/>
            <w:shd w:val="clear" w:color="auto" w:fill="FFFFFF"/>
          </w:tcPr>
          <w:p w14:paraId="5EC103F3"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 la información concerniente a bonos pensionales</w:t>
            </w:r>
          </w:p>
        </w:tc>
        <w:tc>
          <w:tcPr>
            <w:tcW w:w="4337" w:type="dxa"/>
            <w:gridSpan w:val="2"/>
            <w:shd w:val="clear" w:color="auto" w:fill="FFFFFF"/>
          </w:tcPr>
          <w:p w14:paraId="2DC15EF0" w14:textId="37421740"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 xml:space="preserve">Mensual: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8C3684" w14:paraId="5BA3AC02" w14:textId="77777777" w:rsidTr="00DB31BB">
        <w:trPr>
          <w:trHeight w:val="566"/>
        </w:trPr>
        <w:tc>
          <w:tcPr>
            <w:tcW w:w="4745" w:type="dxa"/>
            <w:shd w:val="clear" w:color="auto" w:fill="FFFFFF"/>
          </w:tcPr>
          <w:p w14:paraId="0C5355DB"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del Sistema General de Participaciones</w:t>
            </w:r>
          </w:p>
        </w:tc>
        <w:tc>
          <w:tcPr>
            <w:tcW w:w="4337" w:type="dxa"/>
            <w:gridSpan w:val="2"/>
            <w:shd w:val="clear" w:color="auto" w:fill="FFFFFF"/>
          </w:tcPr>
          <w:p w14:paraId="74116D86" w14:textId="1E0D3DD5" w:rsidR="00703221" w:rsidRPr="008C3684" w:rsidRDefault="00703221" w:rsidP="00017908">
            <w:pPr>
              <w:jc w:val="both"/>
              <w:rPr>
                <w:rFonts w:ascii="Arial" w:hAnsi="Arial" w:cs="Arial"/>
                <w:sz w:val="18"/>
                <w:szCs w:val="18"/>
                <w:lang w:eastAsia="es-CO"/>
              </w:rPr>
            </w:pPr>
            <w:r w:rsidRPr="008C3684">
              <w:rPr>
                <w:rFonts w:ascii="Arial" w:hAnsi="Arial" w:cs="Arial"/>
                <w:b/>
                <w:sz w:val="18"/>
                <w:szCs w:val="18"/>
                <w:lang w:eastAsia="es-CO"/>
              </w:rPr>
              <w:t xml:space="preserve">Mensual: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8C3684" w14:paraId="1801115B" w14:textId="77777777" w:rsidTr="00DB31BB">
        <w:trPr>
          <w:trHeight w:val="682"/>
        </w:trPr>
        <w:tc>
          <w:tcPr>
            <w:tcW w:w="4745" w:type="dxa"/>
            <w:shd w:val="clear" w:color="auto" w:fill="FFFFFF"/>
            <w:hideMark/>
          </w:tcPr>
          <w:p w14:paraId="0A0ECA64"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 la información relacionada con los movimientos de cartera y de deudores del MHCP</w:t>
            </w:r>
          </w:p>
        </w:tc>
        <w:tc>
          <w:tcPr>
            <w:tcW w:w="4337" w:type="dxa"/>
            <w:gridSpan w:val="2"/>
            <w:shd w:val="clear" w:color="auto" w:fill="FFFFFF"/>
            <w:hideMark/>
          </w:tcPr>
          <w:p w14:paraId="747718D8" w14:textId="7C36635D" w:rsidR="00703221" w:rsidRPr="008C3684" w:rsidRDefault="005B5DBB" w:rsidP="00703221">
            <w:pPr>
              <w:jc w:val="both"/>
              <w:rPr>
                <w:rFonts w:ascii="Arial" w:hAnsi="Arial" w:cs="Arial"/>
                <w:sz w:val="18"/>
                <w:szCs w:val="18"/>
                <w:lang w:eastAsia="es-CO"/>
              </w:rPr>
            </w:pPr>
            <w:r w:rsidRPr="008C3684">
              <w:rPr>
                <w:rFonts w:ascii="Arial" w:hAnsi="Arial" w:cs="Arial"/>
                <w:b/>
                <w:sz w:val="18"/>
                <w:szCs w:val="18"/>
                <w:lang w:eastAsia="es-CO"/>
              </w:rPr>
              <w:t>Mensual</w:t>
            </w:r>
            <w:r w:rsidR="00703221" w:rsidRPr="008C3684">
              <w:rPr>
                <w:rFonts w:ascii="Arial" w:hAnsi="Arial" w:cs="Arial"/>
                <w:b/>
                <w:sz w:val="18"/>
                <w:szCs w:val="18"/>
                <w:lang w:eastAsia="es-CO"/>
              </w:rPr>
              <w:t>:</w:t>
            </w:r>
            <w:r w:rsidR="00703221"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296C12" w:rsidRPr="008C3684" w14:paraId="7D82CEB6" w14:textId="77777777" w:rsidTr="00DB31BB">
        <w:trPr>
          <w:trHeight w:val="595"/>
        </w:trPr>
        <w:tc>
          <w:tcPr>
            <w:tcW w:w="4745" w:type="dxa"/>
            <w:shd w:val="clear" w:color="auto" w:fill="FFFFFF"/>
          </w:tcPr>
          <w:p w14:paraId="7C037F56" w14:textId="77777777" w:rsidR="00296C12" w:rsidRPr="008C3684" w:rsidRDefault="00296C12" w:rsidP="00296C12">
            <w:pPr>
              <w:jc w:val="both"/>
              <w:rPr>
                <w:rFonts w:ascii="Arial" w:hAnsi="Arial" w:cs="Arial"/>
                <w:sz w:val="18"/>
                <w:szCs w:val="18"/>
                <w:lang w:eastAsia="es-CO"/>
              </w:rPr>
            </w:pPr>
            <w:r w:rsidRPr="008C3684">
              <w:rPr>
                <w:rFonts w:ascii="Arial" w:hAnsi="Arial" w:cs="Arial"/>
                <w:sz w:val="18"/>
                <w:szCs w:val="18"/>
                <w:lang w:eastAsia="es-CO"/>
              </w:rPr>
              <w:t>Gestión de conciliación de Activos Intangibles (Licencias y software)</w:t>
            </w:r>
          </w:p>
        </w:tc>
        <w:tc>
          <w:tcPr>
            <w:tcW w:w="4337" w:type="dxa"/>
            <w:gridSpan w:val="2"/>
            <w:shd w:val="clear" w:color="auto" w:fill="FFFFFF"/>
          </w:tcPr>
          <w:p w14:paraId="2D38F7AF" w14:textId="7E124BB9" w:rsidR="00296C12" w:rsidRPr="008C3684" w:rsidRDefault="00296C12" w:rsidP="00296C12">
            <w:pPr>
              <w:jc w:val="both"/>
              <w:rPr>
                <w:rFonts w:ascii="Arial" w:hAnsi="Arial" w:cs="Arial"/>
                <w:b/>
                <w:sz w:val="18"/>
                <w:szCs w:val="18"/>
                <w:lang w:eastAsia="es-CO"/>
              </w:rPr>
            </w:pPr>
            <w:r w:rsidRPr="008C3684">
              <w:rPr>
                <w:rFonts w:ascii="Arial" w:hAnsi="Arial" w:cs="Arial"/>
                <w:b/>
                <w:sz w:val="18"/>
                <w:szCs w:val="18"/>
                <w:lang w:eastAsia="es-CO"/>
              </w:rPr>
              <w:t xml:space="preserve">Trimestral: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8C3684" w14:paraId="2193143A" w14:textId="77777777" w:rsidTr="00DB31BB">
        <w:trPr>
          <w:trHeight w:val="762"/>
        </w:trPr>
        <w:tc>
          <w:tcPr>
            <w:tcW w:w="4745" w:type="dxa"/>
            <w:shd w:val="clear" w:color="auto" w:fill="FFFFFF"/>
          </w:tcPr>
          <w:p w14:paraId="1E4109AA"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 la información relacionada con los procesos judiciales, laudos arbitrales y conciliaciones extrajudiciales a favor y en contra del MHCP</w:t>
            </w:r>
            <w:r w:rsidRPr="008C3684" w:rsidDel="000948C2">
              <w:rPr>
                <w:rFonts w:ascii="Arial" w:hAnsi="Arial" w:cs="Arial"/>
                <w:sz w:val="18"/>
                <w:szCs w:val="18"/>
                <w:lang w:eastAsia="es-CO"/>
              </w:rPr>
              <w:t xml:space="preserve"> </w:t>
            </w:r>
          </w:p>
        </w:tc>
        <w:tc>
          <w:tcPr>
            <w:tcW w:w="4337" w:type="dxa"/>
            <w:gridSpan w:val="2"/>
            <w:shd w:val="clear" w:color="auto" w:fill="FFFFFF"/>
          </w:tcPr>
          <w:p w14:paraId="401C87D0" w14:textId="7675CD56" w:rsidR="00703221" w:rsidRPr="008C3684" w:rsidRDefault="00A371D3" w:rsidP="00703221">
            <w:pPr>
              <w:jc w:val="both"/>
              <w:rPr>
                <w:rFonts w:ascii="Arial" w:hAnsi="Arial" w:cs="Arial"/>
                <w:sz w:val="18"/>
                <w:szCs w:val="18"/>
                <w:lang w:eastAsia="es-CO"/>
              </w:rPr>
            </w:pPr>
            <w:r w:rsidRPr="008C3684">
              <w:rPr>
                <w:rFonts w:ascii="Arial" w:hAnsi="Arial" w:cs="Arial"/>
                <w:b/>
                <w:sz w:val="18"/>
                <w:szCs w:val="18"/>
                <w:lang w:eastAsia="es-CO"/>
              </w:rPr>
              <w:t>Mensual</w:t>
            </w:r>
            <w:r w:rsidR="00703221" w:rsidRPr="008C3684">
              <w:rPr>
                <w:rFonts w:ascii="Arial" w:hAnsi="Arial" w:cs="Arial"/>
                <w:b/>
                <w:sz w:val="18"/>
                <w:szCs w:val="18"/>
                <w:lang w:eastAsia="es-CO"/>
              </w:rPr>
              <w:t>:</w:t>
            </w:r>
            <w:r w:rsidR="00703221"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53471A" w:rsidRPr="008C3684" w14:paraId="38077DE5" w14:textId="77777777" w:rsidTr="00DB31BB">
        <w:trPr>
          <w:trHeight w:val="470"/>
        </w:trPr>
        <w:tc>
          <w:tcPr>
            <w:tcW w:w="4745" w:type="dxa"/>
            <w:shd w:val="clear" w:color="auto" w:fill="FFFFFF"/>
          </w:tcPr>
          <w:p w14:paraId="069BFA5B" w14:textId="05D43FE0" w:rsidR="0053471A" w:rsidRPr="008C3684" w:rsidRDefault="0053471A" w:rsidP="0053471A">
            <w:pPr>
              <w:jc w:val="both"/>
              <w:rPr>
                <w:rFonts w:ascii="Arial" w:hAnsi="Arial" w:cs="Arial"/>
                <w:sz w:val="18"/>
                <w:szCs w:val="18"/>
                <w:lang w:eastAsia="es-CO"/>
              </w:rPr>
            </w:pPr>
            <w:r w:rsidRPr="007E269E">
              <w:rPr>
                <w:rFonts w:ascii="Arial" w:hAnsi="Arial" w:cs="Arial"/>
                <w:sz w:val="18"/>
                <w:szCs w:val="18"/>
                <w:lang w:eastAsia="es-CO"/>
              </w:rPr>
              <w:t xml:space="preserve">Gestión de conciliación de la información relacionada con recursos entregados en administración a la Dirección General de Crédito Público y del Tesoro Nacional (DGCPTN) </w:t>
            </w:r>
          </w:p>
        </w:tc>
        <w:tc>
          <w:tcPr>
            <w:tcW w:w="4337" w:type="dxa"/>
            <w:gridSpan w:val="2"/>
            <w:shd w:val="clear" w:color="auto" w:fill="FFFFFF"/>
          </w:tcPr>
          <w:p w14:paraId="28E0180D" w14:textId="3AA32993" w:rsidR="0053471A" w:rsidRPr="008C3684" w:rsidRDefault="0053471A" w:rsidP="0053471A">
            <w:pPr>
              <w:jc w:val="both"/>
              <w:rPr>
                <w:rFonts w:ascii="Arial" w:hAnsi="Arial" w:cs="Arial"/>
                <w:b/>
                <w:sz w:val="18"/>
                <w:szCs w:val="18"/>
                <w:lang w:eastAsia="es-CO"/>
              </w:rPr>
            </w:pPr>
            <w:r w:rsidRPr="007E269E">
              <w:rPr>
                <w:rFonts w:ascii="Arial" w:hAnsi="Arial" w:cs="Arial"/>
                <w:b/>
                <w:sz w:val="18"/>
                <w:szCs w:val="18"/>
                <w:lang w:eastAsia="es-CO"/>
              </w:rPr>
              <w:t>Mensual</w:t>
            </w:r>
            <w:r w:rsidRPr="007E269E">
              <w:rPr>
                <w:rFonts w:ascii="Arial" w:hAnsi="Arial" w:cs="Arial"/>
                <w:sz w:val="18"/>
                <w:szCs w:val="18"/>
                <w:lang w:eastAsia="es-CO"/>
              </w:rPr>
              <w:t xml:space="preserve">: </w:t>
            </w:r>
            <w:r w:rsidRPr="00100505">
              <w:rPr>
                <w:rFonts w:ascii="Arial" w:hAnsi="Arial" w:cs="Arial"/>
                <w:bCs/>
                <w:sz w:val="18"/>
                <w:szCs w:val="18"/>
                <w:lang w:eastAsia="es-CO"/>
              </w:rPr>
              <w:t>Dentro de los</w:t>
            </w:r>
            <w:r w:rsidRPr="00100505">
              <w:rPr>
                <w:rFonts w:ascii="Arial" w:hAnsi="Arial" w:cs="Arial"/>
                <w:b/>
                <w:sz w:val="18"/>
                <w:szCs w:val="18"/>
                <w:lang w:eastAsia="es-CO"/>
              </w:rPr>
              <w:t xml:space="preserve"> </w:t>
            </w:r>
            <w:r w:rsidRPr="00100505">
              <w:rPr>
                <w:rFonts w:ascii="Arial" w:hAnsi="Arial" w:cs="Arial"/>
                <w:sz w:val="18"/>
                <w:szCs w:val="18"/>
                <w:lang w:eastAsia="es-CO"/>
              </w:rPr>
              <w:t xml:space="preserve">dos (2) días hábiles </w:t>
            </w:r>
            <w:r>
              <w:rPr>
                <w:rFonts w:ascii="Arial" w:hAnsi="Arial" w:cs="Arial"/>
                <w:sz w:val="18"/>
                <w:szCs w:val="18"/>
                <w:lang w:eastAsia="es-CO"/>
              </w:rPr>
              <w:t xml:space="preserve">anteriores al </w:t>
            </w:r>
            <w:r w:rsidRPr="00100505">
              <w:rPr>
                <w:rFonts w:ascii="Arial" w:hAnsi="Arial" w:cs="Arial"/>
                <w:sz w:val="18"/>
                <w:szCs w:val="18"/>
                <w:lang w:eastAsia="es-CO"/>
              </w:rPr>
              <w:t>cierre contable</w:t>
            </w:r>
          </w:p>
        </w:tc>
      </w:tr>
      <w:tr w:rsidR="00703221" w:rsidRPr="008C3684" w14:paraId="63F5FFF3" w14:textId="77777777" w:rsidTr="00DB31BB">
        <w:trPr>
          <w:trHeight w:val="470"/>
        </w:trPr>
        <w:tc>
          <w:tcPr>
            <w:tcW w:w="4745" w:type="dxa"/>
            <w:shd w:val="clear" w:color="auto" w:fill="FFFFFF"/>
          </w:tcPr>
          <w:p w14:paraId="227BAA7F"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 xml:space="preserve">Gestión de conciliación de la información relacionada con incapacidades y licencias. </w:t>
            </w:r>
          </w:p>
        </w:tc>
        <w:tc>
          <w:tcPr>
            <w:tcW w:w="4337" w:type="dxa"/>
            <w:gridSpan w:val="2"/>
            <w:shd w:val="clear" w:color="auto" w:fill="FFFFFF"/>
          </w:tcPr>
          <w:p w14:paraId="7D48912A" w14:textId="36091606"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Trimestral:</w:t>
            </w:r>
            <w:r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8C3684" w14:paraId="7D6F0438" w14:textId="77777777" w:rsidTr="00DB31BB">
        <w:trPr>
          <w:trHeight w:val="777"/>
        </w:trPr>
        <w:tc>
          <w:tcPr>
            <w:tcW w:w="4745" w:type="dxa"/>
            <w:shd w:val="clear" w:color="auto" w:fill="FFFFFF"/>
          </w:tcPr>
          <w:p w14:paraId="6F690BAE" w14:textId="77777777" w:rsidR="00703221" w:rsidRPr="008C3684" w:rsidRDefault="00703221" w:rsidP="00703221">
            <w:pPr>
              <w:spacing w:line="288" w:lineRule="auto"/>
              <w:jc w:val="both"/>
              <w:rPr>
                <w:rFonts w:ascii="Arial" w:hAnsi="Arial" w:cs="Arial"/>
                <w:sz w:val="18"/>
                <w:szCs w:val="18"/>
                <w:lang w:eastAsia="es-CO"/>
              </w:rPr>
            </w:pPr>
            <w:r w:rsidRPr="008C3684">
              <w:rPr>
                <w:rFonts w:ascii="Arial" w:hAnsi="Arial" w:cs="Arial"/>
                <w:sz w:val="18"/>
                <w:szCs w:val="18"/>
                <w:lang w:eastAsia="es-CO"/>
              </w:rPr>
              <w:t>Gestión de conciliación de la información relacionada con la ejecución de contratos y convenios interadministrativos, suscritos por el MHCP con entidades tales como: FOGAFIN FONADE, FINDETER, ICETEX, FNG, FDN, BANCOLDEX, etc.</w:t>
            </w:r>
          </w:p>
        </w:tc>
        <w:tc>
          <w:tcPr>
            <w:tcW w:w="4337" w:type="dxa"/>
            <w:gridSpan w:val="2"/>
            <w:shd w:val="clear" w:color="auto" w:fill="FFFFFF"/>
          </w:tcPr>
          <w:p w14:paraId="2BF1FC76" w14:textId="0759A711"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Trimestral</w:t>
            </w:r>
            <w:r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B71716" w14:paraId="71F4AAAD" w14:textId="77777777" w:rsidTr="00DB31BB">
        <w:trPr>
          <w:trHeight w:val="445"/>
        </w:trPr>
        <w:tc>
          <w:tcPr>
            <w:tcW w:w="4745" w:type="dxa"/>
            <w:shd w:val="clear" w:color="auto" w:fill="FFFFFF"/>
          </w:tcPr>
          <w:p w14:paraId="4CCCC812" w14:textId="77777777" w:rsidR="00703221" w:rsidRPr="008C3684" w:rsidRDefault="00703221" w:rsidP="00703221">
            <w:pPr>
              <w:spacing w:line="288" w:lineRule="auto"/>
              <w:jc w:val="both"/>
              <w:rPr>
                <w:rFonts w:ascii="Arial" w:hAnsi="Arial" w:cs="Arial"/>
                <w:sz w:val="18"/>
                <w:szCs w:val="18"/>
                <w:lang w:eastAsia="es-CO"/>
              </w:rPr>
            </w:pPr>
            <w:r w:rsidRPr="008C3684">
              <w:rPr>
                <w:rFonts w:ascii="Arial" w:hAnsi="Arial" w:cs="Arial"/>
                <w:sz w:val="18"/>
                <w:szCs w:val="18"/>
                <w:lang w:eastAsia="es-CO"/>
              </w:rPr>
              <w:t xml:space="preserve">Gestión de conciliación de la información relacionada con derechos en fideicomiso tales como: </w:t>
            </w:r>
            <w:proofErr w:type="spellStart"/>
            <w:r w:rsidRPr="008C3684">
              <w:rPr>
                <w:rFonts w:ascii="Arial" w:hAnsi="Arial" w:cs="Arial"/>
                <w:sz w:val="18"/>
                <w:szCs w:val="18"/>
                <w:lang w:eastAsia="es-CO"/>
              </w:rPr>
              <w:t>Fibratolima</w:t>
            </w:r>
            <w:proofErr w:type="spellEnd"/>
            <w:r w:rsidRPr="008C3684">
              <w:rPr>
                <w:rFonts w:ascii="Arial" w:hAnsi="Arial" w:cs="Arial"/>
                <w:sz w:val="18"/>
                <w:szCs w:val="18"/>
                <w:lang w:eastAsia="es-CO"/>
              </w:rPr>
              <w:t xml:space="preserve"> y Fiduprevisora.</w:t>
            </w:r>
          </w:p>
        </w:tc>
        <w:tc>
          <w:tcPr>
            <w:tcW w:w="4337" w:type="dxa"/>
            <w:gridSpan w:val="2"/>
            <w:shd w:val="clear" w:color="auto" w:fill="FFFFFF"/>
          </w:tcPr>
          <w:p w14:paraId="67242D8F" w14:textId="6600D180" w:rsidR="00703221" w:rsidRPr="008C3684" w:rsidRDefault="00703221" w:rsidP="00703221">
            <w:pPr>
              <w:jc w:val="both"/>
            </w:pPr>
            <w:r w:rsidRPr="008C3684">
              <w:rPr>
                <w:rFonts w:ascii="Arial" w:hAnsi="Arial" w:cs="Arial"/>
                <w:b/>
                <w:sz w:val="18"/>
                <w:szCs w:val="18"/>
                <w:lang w:eastAsia="es-CO"/>
              </w:rPr>
              <w:t>Trimestral</w:t>
            </w:r>
            <w:r w:rsidRPr="008C3684">
              <w:rPr>
                <w:rFonts w:ascii="Arial" w:hAnsi="Arial" w:cs="Arial"/>
                <w:sz w:val="18"/>
                <w:szCs w:val="18"/>
                <w:lang w:eastAsia="es-CO"/>
              </w:rPr>
              <w:t xml:space="preserve">: </w:t>
            </w:r>
            <w:r w:rsidR="0053471A" w:rsidRPr="00100505">
              <w:rPr>
                <w:rFonts w:ascii="Arial" w:hAnsi="Arial" w:cs="Arial"/>
                <w:bCs/>
                <w:sz w:val="18"/>
                <w:szCs w:val="18"/>
                <w:lang w:eastAsia="es-CO"/>
              </w:rPr>
              <w:t>Dentro de los</w:t>
            </w:r>
            <w:r w:rsidR="0053471A" w:rsidRPr="00100505">
              <w:rPr>
                <w:rFonts w:ascii="Arial" w:hAnsi="Arial" w:cs="Arial"/>
                <w:b/>
                <w:sz w:val="18"/>
                <w:szCs w:val="18"/>
                <w:lang w:eastAsia="es-CO"/>
              </w:rPr>
              <w:t xml:space="preserve"> </w:t>
            </w:r>
            <w:r w:rsidR="0053471A" w:rsidRPr="00100505">
              <w:rPr>
                <w:rFonts w:ascii="Arial" w:hAnsi="Arial" w:cs="Arial"/>
                <w:sz w:val="18"/>
                <w:szCs w:val="18"/>
                <w:lang w:eastAsia="es-CO"/>
              </w:rPr>
              <w:t xml:space="preserve">dos (2) días hábiles </w:t>
            </w:r>
            <w:r w:rsidR="0053471A">
              <w:rPr>
                <w:rFonts w:ascii="Arial" w:hAnsi="Arial" w:cs="Arial"/>
                <w:sz w:val="18"/>
                <w:szCs w:val="18"/>
                <w:lang w:eastAsia="es-CO"/>
              </w:rPr>
              <w:t xml:space="preserve">anteriores al </w:t>
            </w:r>
            <w:r w:rsidR="0053471A" w:rsidRPr="00100505">
              <w:rPr>
                <w:rFonts w:ascii="Arial" w:hAnsi="Arial" w:cs="Arial"/>
                <w:sz w:val="18"/>
                <w:szCs w:val="18"/>
                <w:lang w:eastAsia="es-CO"/>
              </w:rPr>
              <w:t>cierre contable</w:t>
            </w:r>
          </w:p>
        </w:tc>
      </w:tr>
      <w:tr w:rsidR="00703221" w:rsidRPr="00B71716" w14:paraId="5F6F4A0D" w14:textId="77777777" w:rsidTr="00DB31BB">
        <w:trPr>
          <w:trHeight w:val="777"/>
        </w:trPr>
        <w:tc>
          <w:tcPr>
            <w:tcW w:w="4745" w:type="dxa"/>
            <w:shd w:val="clear" w:color="auto" w:fill="FFFFFF"/>
            <w:hideMark/>
          </w:tcPr>
          <w:p w14:paraId="5244A5FC" w14:textId="64E9E5AD"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Gestión de Conciliación de aportes y contribuciones de la Nación, tomando como base la información que es remitida por los organismos al Banco de la República</w:t>
            </w:r>
          </w:p>
        </w:tc>
        <w:tc>
          <w:tcPr>
            <w:tcW w:w="4337" w:type="dxa"/>
            <w:gridSpan w:val="2"/>
            <w:shd w:val="clear" w:color="auto" w:fill="FFFFFF"/>
            <w:hideMark/>
          </w:tcPr>
          <w:p w14:paraId="2EA08732" w14:textId="77777777"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Trimestral:</w:t>
            </w:r>
            <w:r w:rsidRPr="008C3684">
              <w:rPr>
                <w:rFonts w:ascii="Arial" w:hAnsi="Arial" w:cs="Arial"/>
                <w:sz w:val="18"/>
                <w:szCs w:val="18"/>
                <w:lang w:eastAsia="es-CO"/>
              </w:rPr>
              <w:t xml:space="preserve"> Cinco (5) días hábiles después de recibido el formato de conciliación, por parte del Banco de la República. (Tiempo estimado para la recepción del referido formato: 2 meses después del trimestre al que corresponde la información.   </w:t>
            </w:r>
          </w:p>
        </w:tc>
      </w:tr>
      <w:tr w:rsidR="00703221" w:rsidRPr="00B71716" w14:paraId="14419F1A" w14:textId="77777777" w:rsidTr="00DB31BB">
        <w:trPr>
          <w:trHeight w:val="777"/>
        </w:trPr>
        <w:tc>
          <w:tcPr>
            <w:tcW w:w="4745" w:type="dxa"/>
            <w:shd w:val="clear" w:color="auto" w:fill="FFFFFF"/>
          </w:tcPr>
          <w:p w14:paraId="4B78BA1A" w14:textId="77777777" w:rsidR="00703221" w:rsidRPr="008C3684" w:rsidRDefault="00703221" w:rsidP="00703221">
            <w:pPr>
              <w:jc w:val="both"/>
              <w:rPr>
                <w:rFonts w:ascii="Arial" w:hAnsi="Arial" w:cs="Arial"/>
                <w:sz w:val="18"/>
                <w:szCs w:val="18"/>
                <w:lang w:eastAsia="es-CO"/>
              </w:rPr>
            </w:pPr>
            <w:r w:rsidRPr="008C3684">
              <w:rPr>
                <w:rFonts w:ascii="Arial" w:hAnsi="Arial" w:cs="Arial"/>
                <w:sz w:val="18"/>
                <w:szCs w:val="18"/>
                <w:lang w:eastAsia="es-CO"/>
              </w:rPr>
              <w:t xml:space="preserve">Gestión de validación entre los saldos contables de las inversiones patrimoniales registradas por el MHCP, con las certificaciones patrimoniales de las empresas. </w:t>
            </w:r>
          </w:p>
        </w:tc>
        <w:tc>
          <w:tcPr>
            <w:tcW w:w="4337" w:type="dxa"/>
            <w:gridSpan w:val="2"/>
            <w:shd w:val="clear" w:color="auto" w:fill="FFFFFF"/>
          </w:tcPr>
          <w:p w14:paraId="71884811" w14:textId="06D761B6" w:rsidR="00703221" w:rsidRPr="008C3684" w:rsidRDefault="00703221" w:rsidP="00703221">
            <w:pPr>
              <w:jc w:val="both"/>
              <w:rPr>
                <w:rFonts w:ascii="Arial" w:hAnsi="Arial" w:cs="Arial"/>
                <w:sz w:val="18"/>
                <w:szCs w:val="18"/>
                <w:lang w:eastAsia="es-CO"/>
              </w:rPr>
            </w:pPr>
            <w:r w:rsidRPr="008C3684">
              <w:rPr>
                <w:rFonts w:ascii="Arial" w:hAnsi="Arial" w:cs="Arial"/>
                <w:b/>
                <w:sz w:val="18"/>
                <w:szCs w:val="18"/>
                <w:lang w:eastAsia="es-CO"/>
              </w:rPr>
              <w:t>Trimestral:</w:t>
            </w:r>
            <w:r w:rsidRPr="008C3684">
              <w:rPr>
                <w:rFonts w:ascii="Arial" w:hAnsi="Arial" w:cs="Arial"/>
                <w:sz w:val="18"/>
                <w:szCs w:val="18"/>
                <w:lang w:eastAsia="es-CO"/>
              </w:rPr>
              <w:t xml:space="preserve"> </w:t>
            </w:r>
            <w:r w:rsidR="00183EC9" w:rsidRPr="008C3684">
              <w:rPr>
                <w:rFonts w:ascii="Arial" w:hAnsi="Arial" w:cs="Arial"/>
                <w:bCs/>
                <w:sz w:val="18"/>
                <w:szCs w:val="18"/>
                <w:lang w:eastAsia="es-CO"/>
              </w:rPr>
              <w:t>Dentro de los</w:t>
            </w:r>
            <w:r w:rsidR="00183EC9" w:rsidRPr="008C3684">
              <w:rPr>
                <w:rFonts w:ascii="Arial" w:hAnsi="Arial" w:cs="Arial"/>
                <w:b/>
                <w:sz w:val="18"/>
                <w:szCs w:val="18"/>
                <w:lang w:eastAsia="es-CO"/>
              </w:rPr>
              <w:t xml:space="preserve"> </w:t>
            </w:r>
            <w:r w:rsidR="00183EC9" w:rsidRPr="008C3684">
              <w:rPr>
                <w:rFonts w:ascii="Arial" w:hAnsi="Arial" w:cs="Arial"/>
                <w:sz w:val="18"/>
                <w:szCs w:val="18"/>
                <w:lang w:eastAsia="es-CO"/>
              </w:rPr>
              <w:t>d</w:t>
            </w:r>
            <w:r w:rsidRPr="008C3684">
              <w:rPr>
                <w:rFonts w:ascii="Arial" w:hAnsi="Arial" w:cs="Arial"/>
                <w:sz w:val="18"/>
                <w:szCs w:val="18"/>
                <w:lang w:eastAsia="es-CO"/>
              </w:rPr>
              <w:t xml:space="preserve">os (2) días hábiles </w:t>
            </w:r>
            <w:r w:rsidR="00206E7E">
              <w:rPr>
                <w:rFonts w:ascii="Arial" w:hAnsi="Arial" w:cs="Arial"/>
                <w:sz w:val="18"/>
                <w:szCs w:val="18"/>
                <w:lang w:eastAsia="es-CO"/>
              </w:rPr>
              <w:t>anteriores al</w:t>
            </w:r>
            <w:r w:rsidRPr="008C3684">
              <w:rPr>
                <w:rFonts w:ascii="Arial" w:hAnsi="Arial" w:cs="Arial"/>
                <w:sz w:val="18"/>
                <w:szCs w:val="18"/>
                <w:lang w:eastAsia="es-CO"/>
              </w:rPr>
              <w:t xml:space="preserve"> envío de la información a la Contaduría General de la Nación </w:t>
            </w:r>
          </w:p>
        </w:tc>
      </w:tr>
      <w:tr w:rsidR="00703221" w:rsidRPr="00B71716" w14:paraId="0DF1F9CE" w14:textId="77777777" w:rsidTr="00DB31BB">
        <w:trPr>
          <w:trHeight w:val="777"/>
        </w:trPr>
        <w:tc>
          <w:tcPr>
            <w:tcW w:w="4745" w:type="dxa"/>
            <w:shd w:val="clear" w:color="auto" w:fill="FFFFFF"/>
          </w:tcPr>
          <w:p w14:paraId="348163B7" w14:textId="77777777" w:rsidR="00703221" w:rsidRPr="00E554A9" w:rsidRDefault="00703221" w:rsidP="00703221">
            <w:pPr>
              <w:jc w:val="both"/>
              <w:rPr>
                <w:rFonts w:ascii="Arial" w:hAnsi="Arial" w:cs="Arial"/>
                <w:sz w:val="18"/>
                <w:szCs w:val="18"/>
                <w:lang w:eastAsia="es-CO"/>
              </w:rPr>
            </w:pPr>
            <w:r w:rsidRPr="00E554A9">
              <w:rPr>
                <w:rFonts w:ascii="Arial" w:hAnsi="Arial" w:cs="Arial"/>
                <w:sz w:val="18"/>
                <w:szCs w:val="18"/>
                <w:lang w:eastAsia="es-CO"/>
              </w:rPr>
              <w:lastRenderedPageBreak/>
              <w:t>Gestión de conciliación de los CERT.</w:t>
            </w:r>
          </w:p>
        </w:tc>
        <w:tc>
          <w:tcPr>
            <w:tcW w:w="4337" w:type="dxa"/>
            <w:gridSpan w:val="2"/>
            <w:shd w:val="clear" w:color="auto" w:fill="FFFFFF"/>
          </w:tcPr>
          <w:p w14:paraId="62DB30F4" w14:textId="1C2637C1" w:rsidR="00703221" w:rsidRPr="00E554A9" w:rsidRDefault="00703221" w:rsidP="00703221">
            <w:pPr>
              <w:jc w:val="both"/>
              <w:rPr>
                <w:rFonts w:ascii="Arial" w:hAnsi="Arial" w:cs="Arial"/>
                <w:sz w:val="18"/>
                <w:szCs w:val="18"/>
                <w:lang w:eastAsia="es-CO"/>
              </w:rPr>
            </w:pPr>
            <w:r w:rsidRPr="00E554A9">
              <w:rPr>
                <w:rFonts w:ascii="Arial" w:hAnsi="Arial" w:cs="Arial"/>
                <w:b/>
                <w:sz w:val="18"/>
                <w:szCs w:val="18"/>
                <w:lang w:eastAsia="es-CO"/>
              </w:rPr>
              <w:t xml:space="preserve">Anual: </w:t>
            </w:r>
            <w:r w:rsidR="00183EC9" w:rsidRPr="00E554A9">
              <w:rPr>
                <w:rFonts w:ascii="Arial" w:hAnsi="Arial" w:cs="Arial"/>
                <w:bCs/>
                <w:sz w:val="18"/>
                <w:szCs w:val="18"/>
                <w:lang w:eastAsia="es-CO"/>
              </w:rPr>
              <w:t>Dentro de los</w:t>
            </w:r>
            <w:r w:rsidR="00183EC9" w:rsidRPr="00E554A9">
              <w:rPr>
                <w:rFonts w:ascii="Arial" w:hAnsi="Arial" w:cs="Arial"/>
                <w:b/>
                <w:sz w:val="18"/>
                <w:szCs w:val="18"/>
                <w:lang w:eastAsia="es-CO"/>
              </w:rPr>
              <w:t xml:space="preserve"> </w:t>
            </w:r>
            <w:r w:rsidR="00183EC9" w:rsidRPr="00E554A9">
              <w:rPr>
                <w:rFonts w:ascii="Arial" w:hAnsi="Arial" w:cs="Arial"/>
                <w:sz w:val="18"/>
                <w:szCs w:val="18"/>
                <w:lang w:eastAsia="es-CO"/>
              </w:rPr>
              <w:t>d</w:t>
            </w:r>
            <w:r w:rsidRPr="00E554A9">
              <w:rPr>
                <w:rFonts w:ascii="Arial" w:hAnsi="Arial" w:cs="Arial"/>
                <w:sz w:val="18"/>
                <w:szCs w:val="18"/>
                <w:lang w:eastAsia="es-CO"/>
              </w:rPr>
              <w:t xml:space="preserve">os (2) días hábiles </w:t>
            </w:r>
            <w:r w:rsidR="00206E7E">
              <w:rPr>
                <w:rFonts w:ascii="Arial" w:hAnsi="Arial" w:cs="Arial"/>
                <w:sz w:val="18"/>
                <w:szCs w:val="18"/>
                <w:lang w:eastAsia="es-CO"/>
              </w:rPr>
              <w:t>anteriores al</w:t>
            </w:r>
            <w:r w:rsidRPr="00E554A9">
              <w:rPr>
                <w:rFonts w:ascii="Arial" w:hAnsi="Arial" w:cs="Arial"/>
                <w:sz w:val="18"/>
                <w:szCs w:val="18"/>
                <w:lang w:eastAsia="es-CO"/>
              </w:rPr>
              <w:t xml:space="preserve"> cierre contable del mes de diciembre de la respectiva vigencia</w:t>
            </w:r>
          </w:p>
        </w:tc>
      </w:tr>
      <w:tr w:rsidR="00703221" w:rsidRPr="00B71716" w14:paraId="48928CC2" w14:textId="77777777" w:rsidTr="00DB31BB">
        <w:trPr>
          <w:trHeight w:val="777"/>
        </w:trPr>
        <w:tc>
          <w:tcPr>
            <w:tcW w:w="4745" w:type="dxa"/>
            <w:shd w:val="clear" w:color="auto" w:fill="FFFFFF"/>
          </w:tcPr>
          <w:p w14:paraId="1708FC4D" w14:textId="77777777" w:rsidR="00703221" w:rsidRPr="00E554A9" w:rsidRDefault="00703221" w:rsidP="00703221">
            <w:pPr>
              <w:jc w:val="both"/>
              <w:rPr>
                <w:rFonts w:ascii="Arial" w:hAnsi="Arial" w:cs="Arial"/>
                <w:sz w:val="18"/>
                <w:szCs w:val="18"/>
                <w:lang w:eastAsia="es-CO"/>
              </w:rPr>
            </w:pPr>
            <w:r w:rsidRPr="00E554A9">
              <w:rPr>
                <w:rFonts w:ascii="Arial" w:hAnsi="Arial" w:cs="Arial"/>
                <w:sz w:val="18"/>
                <w:szCs w:val="18"/>
                <w:lang w:eastAsia="es-CO"/>
              </w:rPr>
              <w:t>Gestión de conciliación de las prestaciones sociales causadas.</w:t>
            </w:r>
          </w:p>
        </w:tc>
        <w:tc>
          <w:tcPr>
            <w:tcW w:w="4337" w:type="dxa"/>
            <w:gridSpan w:val="2"/>
            <w:shd w:val="clear" w:color="auto" w:fill="FFFFFF"/>
          </w:tcPr>
          <w:p w14:paraId="4EC3CCBF" w14:textId="2F4CCB66" w:rsidR="00703221" w:rsidRPr="00E554A9" w:rsidRDefault="00703221" w:rsidP="00703221">
            <w:pPr>
              <w:jc w:val="both"/>
              <w:rPr>
                <w:rFonts w:ascii="Arial" w:hAnsi="Arial" w:cs="Arial"/>
                <w:sz w:val="18"/>
                <w:szCs w:val="18"/>
                <w:lang w:eastAsia="es-CO"/>
              </w:rPr>
            </w:pPr>
            <w:r w:rsidRPr="00E554A9">
              <w:rPr>
                <w:rFonts w:ascii="Arial" w:hAnsi="Arial" w:cs="Arial"/>
                <w:b/>
                <w:sz w:val="18"/>
                <w:szCs w:val="18"/>
                <w:lang w:eastAsia="es-CO"/>
              </w:rPr>
              <w:t xml:space="preserve">Anual: </w:t>
            </w:r>
            <w:r w:rsidR="00183EC9" w:rsidRPr="00E554A9">
              <w:rPr>
                <w:rFonts w:ascii="Arial" w:hAnsi="Arial" w:cs="Arial"/>
                <w:bCs/>
                <w:sz w:val="18"/>
                <w:szCs w:val="18"/>
                <w:lang w:eastAsia="es-CO"/>
              </w:rPr>
              <w:t>Dentro de los</w:t>
            </w:r>
            <w:r w:rsidR="00183EC9" w:rsidRPr="00E554A9">
              <w:rPr>
                <w:rFonts w:ascii="Arial" w:hAnsi="Arial" w:cs="Arial"/>
                <w:b/>
                <w:sz w:val="18"/>
                <w:szCs w:val="18"/>
                <w:lang w:eastAsia="es-CO"/>
              </w:rPr>
              <w:t xml:space="preserve"> </w:t>
            </w:r>
            <w:r w:rsidR="00183EC9" w:rsidRPr="00E554A9">
              <w:rPr>
                <w:rFonts w:ascii="Arial" w:hAnsi="Arial" w:cs="Arial"/>
                <w:sz w:val="18"/>
                <w:szCs w:val="18"/>
                <w:lang w:eastAsia="es-CO"/>
              </w:rPr>
              <w:t>d</w:t>
            </w:r>
            <w:r w:rsidRPr="00E554A9">
              <w:rPr>
                <w:rFonts w:ascii="Arial" w:hAnsi="Arial" w:cs="Arial"/>
                <w:sz w:val="18"/>
                <w:szCs w:val="18"/>
                <w:lang w:eastAsia="es-CO"/>
              </w:rPr>
              <w:t xml:space="preserve">os (2) días hábiles </w:t>
            </w:r>
            <w:r w:rsidR="00206E7E">
              <w:rPr>
                <w:rFonts w:ascii="Arial" w:hAnsi="Arial" w:cs="Arial"/>
                <w:sz w:val="18"/>
                <w:szCs w:val="18"/>
                <w:lang w:eastAsia="es-CO"/>
              </w:rPr>
              <w:t xml:space="preserve">anteriores al </w:t>
            </w:r>
            <w:r w:rsidRPr="00E554A9">
              <w:rPr>
                <w:rFonts w:ascii="Arial" w:hAnsi="Arial" w:cs="Arial"/>
                <w:sz w:val="18"/>
                <w:szCs w:val="18"/>
                <w:lang w:eastAsia="es-CO"/>
              </w:rPr>
              <w:t>cierre contable del mes de diciembre de la respectiva vigencia</w:t>
            </w:r>
          </w:p>
        </w:tc>
      </w:tr>
      <w:tr w:rsidR="00D64DCD" w:rsidRPr="00B71716" w14:paraId="07BE0ED3" w14:textId="77777777" w:rsidTr="00DB31BB">
        <w:trPr>
          <w:trHeight w:val="777"/>
        </w:trPr>
        <w:tc>
          <w:tcPr>
            <w:tcW w:w="4745" w:type="dxa"/>
            <w:shd w:val="clear" w:color="auto" w:fill="FFFFFF"/>
          </w:tcPr>
          <w:p w14:paraId="392ED25B" w14:textId="77777777" w:rsidR="00D64DCD" w:rsidRPr="00E554A9" w:rsidRDefault="00D64DCD" w:rsidP="00703221">
            <w:pPr>
              <w:jc w:val="both"/>
              <w:rPr>
                <w:rFonts w:ascii="Arial" w:hAnsi="Arial" w:cs="Arial"/>
                <w:sz w:val="18"/>
                <w:szCs w:val="18"/>
                <w:lang w:eastAsia="es-CO"/>
              </w:rPr>
            </w:pPr>
            <w:r w:rsidRPr="00E554A9">
              <w:rPr>
                <w:rFonts w:ascii="Arial" w:hAnsi="Arial" w:cs="Arial"/>
                <w:sz w:val="18"/>
                <w:szCs w:val="18"/>
                <w:lang w:eastAsia="es-CO"/>
              </w:rPr>
              <w:t>Gestión de Conciliación de las cuentas por pagar y las reservas registradas presupuestalmente, contra las registradas contablemente.</w:t>
            </w:r>
          </w:p>
        </w:tc>
        <w:tc>
          <w:tcPr>
            <w:tcW w:w="4337" w:type="dxa"/>
            <w:gridSpan w:val="2"/>
            <w:shd w:val="clear" w:color="auto" w:fill="FFFFFF"/>
          </w:tcPr>
          <w:p w14:paraId="5448CBC4" w14:textId="1B937EB9" w:rsidR="00D64DCD" w:rsidRPr="00E554A9" w:rsidRDefault="00D64DCD" w:rsidP="00703221">
            <w:pPr>
              <w:jc w:val="both"/>
              <w:rPr>
                <w:rFonts w:ascii="Arial" w:hAnsi="Arial" w:cs="Arial"/>
                <w:b/>
                <w:sz w:val="18"/>
                <w:szCs w:val="18"/>
                <w:lang w:eastAsia="es-CO"/>
              </w:rPr>
            </w:pPr>
            <w:r w:rsidRPr="00E554A9">
              <w:rPr>
                <w:rFonts w:ascii="Arial" w:hAnsi="Arial" w:cs="Arial"/>
                <w:b/>
                <w:sz w:val="18"/>
                <w:szCs w:val="18"/>
                <w:lang w:eastAsia="es-CO"/>
              </w:rPr>
              <w:t xml:space="preserve">Anual: </w:t>
            </w:r>
            <w:r w:rsidR="00183EC9" w:rsidRPr="00E554A9">
              <w:rPr>
                <w:rFonts w:ascii="Arial" w:hAnsi="Arial" w:cs="Arial"/>
                <w:bCs/>
                <w:sz w:val="18"/>
                <w:szCs w:val="18"/>
                <w:lang w:eastAsia="es-CO"/>
              </w:rPr>
              <w:t>Dentro de los</w:t>
            </w:r>
            <w:r w:rsidR="00183EC9" w:rsidRPr="00E554A9">
              <w:rPr>
                <w:rFonts w:ascii="Arial" w:hAnsi="Arial" w:cs="Arial"/>
                <w:b/>
                <w:sz w:val="18"/>
                <w:szCs w:val="18"/>
                <w:lang w:eastAsia="es-CO"/>
              </w:rPr>
              <w:t xml:space="preserve"> </w:t>
            </w:r>
            <w:r w:rsidR="00183EC9" w:rsidRPr="00E554A9">
              <w:rPr>
                <w:rFonts w:ascii="Arial" w:hAnsi="Arial" w:cs="Arial"/>
                <w:sz w:val="18"/>
                <w:szCs w:val="18"/>
                <w:lang w:eastAsia="es-CO"/>
              </w:rPr>
              <w:t>d</w:t>
            </w:r>
            <w:r w:rsidRPr="00E554A9">
              <w:rPr>
                <w:rFonts w:ascii="Arial" w:hAnsi="Arial" w:cs="Arial"/>
                <w:sz w:val="18"/>
                <w:szCs w:val="18"/>
                <w:lang w:eastAsia="es-CO"/>
              </w:rPr>
              <w:t xml:space="preserve">os (2) días hábiles </w:t>
            </w:r>
            <w:r w:rsidR="00206E7E">
              <w:rPr>
                <w:rFonts w:ascii="Arial" w:hAnsi="Arial" w:cs="Arial"/>
                <w:sz w:val="18"/>
                <w:szCs w:val="18"/>
                <w:lang w:eastAsia="es-CO"/>
              </w:rPr>
              <w:t>anteriores al</w:t>
            </w:r>
            <w:r w:rsidRPr="00E554A9">
              <w:rPr>
                <w:rFonts w:ascii="Arial" w:hAnsi="Arial" w:cs="Arial"/>
                <w:sz w:val="18"/>
                <w:szCs w:val="18"/>
                <w:lang w:eastAsia="es-CO"/>
              </w:rPr>
              <w:t xml:space="preserve"> cierre contable del mes de diciembre de la respectiva vigencia</w:t>
            </w:r>
          </w:p>
        </w:tc>
      </w:tr>
      <w:tr w:rsidR="005C549C" w:rsidRPr="00B71716" w14:paraId="465BE975" w14:textId="77777777" w:rsidTr="00DB31BB">
        <w:trPr>
          <w:trHeight w:val="777"/>
        </w:trPr>
        <w:tc>
          <w:tcPr>
            <w:tcW w:w="4745" w:type="dxa"/>
            <w:shd w:val="clear" w:color="auto" w:fill="FFFFFF"/>
          </w:tcPr>
          <w:p w14:paraId="214B685B" w14:textId="77777777" w:rsidR="005C549C" w:rsidRPr="00E554A9" w:rsidRDefault="005C549C" w:rsidP="00703221">
            <w:pPr>
              <w:jc w:val="both"/>
              <w:rPr>
                <w:rFonts w:ascii="Arial" w:hAnsi="Arial" w:cs="Arial"/>
                <w:sz w:val="18"/>
                <w:szCs w:val="18"/>
                <w:lang w:eastAsia="es-CO"/>
              </w:rPr>
            </w:pPr>
            <w:r w:rsidRPr="00E554A9">
              <w:rPr>
                <w:rFonts w:ascii="Arial" w:hAnsi="Arial" w:cs="Arial"/>
                <w:sz w:val="18"/>
                <w:szCs w:val="18"/>
                <w:lang w:eastAsia="es-CO"/>
              </w:rPr>
              <w:t>Gestión de revisión general de los saldos registrados en las cuentas de orden</w:t>
            </w:r>
          </w:p>
        </w:tc>
        <w:tc>
          <w:tcPr>
            <w:tcW w:w="4337" w:type="dxa"/>
            <w:gridSpan w:val="2"/>
            <w:shd w:val="clear" w:color="auto" w:fill="FFFFFF"/>
          </w:tcPr>
          <w:p w14:paraId="64EF2B45" w14:textId="2F65E666" w:rsidR="005C549C" w:rsidRPr="00E554A9" w:rsidRDefault="005C549C" w:rsidP="00703221">
            <w:pPr>
              <w:jc w:val="both"/>
              <w:rPr>
                <w:rFonts w:ascii="Arial" w:hAnsi="Arial" w:cs="Arial"/>
                <w:b/>
                <w:sz w:val="18"/>
                <w:szCs w:val="18"/>
                <w:lang w:eastAsia="es-CO"/>
              </w:rPr>
            </w:pPr>
            <w:r w:rsidRPr="00E554A9">
              <w:rPr>
                <w:rFonts w:ascii="Arial" w:hAnsi="Arial" w:cs="Arial"/>
                <w:b/>
                <w:sz w:val="18"/>
                <w:szCs w:val="18"/>
                <w:lang w:eastAsia="es-CO"/>
              </w:rPr>
              <w:t xml:space="preserve">Anual: </w:t>
            </w:r>
            <w:r w:rsidR="00183EC9" w:rsidRPr="00E554A9">
              <w:rPr>
                <w:rFonts w:ascii="Arial" w:hAnsi="Arial" w:cs="Arial"/>
                <w:bCs/>
                <w:sz w:val="18"/>
                <w:szCs w:val="18"/>
                <w:lang w:eastAsia="es-CO"/>
              </w:rPr>
              <w:t>Dentro de los</w:t>
            </w:r>
            <w:r w:rsidR="00183EC9" w:rsidRPr="00E554A9">
              <w:rPr>
                <w:rFonts w:ascii="Arial" w:hAnsi="Arial" w:cs="Arial"/>
                <w:b/>
                <w:sz w:val="18"/>
                <w:szCs w:val="18"/>
                <w:lang w:eastAsia="es-CO"/>
              </w:rPr>
              <w:t xml:space="preserve"> </w:t>
            </w:r>
            <w:r w:rsidR="00183EC9" w:rsidRPr="00E554A9">
              <w:rPr>
                <w:rFonts w:ascii="Arial" w:hAnsi="Arial" w:cs="Arial"/>
                <w:sz w:val="18"/>
                <w:szCs w:val="18"/>
                <w:lang w:eastAsia="es-CO"/>
              </w:rPr>
              <w:t>d</w:t>
            </w:r>
            <w:r w:rsidRPr="00E554A9">
              <w:rPr>
                <w:rFonts w:ascii="Arial" w:hAnsi="Arial" w:cs="Arial"/>
                <w:sz w:val="18"/>
                <w:szCs w:val="18"/>
                <w:lang w:eastAsia="es-CO"/>
              </w:rPr>
              <w:t xml:space="preserve">os (2) días hábiles </w:t>
            </w:r>
            <w:r w:rsidR="00206E7E">
              <w:rPr>
                <w:rFonts w:ascii="Arial" w:hAnsi="Arial" w:cs="Arial"/>
                <w:sz w:val="18"/>
                <w:szCs w:val="18"/>
                <w:lang w:eastAsia="es-CO"/>
              </w:rPr>
              <w:t>anteriores al</w:t>
            </w:r>
            <w:r w:rsidRPr="00E554A9">
              <w:rPr>
                <w:rFonts w:ascii="Arial" w:hAnsi="Arial" w:cs="Arial"/>
                <w:sz w:val="18"/>
                <w:szCs w:val="18"/>
                <w:lang w:eastAsia="es-CO"/>
              </w:rPr>
              <w:t xml:space="preserve"> cierre contable del mes de diciembre de la respectiva vigencia</w:t>
            </w:r>
          </w:p>
        </w:tc>
      </w:tr>
      <w:tr w:rsidR="00703221" w:rsidRPr="00B71716" w14:paraId="664C1EBF" w14:textId="77777777" w:rsidTr="00DB31BB">
        <w:trPr>
          <w:trHeight w:val="556"/>
        </w:trPr>
        <w:tc>
          <w:tcPr>
            <w:tcW w:w="9082" w:type="dxa"/>
            <w:gridSpan w:val="3"/>
            <w:shd w:val="clear" w:color="auto" w:fill="3366CC"/>
          </w:tcPr>
          <w:p w14:paraId="4F17FCDA" w14:textId="77777777" w:rsidR="00703221" w:rsidRPr="00217A96" w:rsidRDefault="00703221" w:rsidP="00703221">
            <w:pPr>
              <w:jc w:val="center"/>
              <w:rPr>
                <w:rFonts w:ascii="Arial" w:hAnsi="Arial" w:cs="Arial"/>
                <w:b/>
                <w:color w:val="FFFFFF"/>
                <w:sz w:val="18"/>
                <w:szCs w:val="18"/>
                <w:lang w:eastAsia="es-CO"/>
              </w:rPr>
            </w:pPr>
            <w:r w:rsidRPr="00C01C6C">
              <w:rPr>
                <w:rFonts w:ascii="Arial" w:hAnsi="Arial" w:cs="Arial"/>
                <w:b/>
                <w:color w:val="FFFFFF"/>
                <w:sz w:val="18"/>
                <w:szCs w:val="18"/>
                <w:lang w:eastAsia="es-CO"/>
              </w:rPr>
              <w:t>REGISTRO DE INFORMACIÓN</w:t>
            </w:r>
          </w:p>
        </w:tc>
      </w:tr>
      <w:tr w:rsidR="00703221" w:rsidRPr="00B71716" w14:paraId="14F0EDE3" w14:textId="77777777" w:rsidTr="00DB31BB">
        <w:trPr>
          <w:trHeight w:val="556"/>
        </w:trPr>
        <w:tc>
          <w:tcPr>
            <w:tcW w:w="4745" w:type="dxa"/>
            <w:shd w:val="clear" w:color="auto" w:fill="FFFFFF"/>
          </w:tcPr>
          <w:p w14:paraId="11446047" w14:textId="77777777" w:rsidR="00703221" w:rsidRPr="00B71716" w:rsidRDefault="00703221" w:rsidP="00703221">
            <w:pPr>
              <w:jc w:val="both"/>
              <w:rPr>
                <w:rFonts w:ascii="Arial" w:hAnsi="Arial" w:cs="Arial"/>
                <w:bCs/>
                <w:sz w:val="18"/>
                <w:szCs w:val="18"/>
                <w:lang w:val="es-CO" w:eastAsia="es-CO"/>
              </w:rPr>
            </w:pPr>
            <w:r w:rsidRPr="00B71716">
              <w:rPr>
                <w:rFonts w:ascii="Arial" w:hAnsi="Arial" w:cs="Arial"/>
                <w:bCs/>
                <w:sz w:val="18"/>
                <w:szCs w:val="18"/>
                <w:lang w:val="es-CO" w:eastAsia="es-CO"/>
              </w:rPr>
              <w:t xml:space="preserve">Elaboración y carga de comprobantes contables, y análisis de saldos </w:t>
            </w:r>
          </w:p>
        </w:tc>
        <w:tc>
          <w:tcPr>
            <w:tcW w:w="4337" w:type="dxa"/>
            <w:gridSpan w:val="2"/>
            <w:shd w:val="clear" w:color="auto" w:fill="FFFFFF"/>
          </w:tcPr>
          <w:p w14:paraId="072E43EF" w14:textId="77777777" w:rsidR="00703221" w:rsidRPr="00B71716" w:rsidRDefault="00703221" w:rsidP="00703221">
            <w:pPr>
              <w:jc w:val="both"/>
              <w:rPr>
                <w:rFonts w:ascii="Arial" w:hAnsi="Arial" w:cs="Arial"/>
                <w:b/>
                <w:bCs/>
                <w:sz w:val="18"/>
                <w:szCs w:val="18"/>
                <w:lang w:eastAsia="es-CO"/>
              </w:rPr>
            </w:pPr>
            <w:r w:rsidRPr="00B71716">
              <w:rPr>
                <w:rFonts w:ascii="Arial" w:hAnsi="Arial" w:cs="Arial"/>
                <w:b/>
                <w:bCs/>
                <w:sz w:val="18"/>
                <w:szCs w:val="18"/>
                <w:lang w:eastAsia="es-CO"/>
              </w:rPr>
              <w:t xml:space="preserve">Mensual: </w:t>
            </w:r>
            <w:r w:rsidRPr="00B71716">
              <w:rPr>
                <w:rFonts w:ascii="Arial" w:hAnsi="Arial" w:cs="Arial"/>
                <w:bCs/>
                <w:sz w:val="18"/>
                <w:szCs w:val="18"/>
                <w:lang w:eastAsia="es-CO"/>
              </w:rPr>
              <w:t xml:space="preserve">Durante el mes en el que se genere o reciba la información </w:t>
            </w:r>
          </w:p>
        </w:tc>
      </w:tr>
      <w:tr w:rsidR="00703221" w:rsidRPr="00B71716" w14:paraId="789A5E76" w14:textId="77777777" w:rsidTr="00DB31BB">
        <w:trPr>
          <w:trHeight w:val="556"/>
        </w:trPr>
        <w:tc>
          <w:tcPr>
            <w:tcW w:w="4745" w:type="dxa"/>
            <w:shd w:val="clear" w:color="auto" w:fill="FFFFFF"/>
          </w:tcPr>
          <w:p w14:paraId="79E2CA92" w14:textId="77777777" w:rsidR="00703221" w:rsidRPr="00B71716" w:rsidRDefault="00703221" w:rsidP="00703221">
            <w:pPr>
              <w:jc w:val="both"/>
              <w:rPr>
                <w:rFonts w:ascii="Arial" w:hAnsi="Arial" w:cs="Arial"/>
                <w:bCs/>
                <w:sz w:val="18"/>
                <w:szCs w:val="18"/>
                <w:lang w:val="es-CO" w:eastAsia="es-CO"/>
              </w:rPr>
            </w:pPr>
            <w:r w:rsidRPr="00B71716">
              <w:rPr>
                <w:rFonts w:ascii="Arial" w:hAnsi="Arial" w:cs="Arial"/>
                <w:bCs/>
                <w:sz w:val="18"/>
                <w:szCs w:val="18"/>
                <w:lang w:val="es-CO" w:eastAsia="es-CO"/>
              </w:rPr>
              <w:t>Revisión y análisis de registros contables automáticos</w:t>
            </w:r>
          </w:p>
        </w:tc>
        <w:tc>
          <w:tcPr>
            <w:tcW w:w="4337" w:type="dxa"/>
            <w:gridSpan w:val="2"/>
            <w:shd w:val="clear" w:color="auto" w:fill="FFFFFF"/>
          </w:tcPr>
          <w:p w14:paraId="0C822A38" w14:textId="77777777" w:rsidR="00703221" w:rsidRPr="00B71716" w:rsidRDefault="00703221" w:rsidP="00703221">
            <w:pPr>
              <w:jc w:val="both"/>
              <w:rPr>
                <w:rFonts w:ascii="Arial" w:hAnsi="Arial" w:cs="Arial"/>
                <w:b/>
                <w:bCs/>
                <w:sz w:val="18"/>
                <w:szCs w:val="18"/>
                <w:lang w:eastAsia="es-CO"/>
              </w:rPr>
            </w:pPr>
            <w:r w:rsidRPr="00B71716">
              <w:rPr>
                <w:rFonts w:ascii="Arial" w:hAnsi="Arial" w:cs="Arial"/>
                <w:b/>
                <w:bCs/>
                <w:sz w:val="18"/>
                <w:szCs w:val="18"/>
                <w:lang w:eastAsia="es-CO"/>
              </w:rPr>
              <w:t xml:space="preserve">Mensual: </w:t>
            </w:r>
            <w:r w:rsidRPr="00B71716">
              <w:rPr>
                <w:rFonts w:ascii="Arial" w:hAnsi="Arial" w:cs="Arial"/>
                <w:bCs/>
                <w:sz w:val="18"/>
                <w:szCs w:val="18"/>
                <w:lang w:eastAsia="es-CO"/>
              </w:rPr>
              <w:t>Durante el mes en el que se genere o reciba la información</w:t>
            </w:r>
          </w:p>
        </w:tc>
      </w:tr>
      <w:tr w:rsidR="00703221" w:rsidRPr="00B71716" w14:paraId="73EE7945" w14:textId="77777777" w:rsidTr="00DB31BB">
        <w:trPr>
          <w:trHeight w:val="556"/>
        </w:trPr>
        <w:tc>
          <w:tcPr>
            <w:tcW w:w="4745" w:type="dxa"/>
            <w:shd w:val="clear" w:color="auto" w:fill="FFFFFF"/>
          </w:tcPr>
          <w:p w14:paraId="5526D6F1" w14:textId="77777777" w:rsidR="00703221" w:rsidRPr="00B71716" w:rsidRDefault="00703221" w:rsidP="00703221">
            <w:pPr>
              <w:jc w:val="both"/>
              <w:rPr>
                <w:rFonts w:ascii="Arial" w:hAnsi="Arial" w:cs="Arial"/>
                <w:bCs/>
                <w:sz w:val="18"/>
                <w:szCs w:val="18"/>
                <w:lang w:val="es-CO" w:eastAsia="es-CO"/>
              </w:rPr>
            </w:pPr>
            <w:r w:rsidRPr="00B71716">
              <w:rPr>
                <w:rFonts w:ascii="Arial" w:hAnsi="Arial" w:cs="Arial"/>
                <w:bCs/>
                <w:sz w:val="18"/>
                <w:szCs w:val="18"/>
                <w:lang w:val="es-CO" w:eastAsia="es-CO"/>
              </w:rPr>
              <w:t>Revisión y ajuste de las imputaciones contables de las obligaciones y órdenes de pago generadas.</w:t>
            </w:r>
          </w:p>
        </w:tc>
        <w:tc>
          <w:tcPr>
            <w:tcW w:w="4337" w:type="dxa"/>
            <w:gridSpan w:val="2"/>
            <w:shd w:val="clear" w:color="auto" w:fill="FFFFFF"/>
          </w:tcPr>
          <w:p w14:paraId="4E10C1FA" w14:textId="77777777" w:rsidR="00703221" w:rsidRPr="00B71716" w:rsidRDefault="00703221" w:rsidP="00703221">
            <w:pPr>
              <w:jc w:val="both"/>
              <w:rPr>
                <w:rFonts w:ascii="Arial" w:hAnsi="Arial" w:cs="Arial"/>
                <w:b/>
                <w:bCs/>
                <w:sz w:val="18"/>
                <w:szCs w:val="18"/>
                <w:lang w:eastAsia="es-CO"/>
              </w:rPr>
            </w:pPr>
            <w:r w:rsidRPr="00B71716">
              <w:rPr>
                <w:rFonts w:ascii="Arial" w:hAnsi="Arial" w:cs="Arial"/>
                <w:b/>
                <w:bCs/>
                <w:sz w:val="18"/>
                <w:szCs w:val="18"/>
                <w:lang w:eastAsia="es-CO"/>
              </w:rPr>
              <w:t xml:space="preserve">Mensual: </w:t>
            </w:r>
            <w:r w:rsidRPr="00B71716">
              <w:rPr>
                <w:rFonts w:ascii="Arial" w:hAnsi="Arial" w:cs="Arial"/>
                <w:bCs/>
                <w:sz w:val="18"/>
                <w:szCs w:val="18"/>
                <w:lang w:eastAsia="es-CO"/>
              </w:rPr>
              <w:t>Durante el mes en el que se genere o reciba la información</w:t>
            </w:r>
          </w:p>
        </w:tc>
      </w:tr>
      <w:tr w:rsidR="00703221" w:rsidRPr="00B71716" w14:paraId="45B788B1" w14:textId="77777777" w:rsidTr="00DB31BB">
        <w:trPr>
          <w:trHeight w:val="556"/>
        </w:trPr>
        <w:tc>
          <w:tcPr>
            <w:tcW w:w="9082" w:type="dxa"/>
            <w:gridSpan w:val="3"/>
            <w:shd w:val="clear" w:color="auto" w:fill="3366CC"/>
          </w:tcPr>
          <w:p w14:paraId="1EAF4A06" w14:textId="77777777" w:rsidR="00703221" w:rsidRPr="00217A96" w:rsidRDefault="00703221" w:rsidP="00703221">
            <w:pPr>
              <w:jc w:val="center"/>
              <w:rPr>
                <w:rFonts w:ascii="Arial" w:hAnsi="Arial" w:cs="Arial"/>
                <w:b/>
                <w:color w:val="FFFFFF"/>
                <w:sz w:val="18"/>
                <w:szCs w:val="18"/>
                <w:lang w:eastAsia="es-CO"/>
              </w:rPr>
            </w:pPr>
            <w:r w:rsidRPr="00217A96">
              <w:rPr>
                <w:rFonts w:ascii="Arial" w:hAnsi="Arial" w:cs="Arial"/>
                <w:b/>
                <w:color w:val="FFFFFF"/>
                <w:sz w:val="18"/>
                <w:szCs w:val="18"/>
                <w:lang w:eastAsia="es-CO"/>
              </w:rPr>
              <w:t>OTRAS ACTIVIDADES</w:t>
            </w:r>
          </w:p>
        </w:tc>
      </w:tr>
      <w:tr w:rsidR="00703221" w:rsidRPr="00B71716" w14:paraId="14B4692A" w14:textId="77777777" w:rsidTr="00DB31BB">
        <w:trPr>
          <w:trHeight w:val="556"/>
        </w:trPr>
        <w:tc>
          <w:tcPr>
            <w:tcW w:w="4745" w:type="dxa"/>
            <w:shd w:val="clear" w:color="auto" w:fill="FFFFFF"/>
          </w:tcPr>
          <w:p w14:paraId="2D03D734" w14:textId="77777777" w:rsidR="00703221" w:rsidRPr="003E582C" w:rsidRDefault="00703221" w:rsidP="00703221">
            <w:pPr>
              <w:jc w:val="both"/>
              <w:rPr>
                <w:rFonts w:ascii="Arial" w:hAnsi="Arial" w:cs="Arial"/>
                <w:sz w:val="18"/>
                <w:szCs w:val="18"/>
                <w:lang w:eastAsia="es-CO"/>
              </w:rPr>
            </w:pPr>
            <w:r w:rsidRPr="003E582C">
              <w:rPr>
                <w:rFonts w:ascii="Arial" w:hAnsi="Arial" w:cs="Arial"/>
                <w:sz w:val="18"/>
                <w:szCs w:val="18"/>
                <w:lang w:eastAsia="es-CO"/>
              </w:rPr>
              <w:t>Imputación de Ingresos y reintegros del MHCP</w:t>
            </w:r>
          </w:p>
        </w:tc>
        <w:tc>
          <w:tcPr>
            <w:tcW w:w="4337" w:type="dxa"/>
            <w:gridSpan w:val="2"/>
            <w:shd w:val="clear" w:color="auto" w:fill="FFFFFF"/>
          </w:tcPr>
          <w:p w14:paraId="0763A4C2" w14:textId="77777777" w:rsidR="00703221" w:rsidRPr="00100505" w:rsidRDefault="00703221" w:rsidP="00703221">
            <w:pPr>
              <w:jc w:val="both"/>
              <w:rPr>
                <w:rFonts w:ascii="Arial" w:hAnsi="Arial" w:cs="Arial"/>
                <w:sz w:val="18"/>
                <w:szCs w:val="18"/>
                <w:lang w:eastAsia="es-CO"/>
              </w:rPr>
            </w:pPr>
            <w:r w:rsidRPr="007E269E">
              <w:rPr>
                <w:rFonts w:ascii="Arial" w:hAnsi="Arial" w:cs="Arial"/>
                <w:b/>
                <w:sz w:val="18"/>
                <w:szCs w:val="18"/>
                <w:lang w:eastAsia="es-CO"/>
              </w:rPr>
              <w:t xml:space="preserve">Mensual: </w:t>
            </w:r>
            <w:r w:rsidRPr="007E269E">
              <w:rPr>
                <w:rFonts w:ascii="Arial" w:hAnsi="Arial" w:cs="Arial"/>
                <w:sz w:val="18"/>
                <w:szCs w:val="18"/>
                <w:lang w:eastAsia="es-CO"/>
              </w:rPr>
              <w:t xml:space="preserve">El día del cierre del módulo de ingresos definido por la </w:t>
            </w:r>
            <w:r w:rsidRPr="00100505">
              <w:rPr>
                <w:rFonts w:ascii="Arial" w:hAnsi="Arial" w:cs="Arial"/>
                <w:sz w:val="18"/>
                <w:szCs w:val="18"/>
                <w:lang w:eastAsia="es-CO"/>
              </w:rPr>
              <w:t>Administración SIIF</w:t>
            </w:r>
          </w:p>
        </w:tc>
      </w:tr>
      <w:tr w:rsidR="00703221" w:rsidRPr="00B71716" w14:paraId="55993687" w14:textId="77777777" w:rsidTr="00DB31BB">
        <w:trPr>
          <w:trHeight w:val="556"/>
        </w:trPr>
        <w:tc>
          <w:tcPr>
            <w:tcW w:w="4745" w:type="dxa"/>
            <w:shd w:val="clear" w:color="auto" w:fill="FFFFFF"/>
          </w:tcPr>
          <w:p w14:paraId="68333D0F" w14:textId="77777777" w:rsidR="00703221" w:rsidRPr="00100505" w:rsidRDefault="00703221" w:rsidP="00703221">
            <w:pPr>
              <w:jc w:val="both"/>
              <w:rPr>
                <w:rFonts w:ascii="Arial" w:hAnsi="Arial" w:cs="Arial"/>
                <w:sz w:val="18"/>
                <w:szCs w:val="18"/>
                <w:lang w:eastAsia="es-CO"/>
              </w:rPr>
            </w:pPr>
            <w:r w:rsidRPr="003E582C">
              <w:rPr>
                <w:rFonts w:ascii="Arial" w:hAnsi="Arial" w:cs="Arial"/>
                <w:sz w:val="18"/>
                <w:szCs w:val="18"/>
                <w:lang w:eastAsia="es-CO"/>
              </w:rPr>
              <w:t>Generación de reporte de recaudos por imputar, culminación de imputación de ingre</w:t>
            </w:r>
            <w:r w:rsidRPr="007E269E">
              <w:rPr>
                <w:rFonts w:ascii="Arial" w:hAnsi="Arial" w:cs="Arial"/>
                <w:sz w:val="18"/>
                <w:szCs w:val="18"/>
                <w:lang w:eastAsia="es-CO"/>
              </w:rPr>
              <w:t>sos y reintegros, generación final de reporte de recaudos por imputar del mes respectivo</w:t>
            </w:r>
          </w:p>
        </w:tc>
        <w:tc>
          <w:tcPr>
            <w:tcW w:w="4337" w:type="dxa"/>
            <w:gridSpan w:val="2"/>
            <w:shd w:val="clear" w:color="auto" w:fill="FFFFFF"/>
          </w:tcPr>
          <w:p w14:paraId="10BA4943" w14:textId="77777777" w:rsidR="00703221" w:rsidRPr="00100505" w:rsidRDefault="00703221" w:rsidP="00703221">
            <w:pPr>
              <w:jc w:val="both"/>
              <w:rPr>
                <w:rFonts w:ascii="Arial" w:hAnsi="Arial" w:cs="Arial"/>
                <w:sz w:val="18"/>
                <w:szCs w:val="18"/>
                <w:lang w:eastAsia="es-CO"/>
              </w:rPr>
            </w:pPr>
            <w:r w:rsidRPr="00100505">
              <w:rPr>
                <w:rFonts w:ascii="Arial" w:hAnsi="Arial" w:cs="Arial"/>
                <w:b/>
                <w:sz w:val="18"/>
                <w:szCs w:val="18"/>
                <w:lang w:eastAsia="es-CO"/>
              </w:rPr>
              <w:t xml:space="preserve">Mensual: </w:t>
            </w:r>
            <w:r w:rsidRPr="00100505">
              <w:rPr>
                <w:rFonts w:ascii="Arial" w:hAnsi="Arial" w:cs="Arial"/>
                <w:sz w:val="18"/>
                <w:szCs w:val="18"/>
                <w:lang w:eastAsia="es-CO"/>
              </w:rPr>
              <w:t xml:space="preserve">El día del cierre del módulo de ingresos definido por la Administración SIIF. </w:t>
            </w:r>
          </w:p>
        </w:tc>
      </w:tr>
      <w:tr w:rsidR="00703221" w:rsidRPr="00B71716" w14:paraId="7FBE7080" w14:textId="77777777" w:rsidTr="00DB31BB">
        <w:trPr>
          <w:trHeight w:val="556"/>
        </w:trPr>
        <w:tc>
          <w:tcPr>
            <w:tcW w:w="4745" w:type="dxa"/>
            <w:shd w:val="clear" w:color="auto" w:fill="FFFFFF"/>
          </w:tcPr>
          <w:p w14:paraId="71CDB2CE" w14:textId="77777777" w:rsidR="00703221" w:rsidRPr="003E582C" w:rsidRDefault="00703221" w:rsidP="00703221">
            <w:pPr>
              <w:jc w:val="both"/>
              <w:rPr>
                <w:rFonts w:ascii="Arial" w:hAnsi="Arial" w:cs="Arial"/>
                <w:sz w:val="18"/>
                <w:szCs w:val="18"/>
                <w:lang w:eastAsia="es-CO"/>
              </w:rPr>
            </w:pPr>
            <w:r w:rsidRPr="003E582C">
              <w:rPr>
                <w:rFonts w:ascii="Arial" w:hAnsi="Arial" w:cs="Arial"/>
                <w:sz w:val="18"/>
                <w:szCs w:val="18"/>
                <w:lang w:eastAsia="es-CO"/>
              </w:rPr>
              <w:t>Análisis preliminar de Informe de Operaciones Recíprocas. Envío y seguimiento de correos a las diferentes entidades, informando los saldos de las operaciones recíprocas reportados por el MHCP.</w:t>
            </w:r>
          </w:p>
        </w:tc>
        <w:tc>
          <w:tcPr>
            <w:tcW w:w="4337" w:type="dxa"/>
            <w:gridSpan w:val="2"/>
            <w:shd w:val="clear" w:color="auto" w:fill="FFFFFF"/>
          </w:tcPr>
          <w:p w14:paraId="39911B27" w14:textId="2A096C26" w:rsidR="00703221" w:rsidRPr="003E582C" w:rsidRDefault="00703221" w:rsidP="00703221">
            <w:pPr>
              <w:jc w:val="both"/>
              <w:rPr>
                <w:rFonts w:ascii="Arial" w:hAnsi="Arial" w:cs="Arial"/>
                <w:sz w:val="18"/>
                <w:szCs w:val="18"/>
                <w:lang w:eastAsia="es-CO"/>
              </w:rPr>
            </w:pPr>
            <w:r w:rsidRPr="003E582C">
              <w:rPr>
                <w:rFonts w:ascii="Arial" w:hAnsi="Arial" w:cs="Arial"/>
                <w:b/>
                <w:sz w:val="18"/>
                <w:szCs w:val="18"/>
                <w:lang w:eastAsia="es-CO"/>
              </w:rPr>
              <w:t>Trimestral</w:t>
            </w:r>
            <w:r w:rsidRPr="003E582C">
              <w:rPr>
                <w:rFonts w:ascii="Arial" w:hAnsi="Arial" w:cs="Arial"/>
                <w:sz w:val="18"/>
                <w:szCs w:val="18"/>
                <w:lang w:eastAsia="es-CO"/>
              </w:rPr>
              <w:t>: Quince (15) días calendario después de terminado el respectivo trimestre</w:t>
            </w:r>
            <w:r w:rsidR="001339B4" w:rsidRPr="003E582C">
              <w:rPr>
                <w:rFonts w:ascii="Arial" w:hAnsi="Arial" w:cs="Arial"/>
                <w:sz w:val="18"/>
                <w:szCs w:val="18"/>
                <w:lang w:eastAsia="es-CO"/>
              </w:rPr>
              <w:t>.</w:t>
            </w:r>
          </w:p>
          <w:p w14:paraId="2D18DE51" w14:textId="77777777" w:rsidR="001339B4" w:rsidRPr="003E582C" w:rsidRDefault="001339B4" w:rsidP="00703221">
            <w:pPr>
              <w:jc w:val="both"/>
              <w:rPr>
                <w:rFonts w:ascii="Arial" w:hAnsi="Arial" w:cs="Arial"/>
                <w:b/>
                <w:bCs/>
                <w:sz w:val="18"/>
                <w:szCs w:val="18"/>
                <w:lang w:eastAsia="es-CO"/>
              </w:rPr>
            </w:pPr>
          </w:p>
          <w:p w14:paraId="7B5179E6" w14:textId="4686A82C" w:rsidR="001339B4" w:rsidRPr="003E582C" w:rsidRDefault="007F47B1" w:rsidP="00703221">
            <w:pPr>
              <w:jc w:val="both"/>
              <w:rPr>
                <w:rFonts w:ascii="Arial" w:hAnsi="Arial" w:cs="Arial"/>
                <w:b/>
                <w:bCs/>
                <w:sz w:val="18"/>
                <w:szCs w:val="18"/>
                <w:lang w:eastAsia="es-CO"/>
              </w:rPr>
            </w:pPr>
            <w:r w:rsidRPr="003E582C">
              <w:rPr>
                <w:rFonts w:ascii="Arial" w:hAnsi="Arial" w:cs="Arial"/>
                <w:b/>
                <w:sz w:val="18"/>
                <w:szCs w:val="18"/>
                <w:lang w:eastAsia="es-CO"/>
              </w:rPr>
              <w:t>Cuarto trimestre (</w:t>
            </w:r>
            <w:r w:rsidR="001339B4" w:rsidRPr="003E582C">
              <w:rPr>
                <w:rFonts w:ascii="Arial" w:hAnsi="Arial" w:cs="Arial"/>
                <w:b/>
                <w:sz w:val="18"/>
                <w:szCs w:val="18"/>
                <w:lang w:eastAsia="es-CO"/>
              </w:rPr>
              <w:t>Diciembre</w:t>
            </w:r>
            <w:r w:rsidRPr="003E582C">
              <w:rPr>
                <w:rFonts w:ascii="Arial" w:hAnsi="Arial" w:cs="Arial"/>
                <w:b/>
                <w:sz w:val="18"/>
                <w:szCs w:val="18"/>
                <w:lang w:eastAsia="es-CO"/>
              </w:rPr>
              <w:t>)</w:t>
            </w:r>
            <w:r w:rsidR="001339B4" w:rsidRPr="003E582C">
              <w:rPr>
                <w:rFonts w:ascii="Arial" w:hAnsi="Arial" w:cs="Arial"/>
                <w:b/>
                <w:sz w:val="18"/>
                <w:szCs w:val="18"/>
                <w:lang w:eastAsia="es-CO"/>
              </w:rPr>
              <w:t xml:space="preserve">: </w:t>
            </w:r>
            <w:r w:rsidR="001339B4" w:rsidRPr="003E582C">
              <w:rPr>
                <w:rFonts w:ascii="Arial" w:hAnsi="Arial" w:cs="Arial"/>
                <w:sz w:val="18"/>
                <w:szCs w:val="18"/>
                <w:lang w:eastAsia="es-CO"/>
              </w:rPr>
              <w:t xml:space="preserve">28 de febrero de la vigencia siguiente a la que corresponde la información </w:t>
            </w:r>
          </w:p>
        </w:tc>
      </w:tr>
      <w:tr w:rsidR="001339B4" w:rsidRPr="00B71716" w14:paraId="131C3AFB" w14:textId="77777777" w:rsidTr="00DB31BB">
        <w:trPr>
          <w:trHeight w:val="556"/>
        </w:trPr>
        <w:tc>
          <w:tcPr>
            <w:tcW w:w="4745" w:type="dxa"/>
            <w:shd w:val="clear" w:color="auto" w:fill="FFFFFF"/>
          </w:tcPr>
          <w:p w14:paraId="28D9DA4B" w14:textId="0031807F" w:rsidR="001339B4" w:rsidRPr="003E582C" w:rsidRDefault="001339B4" w:rsidP="001339B4">
            <w:pPr>
              <w:jc w:val="both"/>
              <w:rPr>
                <w:rFonts w:ascii="Arial" w:hAnsi="Arial" w:cs="Arial"/>
                <w:sz w:val="18"/>
                <w:szCs w:val="18"/>
                <w:lang w:eastAsia="es-CO"/>
              </w:rPr>
            </w:pPr>
            <w:r w:rsidRPr="003E582C">
              <w:rPr>
                <w:rFonts w:ascii="Arial" w:hAnsi="Arial" w:cs="Arial"/>
                <w:sz w:val="18"/>
                <w:szCs w:val="18"/>
                <w:lang w:eastAsia="es-CO"/>
              </w:rPr>
              <w:t xml:space="preserve">Análisis </w:t>
            </w:r>
            <w:r w:rsidR="008C33E9" w:rsidRPr="003E582C">
              <w:rPr>
                <w:rFonts w:ascii="Arial" w:hAnsi="Arial" w:cs="Arial"/>
                <w:sz w:val="18"/>
                <w:szCs w:val="18"/>
                <w:lang w:eastAsia="es-CO"/>
              </w:rPr>
              <w:t xml:space="preserve">y gestión de saldos por conciliar por operaciones recíprocas generados por la Contaduría General de la Nación.  </w:t>
            </w:r>
          </w:p>
        </w:tc>
        <w:tc>
          <w:tcPr>
            <w:tcW w:w="4337" w:type="dxa"/>
            <w:gridSpan w:val="2"/>
            <w:shd w:val="clear" w:color="auto" w:fill="FFFFFF"/>
          </w:tcPr>
          <w:p w14:paraId="48983B00" w14:textId="7B5230B5" w:rsidR="001339B4" w:rsidRPr="003E582C" w:rsidRDefault="001339B4" w:rsidP="007F47B1">
            <w:pPr>
              <w:jc w:val="both"/>
              <w:rPr>
                <w:rFonts w:ascii="Arial" w:hAnsi="Arial" w:cs="Arial"/>
                <w:b/>
                <w:bCs/>
                <w:sz w:val="18"/>
                <w:szCs w:val="18"/>
                <w:lang w:eastAsia="es-CO"/>
              </w:rPr>
            </w:pPr>
            <w:r w:rsidRPr="003E582C">
              <w:rPr>
                <w:rFonts w:ascii="Arial" w:hAnsi="Arial" w:cs="Arial"/>
                <w:b/>
                <w:sz w:val="18"/>
                <w:szCs w:val="18"/>
                <w:lang w:eastAsia="es-CO"/>
              </w:rPr>
              <w:t>Trimestral</w:t>
            </w:r>
            <w:r w:rsidRPr="003E582C">
              <w:rPr>
                <w:rFonts w:ascii="Arial" w:hAnsi="Arial" w:cs="Arial"/>
                <w:sz w:val="18"/>
                <w:szCs w:val="18"/>
                <w:lang w:eastAsia="es-CO"/>
              </w:rPr>
              <w:t xml:space="preserve">: </w:t>
            </w:r>
            <w:r w:rsidR="008C33E9" w:rsidRPr="003E582C">
              <w:rPr>
                <w:rFonts w:ascii="Arial" w:hAnsi="Arial" w:cs="Arial"/>
                <w:sz w:val="18"/>
                <w:szCs w:val="18"/>
                <w:lang w:eastAsia="es-CO"/>
              </w:rPr>
              <w:t xml:space="preserve">Dos meses después de la fecha de reporte a la </w:t>
            </w:r>
            <w:r w:rsidR="007F47B1" w:rsidRPr="003E582C">
              <w:rPr>
                <w:rFonts w:ascii="Arial" w:hAnsi="Arial" w:cs="Arial"/>
                <w:sz w:val="18"/>
                <w:szCs w:val="18"/>
                <w:lang w:eastAsia="es-CO"/>
              </w:rPr>
              <w:t>Contaduría</w:t>
            </w:r>
            <w:r w:rsidR="008C33E9" w:rsidRPr="003E582C">
              <w:rPr>
                <w:rFonts w:ascii="Arial" w:hAnsi="Arial" w:cs="Arial"/>
                <w:sz w:val="18"/>
                <w:szCs w:val="18"/>
                <w:lang w:eastAsia="es-CO"/>
              </w:rPr>
              <w:t xml:space="preserve"> General de la Naci</w:t>
            </w:r>
            <w:r w:rsidR="007F47B1" w:rsidRPr="003E582C">
              <w:rPr>
                <w:rFonts w:ascii="Arial" w:hAnsi="Arial" w:cs="Arial"/>
                <w:sz w:val="18"/>
                <w:szCs w:val="18"/>
                <w:lang w:eastAsia="es-CO"/>
              </w:rPr>
              <w:t>ó</w:t>
            </w:r>
            <w:r w:rsidR="008C33E9" w:rsidRPr="003E582C">
              <w:rPr>
                <w:rFonts w:ascii="Arial" w:hAnsi="Arial" w:cs="Arial"/>
                <w:sz w:val="18"/>
                <w:szCs w:val="18"/>
                <w:lang w:eastAsia="es-CO"/>
              </w:rPr>
              <w:t>n</w:t>
            </w:r>
            <w:r w:rsidR="007F47B1" w:rsidRPr="003E582C">
              <w:rPr>
                <w:rFonts w:ascii="Arial" w:hAnsi="Arial" w:cs="Arial"/>
                <w:sz w:val="18"/>
                <w:szCs w:val="18"/>
                <w:lang w:eastAsia="es-CO"/>
              </w:rPr>
              <w:t xml:space="preserve">. </w:t>
            </w:r>
          </w:p>
        </w:tc>
      </w:tr>
      <w:tr w:rsidR="00703221" w:rsidRPr="00B71716" w14:paraId="68F3DF49" w14:textId="77777777" w:rsidTr="00DB31BB">
        <w:trPr>
          <w:trHeight w:val="556"/>
        </w:trPr>
        <w:tc>
          <w:tcPr>
            <w:tcW w:w="4745" w:type="dxa"/>
            <w:shd w:val="clear" w:color="auto" w:fill="FFFFFF"/>
          </w:tcPr>
          <w:p w14:paraId="47EED9C2" w14:textId="79E3D2CE" w:rsidR="00703221" w:rsidRPr="003E582C" w:rsidRDefault="00703221" w:rsidP="00703221">
            <w:pPr>
              <w:jc w:val="both"/>
              <w:rPr>
                <w:rFonts w:ascii="Arial" w:hAnsi="Arial" w:cs="Arial"/>
                <w:sz w:val="18"/>
                <w:szCs w:val="18"/>
                <w:lang w:eastAsia="es-CO"/>
              </w:rPr>
            </w:pPr>
            <w:r w:rsidRPr="003E582C">
              <w:rPr>
                <w:rFonts w:ascii="Arial" w:hAnsi="Arial" w:cs="Arial"/>
                <w:sz w:val="18"/>
                <w:szCs w:val="18"/>
                <w:lang w:eastAsia="es-CO"/>
              </w:rPr>
              <w:t xml:space="preserve">Publicación </w:t>
            </w:r>
            <w:r w:rsidR="00671070" w:rsidRPr="003E582C">
              <w:rPr>
                <w:rFonts w:ascii="Arial" w:hAnsi="Arial" w:cs="Arial"/>
                <w:sz w:val="18"/>
                <w:szCs w:val="18"/>
                <w:lang w:eastAsia="es-CO"/>
              </w:rPr>
              <w:t>del r</w:t>
            </w:r>
            <w:r w:rsidRPr="003E582C">
              <w:rPr>
                <w:rFonts w:ascii="Arial" w:hAnsi="Arial" w:cs="Arial"/>
                <w:sz w:val="18"/>
                <w:szCs w:val="18"/>
                <w:lang w:eastAsia="es-CO"/>
              </w:rPr>
              <w:t xml:space="preserve">eporte provisional de operaciones recíprocas </w:t>
            </w:r>
          </w:p>
        </w:tc>
        <w:tc>
          <w:tcPr>
            <w:tcW w:w="4337" w:type="dxa"/>
            <w:gridSpan w:val="2"/>
            <w:shd w:val="clear" w:color="auto" w:fill="FFFFFF"/>
          </w:tcPr>
          <w:p w14:paraId="3124B9AD" w14:textId="77777777" w:rsidR="00703221" w:rsidRPr="003E582C" w:rsidRDefault="00703221" w:rsidP="00703221">
            <w:pPr>
              <w:jc w:val="both"/>
              <w:rPr>
                <w:rFonts w:ascii="Arial" w:hAnsi="Arial" w:cs="Arial"/>
                <w:bCs/>
                <w:sz w:val="18"/>
                <w:szCs w:val="18"/>
                <w:lang w:eastAsia="es-CO"/>
              </w:rPr>
            </w:pPr>
            <w:r w:rsidRPr="003E582C">
              <w:rPr>
                <w:rFonts w:ascii="Arial" w:hAnsi="Arial" w:cs="Arial"/>
                <w:b/>
                <w:bCs/>
                <w:sz w:val="18"/>
                <w:szCs w:val="18"/>
                <w:lang w:eastAsia="es-CO"/>
              </w:rPr>
              <w:t xml:space="preserve">Trimestral: </w:t>
            </w:r>
            <w:r w:rsidRPr="003E582C">
              <w:rPr>
                <w:rFonts w:ascii="Arial" w:hAnsi="Arial" w:cs="Arial"/>
                <w:bCs/>
                <w:sz w:val="18"/>
                <w:szCs w:val="18"/>
                <w:lang w:eastAsia="es-CO"/>
              </w:rPr>
              <w:t>Cinco (5) días hábiles antes del envío definitivo de información trimestral a la CGN</w:t>
            </w:r>
          </w:p>
        </w:tc>
      </w:tr>
      <w:tr w:rsidR="00703221" w:rsidRPr="00B71716" w14:paraId="4FA7E957" w14:textId="77777777" w:rsidTr="00DB31BB">
        <w:trPr>
          <w:trHeight w:val="556"/>
        </w:trPr>
        <w:tc>
          <w:tcPr>
            <w:tcW w:w="4745" w:type="dxa"/>
            <w:shd w:val="clear" w:color="auto" w:fill="FFFFFF"/>
          </w:tcPr>
          <w:p w14:paraId="6EC9F19F" w14:textId="0B19511A" w:rsidR="00703221" w:rsidRPr="003E582C" w:rsidRDefault="00703221" w:rsidP="00703221">
            <w:pPr>
              <w:jc w:val="both"/>
              <w:rPr>
                <w:rFonts w:ascii="Arial" w:hAnsi="Arial" w:cs="Arial"/>
                <w:bCs/>
                <w:sz w:val="18"/>
                <w:szCs w:val="18"/>
                <w:lang w:val="es-CO" w:eastAsia="es-CO"/>
              </w:rPr>
            </w:pPr>
            <w:r w:rsidRPr="003E582C">
              <w:rPr>
                <w:rFonts w:ascii="Arial" w:hAnsi="Arial" w:cs="Arial"/>
                <w:bCs/>
                <w:sz w:val="18"/>
                <w:szCs w:val="18"/>
                <w:lang w:val="es-CO" w:eastAsia="es-CO"/>
              </w:rPr>
              <w:t xml:space="preserve">Actualización del formato </w:t>
            </w:r>
            <w:r w:rsidRPr="006C2EB4">
              <w:rPr>
                <w:rFonts w:ascii="Arial" w:hAnsi="Arial" w:cs="Arial"/>
                <w:bCs/>
                <w:i/>
                <w:iCs/>
                <w:sz w:val="18"/>
                <w:szCs w:val="18"/>
                <w:lang w:val="es-CO" w:eastAsia="es-CO"/>
              </w:rPr>
              <w:t>“</w:t>
            </w:r>
            <w:r w:rsidR="0084393E">
              <w:rPr>
                <w:rFonts w:ascii="Arial" w:hAnsi="Arial" w:cs="Arial"/>
                <w:bCs/>
                <w:i/>
                <w:iCs/>
                <w:sz w:val="18"/>
                <w:szCs w:val="18"/>
                <w:lang w:val="es-CO" w:eastAsia="es-CO"/>
              </w:rPr>
              <w:t>C</w:t>
            </w:r>
            <w:r w:rsidRPr="006C2EB4">
              <w:rPr>
                <w:rFonts w:ascii="Arial" w:hAnsi="Arial" w:cs="Arial"/>
                <w:bCs/>
                <w:i/>
                <w:iCs/>
                <w:sz w:val="18"/>
                <w:szCs w:val="18"/>
                <w:lang w:val="es-CO" w:eastAsia="es-CO"/>
              </w:rPr>
              <w:t>onciliación de operaciones recíprocas”</w:t>
            </w:r>
          </w:p>
        </w:tc>
        <w:tc>
          <w:tcPr>
            <w:tcW w:w="4337" w:type="dxa"/>
            <w:gridSpan w:val="2"/>
            <w:shd w:val="clear" w:color="auto" w:fill="FFFFFF"/>
          </w:tcPr>
          <w:p w14:paraId="54475580" w14:textId="77777777" w:rsidR="00703221" w:rsidRPr="003E582C" w:rsidRDefault="00703221" w:rsidP="00703221">
            <w:pPr>
              <w:jc w:val="both"/>
              <w:rPr>
                <w:rFonts w:ascii="Arial" w:hAnsi="Arial" w:cs="Arial"/>
                <w:b/>
                <w:bCs/>
                <w:sz w:val="18"/>
                <w:szCs w:val="18"/>
                <w:lang w:eastAsia="es-CO"/>
              </w:rPr>
            </w:pPr>
            <w:r w:rsidRPr="003E582C">
              <w:rPr>
                <w:rFonts w:ascii="Arial" w:hAnsi="Arial" w:cs="Arial"/>
                <w:b/>
                <w:bCs/>
                <w:sz w:val="18"/>
                <w:szCs w:val="18"/>
                <w:lang w:eastAsia="es-CO"/>
              </w:rPr>
              <w:t xml:space="preserve">Trimestral: </w:t>
            </w:r>
            <w:r w:rsidRPr="003E582C">
              <w:rPr>
                <w:rFonts w:ascii="Arial" w:hAnsi="Arial" w:cs="Arial"/>
                <w:sz w:val="18"/>
                <w:szCs w:val="18"/>
                <w:lang w:eastAsia="es-CO"/>
              </w:rPr>
              <w:t>Quince (15) días calendario después del reporte de información del respectivo trimestre a la CGN.</w:t>
            </w:r>
          </w:p>
        </w:tc>
      </w:tr>
      <w:tr w:rsidR="00863D3C" w:rsidRPr="00B71716" w14:paraId="691061FE" w14:textId="77777777" w:rsidTr="00DB31BB">
        <w:trPr>
          <w:trHeight w:val="549"/>
        </w:trPr>
        <w:tc>
          <w:tcPr>
            <w:tcW w:w="4745" w:type="dxa"/>
            <w:shd w:val="clear" w:color="auto" w:fill="FFFFFF"/>
          </w:tcPr>
          <w:p w14:paraId="0002D7C3" w14:textId="1C111347" w:rsidR="00863D3C" w:rsidRPr="003E582C" w:rsidRDefault="00863D3C" w:rsidP="003E582C">
            <w:pPr>
              <w:jc w:val="both"/>
              <w:rPr>
                <w:rFonts w:ascii="Arial" w:hAnsi="Arial" w:cs="Arial"/>
                <w:sz w:val="18"/>
                <w:szCs w:val="18"/>
                <w:lang w:eastAsia="es-CO"/>
              </w:rPr>
            </w:pPr>
            <w:r w:rsidRPr="003E582C">
              <w:rPr>
                <w:rFonts w:ascii="Arial" w:hAnsi="Arial" w:cs="Arial"/>
                <w:sz w:val="18"/>
                <w:szCs w:val="18"/>
                <w:lang w:eastAsia="es-CO"/>
              </w:rPr>
              <w:t>Gestión de conciliación de las operaciones recíprocas realizadas con la Dirección General de Crédito Público y del Tesoro Nacional</w:t>
            </w:r>
          </w:p>
          <w:p w14:paraId="512E3107" w14:textId="081C0DC3" w:rsidR="00863D3C" w:rsidRPr="003E582C" w:rsidRDefault="00863D3C" w:rsidP="00703221">
            <w:pPr>
              <w:jc w:val="both"/>
              <w:rPr>
                <w:rFonts w:ascii="Arial" w:hAnsi="Arial" w:cs="Arial"/>
                <w:bCs/>
                <w:sz w:val="18"/>
                <w:szCs w:val="18"/>
                <w:lang w:val="es-CO" w:eastAsia="es-CO"/>
              </w:rPr>
            </w:pPr>
          </w:p>
        </w:tc>
        <w:tc>
          <w:tcPr>
            <w:tcW w:w="4337" w:type="dxa"/>
            <w:gridSpan w:val="2"/>
            <w:shd w:val="clear" w:color="auto" w:fill="FFFFFF"/>
          </w:tcPr>
          <w:p w14:paraId="741BC98F" w14:textId="3777EBA1" w:rsidR="00863D3C" w:rsidRPr="003E582C" w:rsidRDefault="00863D3C" w:rsidP="0024492A">
            <w:pPr>
              <w:jc w:val="both"/>
              <w:rPr>
                <w:rFonts w:ascii="Arial" w:hAnsi="Arial" w:cs="Arial"/>
                <w:sz w:val="18"/>
                <w:szCs w:val="18"/>
                <w:lang w:eastAsia="es-CO"/>
              </w:rPr>
            </w:pPr>
            <w:r w:rsidRPr="003E582C">
              <w:rPr>
                <w:rFonts w:ascii="Arial" w:hAnsi="Arial" w:cs="Arial"/>
                <w:b/>
                <w:bCs/>
                <w:sz w:val="18"/>
                <w:szCs w:val="18"/>
                <w:lang w:eastAsia="es-CO"/>
              </w:rPr>
              <w:t xml:space="preserve">Mensual: </w:t>
            </w:r>
            <w:r w:rsidRPr="003E582C">
              <w:rPr>
                <w:rFonts w:ascii="Arial" w:hAnsi="Arial" w:cs="Arial"/>
                <w:sz w:val="18"/>
                <w:szCs w:val="18"/>
                <w:lang w:eastAsia="es-CO"/>
              </w:rPr>
              <w:t xml:space="preserve">Diez días </w:t>
            </w:r>
            <w:r w:rsidR="00F13950" w:rsidRPr="003E582C">
              <w:rPr>
                <w:rFonts w:ascii="Arial" w:hAnsi="Arial" w:cs="Arial"/>
                <w:sz w:val="18"/>
                <w:szCs w:val="18"/>
                <w:lang w:eastAsia="es-CO"/>
              </w:rPr>
              <w:t>calendario</w:t>
            </w:r>
            <w:r w:rsidRPr="003E582C">
              <w:rPr>
                <w:rFonts w:ascii="Arial" w:hAnsi="Arial" w:cs="Arial"/>
                <w:sz w:val="18"/>
                <w:szCs w:val="18"/>
                <w:lang w:eastAsia="es-CO"/>
              </w:rPr>
              <w:t xml:space="preserve"> después del cierre de ingresos programado por la Administración SIIF</w:t>
            </w:r>
            <w:r w:rsidR="0024492A" w:rsidRPr="003E582C">
              <w:rPr>
                <w:rFonts w:ascii="Arial" w:hAnsi="Arial" w:cs="Arial"/>
                <w:sz w:val="18"/>
                <w:szCs w:val="18"/>
                <w:lang w:eastAsia="es-CO"/>
              </w:rPr>
              <w:t>, y siempre que se reciba la información por parte de la DGCPTN.</w:t>
            </w:r>
          </w:p>
        </w:tc>
      </w:tr>
      <w:tr w:rsidR="00996598" w:rsidRPr="00B71716" w14:paraId="10BE4863" w14:textId="77777777" w:rsidTr="00DB31BB">
        <w:trPr>
          <w:trHeight w:val="549"/>
        </w:trPr>
        <w:tc>
          <w:tcPr>
            <w:tcW w:w="4745" w:type="dxa"/>
            <w:shd w:val="clear" w:color="auto" w:fill="FFFFFF"/>
          </w:tcPr>
          <w:p w14:paraId="3BEC389C" w14:textId="21FD6528" w:rsidR="00996598" w:rsidRPr="003E582C" w:rsidRDefault="009D534A" w:rsidP="00703221">
            <w:pPr>
              <w:jc w:val="both"/>
              <w:rPr>
                <w:rFonts w:ascii="Arial" w:hAnsi="Arial" w:cs="Arial"/>
                <w:bCs/>
                <w:sz w:val="18"/>
                <w:szCs w:val="18"/>
                <w:lang w:val="es-CO" w:eastAsia="es-CO"/>
              </w:rPr>
            </w:pPr>
            <w:r w:rsidRPr="003E582C">
              <w:rPr>
                <w:rFonts w:ascii="Arial" w:hAnsi="Arial" w:cs="Arial"/>
                <w:bCs/>
                <w:sz w:val="18"/>
                <w:szCs w:val="18"/>
                <w:lang w:val="es-CO" w:eastAsia="es-CO"/>
              </w:rPr>
              <w:t>Comunicar a entidades sobre las deudas asumidas por el Ministerio de Hacienda y Crédito Público</w:t>
            </w:r>
            <w:r w:rsidR="00B20CF5" w:rsidRPr="003E582C">
              <w:rPr>
                <w:rFonts w:ascii="Arial" w:hAnsi="Arial" w:cs="Arial"/>
                <w:bCs/>
                <w:sz w:val="18"/>
                <w:szCs w:val="18"/>
                <w:lang w:val="es-CO" w:eastAsia="es-CO"/>
              </w:rPr>
              <w:t>, tales como bonos, concurrencia para el sector salud, etc.</w:t>
            </w:r>
          </w:p>
        </w:tc>
        <w:tc>
          <w:tcPr>
            <w:tcW w:w="4337" w:type="dxa"/>
            <w:gridSpan w:val="2"/>
            <w:shd w:val="clear" w:color="auto" w:fill="FFFFFF"/>
          </w:tcPr>
          <w:p w14:paraId="70448C10" w14:textId="2BCBE874" w:rsidR="00996598" w:rsidRPr="003E582C" w:rsidRDefault="00495881" w:rsidP="00703221">
            <w:pPr>
              <w:jc w:val="both"/>
              <w:rPr>
                <w:rFonts w:ascii="Arial" w:hAnsi="Arial" w:cs="Arial"/>
                <w:b/>
                <w:bCs/>
                <w:sz w:val="18"/>
                <w:szCs w:val="18"/>
                <w:lang w:eastAsia="es-CO"/>
              </w:rPr>
            </w:pPr>
            <w:r w:rsidRPr="003E582C">
              <w:rPr>
                <w:rFonts w:ascii="Arial" w:hAnsi="Arial" w:cs="Arial"/>
                <w:b/>
                <w:bCs/>
                <w:sz w:val="18"/>
                <w:szCs w:val="18"/>
                <w:lang w:eastAsia="es-CO"/>
              </w:rPr>
              <w:t xml:space="preserve">Mensual: </w:t>
            </w:r>
            <w:r w:rsidRPr="003E582C">
              <w:rPr>
                <w:rFonts w:ascii="Arial" w:hAnsi="Arial" w:cs="Arial"/>
                <w:sz w:val="18"/>
                <w:szCs w:val="18"/>
                <w:lang w:eastAsia="es-CO"/>
              </w:rPr>
              <w:t xml:space="preserve">Día 20 </w:t>
            </w:r>
            <w:r w:rsidRPr="003E582C">
              <w:rPr>
                <w:rFonts w:ascii="Arial" w:hAnsi="Arial" w:cs="Arial"/>
                <w:bCs/>
                <w:sz w:val="18"/>
                <w:szCs w:val="18"/>
                <w:lang w:eastAsia="es-CO"/>
              </w:rPr>
              <w:t>del mes siguiente al que corresponde la información.</w:t>
            </w:r>
          </w:p>
        </w:tc>
      </w:tr>
      <w:tr w:rsidR="00703221" w:rsidRPr="00B71716" w14:paraId="60FDAB55" w14:textId="77777777" w:rsidTr="00DB31BB">
        <w:trPr>
          <w:trHeight w:val="549"/>
        </w:trPr>
        <w:tc>
          <w:tcPr>
            <w:tcW w:w="4745" w:type="dxa"/>
            <w:vMerge w:val="restart"/>
            <w:shd w:val="clear" w:color="auto" w:fill="FFFFFF"/>
          </w:tcPr>
          <w:p w14:paraId="77AF8046" w14:textId="77777777" w:rsidR="00703221" w:rsidRPr="003E582C" w:rsidRDefault="00703221" w:rsidP="00703221">
            <w:pPr>
              <w:jc w:val="both"/>
              <w:rPr>
                <w:rFonts w:ascii="Arial" w:hAnsi="Arial" w:cs="Arial"/>
                <w:bCs/>
                <w:sz w:val="18"/>
                <w:szCs w:val="18"/>
                <w:lang w:val="es-CO" w:eastAsia="es-CO"/>
              </w:rPr>
            </w:pPr>
            <w:r w:rsidRPr="003E582C">
              <w:rPr>
                <w:rFonts w:ascii="Arial" w:hAnsi="Arial" w:cs="Arial"/>
                <w:bCs/>
                <w:sz w:val="18"/>
                <w:szCs w:val="18"/>
                <w:lang w:val="es-CO" w:eastAsia="es-CO"/>
              </w:rPr>
              <w:lastRenderedPageBreak/>
              <w:t>Elaboración, revisión, análisis y transmisión de los reportes definidos por la CGN:</w:t>
            </w:r>
          </w:p>
          <w:p w14:paraId="22D8FD2F" w14:textId="77777777" w:rsidR="00703221" w:rsidRPr="003E582C" w:rsidRDefault="00703221" w:rsidP="00703221">
            <w:pPr>
              <w:jc w:val="both"/>
              <w:rPr>
                <w:rFonts w:ascii="Arial" w:hAnsi="Arial" w:cs="Arial"/>
                <w:bCs/>
                <w:sz w:val="18"/>
                <w:szCs w:val="18"/>
                <w:lang w:val="es-CO" w:eastAsia="es-CO"/>
              </w:rPr>
            </w:pPr>
          </w:p>
          <w:p w14:paraId="7975C25F" w14:textId="77777777" w:rsidR="00703221" w:rsidRPr="003E582C" w:rsidRDefault="00703221" w:rsidP="00703221">
            <w:pPr>
              <w:jc w:val="both"/>
              <w:rPr>
                <w:rFonts w:ascii="Arial Narrow" w:hAnsi="Arial Narrow" w:cs="Arial"/>
              </w:rPr>
            </w:pPr>
            <w:r w:rsidRPr="003E582C">
              <w:rPr>
                <w:rFonts w:ascii="Arial Narrow" w:hAnsi="Arial Narrow" w:cs="Arial"/>
              </w:rPr>
              <w:t>CGN2015_001</w:t>
            </w:r>
          </w:p>
          <w:p w14:paraId="35AEAF99" w14:textId="77777777" w:rsidR="00703221" w:rsidRPr="003E582C" w:rsidRDefault="00703221" w:rsidP="00703221">
            <w:pPr>
              <w:jc w:val="both"/>
              <w:rPr>
                <w:rFonts w:ascii="Arial Narrow" w:hAnsi="Arial Narrow" w:cs="Arial"/>
              </w:rPr>
            </w:pPr>
            <w:r w:rsidRPr="003E582C">
              <w:rPr>
                <w:rFonts w:ascii="Arial Narrow" w:hAnsi="Arial Narrow" w:cs="Arial"/>
              </w:rPr>
              <w:t>CGN2015_002</w:t>
            </w:r>
          </w:p>
          <w:p w14:paraId="09934871" w14:textId="77777777" w:rsidR="00703221" w:rsidRPr="003E582C" w:rsidRDefault="00703221" w:rsidP="00703221">
            <w:pPr>
              <w:jc w:val="both"/>
              <w:rPr>
                <w:rFonts w:ascii="Arial Narrow" w:hAnsi="Arial Narrow"/>
                <w:color w:val="000000"/>
              </w:rPr>
            </w:pPr>
            <w:r w:rsidRPr="003E582C">
              <w:rPr>
                <w:rFonts w:ascii="Arial Narrow" w:hAnsi="Arial Narrow"/>
                <w:color w:val="000000"/>
              </w:rPr>
              <w:t xml:space="preserve">CGN2016 C01_VARIACIONES_TRIMESTRALES_SIGNIFICATIVAS. </w:t>
            </w:r>
          </w:p>
          <w:p w14:paraId="724ED1F1" w14:textId="77777777" w:rsidR="00703221" w:rsidRPr="003E582C" w:rsidRDefault="00703221" w:rsidP="00703221">
            <w:pPr>
              <w:jc w:val="both"/>
              <w:rPr>
                <w:rFonts w:ascii="Arial" w:hAnsi="Arial" w:cs="Arial"/>
                <w:color w:val="000000"/>
                <w:sz w:val="18"/>
                <w:szCs w:val="18"/>
                <w:u w:val="single"/>
                <w:lang w:val="en-US" w:eastAsia="es-CO"/>
              </w:rPr>
            </w:pPr>
          </w:p>
          <w:p w14:paraId="54D901E9" w14:textId="77777777" w:rsidR="00703221" w:rsidRPr="003E582C" w:rsidRDefault="00703221" w:rsidP="00703221">
            <w:pPr>
              <w:jc w:val="both"/>
              <w:rPr>
                <w:rFonts w:ascii="Arial" w:hAnsi="Arial" w:cs="Arial"/>
                <w:bCs/>
                <w:sz w:val="18"/>
                <w:szCs w:val="18"/>
                <w:lang w:val="es-CO" w:eastAsia="es-CO"/>
              </w:rPr>
            </w:pPr>
          </w:p>
          <w:p w14:paraId="242B2F1F" w14:textId="77777777" w:rsidR="00703221" w:rsidRPr="003E582C" w:rsidRDefault="00703221" w:rsidP="00703221">
            <w:pPr>
              <w:jc w:val="both"/>
              <w:rPr>
                <w:rFonts w:ascii="Arial" w:hAnsi="Arial" w:cs="Arial"/>
                <w:bCs/>
                <w:sz w:val="18"/>
                <w:szCs w:val="18"/>
                <w:lang w:val="es-CO" w:eastAsia="es-CO"/>
              </w:rPr>
            </w:pPr>
          </w:p>
        </w:tc>
        <w:tc>
          <w:tcPr>
            <w:tcW w:w="4337" w:type="dxa"/>
            <w:gridSpan w:val="2"/>
            <w:shd w:val="clear" w:color="auto" w:fill="FFFFFF"/>
          </w:tcPr>
          <w:p w14:paraId="27BB8C2F" w14:textId="77777777" w:rsidR="00703221" w:rsidRPr="003E582C" w:rsidRDefault="00703221" w:rsidP="00703221">
            <w:pPr>
              <w:jc w:val="both"/>
              <w:rPr>
                <w:rFonts w:ascii="Arial" w:hAnsi="Arial" w:cs="Arial"/>
                <w:b/>
                <w:bCs/>
                <w:sz w:val="18"/>
                <w:szCs w:val="18"/>
                <w:lang w:eastAsia="es-CO"/>
              </w:rPr>
            </w:pPr>
            <w:r w:rsidRPr="003E582C">
              <w:rPr>
                <w:rFonts w:ascii="Arial" w:hAnsi="Arial" w:cs="Arial"/>
                <w:b/>
                <w:bCs/>
                <w:sz w:val="18"/>
                <w:szCs w:val="18"/>
                <w:lang w:eastAsia="es-CO"/>
              </w:rPr>
              <w:t>Trimestral:</w:t>
            </w:r>
            <w:r w:rsidRPr="003E582C">
              <w:rPr>
                <w:rFonts w:ascii="Arial" w:hAnsi="Arial" w:cs="Arial"/>
                <w:bCs/>
                <w:sz w:val="18"/>
                <w:szCs w:val="18"/>
                <w:lang w:eastAsia="es-CO"/>
              </w:rPr>
              <w:t xml:space="preserve"> El día del reporte definido por la CGN, en la Resolución de plazos de transmisión en el CHIP. </w:t>
            </w:r>
          </w:p>
        </w:tc>
      </w:tr>
      <w:tr w:rsidR="00703221" w:rsidRPr="00B71716" w14:paraId="756D8955" w14:textId="77777777" w:rsidTr="00DB31BB">
        <w:trPr>
          <w:trHeight w:val="546"/>
        </w:trPr>
        <w:tc>
          <w:tcPr>
            <w:tcW w:w="4745" w:type="dxa"/>
            <w:vMerge/>
            <w:shd w:val="clear" w:color="auto" w:fill="FFFFFF"/>
          </w:tcPr>
          <w:p w14:paraId="7EA2C7EC" w14:textId="77777777" w:rsidR="00703221" w:rsidRPr="003E582C" w:rsidRDefault="00703221" w:rsidP="00703221">
            <w:pPr>
              <w:jc w:val="both"/>
              <w:rPr>
                <w:rFonts w:ascii="Arial" w:hAnsi="Arial" w:cs="Arial"/>
                <w:bCs/>
                <w:sz w:val="18"/>
                <w:szCs w:val="18"/>
                <w:lang w:val="es-CO" w:eastAsia="es-CO"/>
              </w:rPr>
            </w:pPr>
          </w:p>
        </w:tc>
        <w:tc>
          <w:tcPr>
            <w:tcW w:w="2565" w:type="dxa"/>
            <w:shd w:val="clear" w:color="auto" w:fill="FFFFFF"/>
          </w:tcPr>
          <w:p w14:paraId="45DCA617" w14:textId="77777777" w:rsidR="00703221" w:rsidRPr="003E582C" w:rsidRDefault="00703221" w:rsidP="00703221">
            <w:pPr>
              <w:jc w:val="center"/>
              <w:rPr>
                <w:rFonts w:ascii="Arial" w:hAnsi="Arial" w:cs="Arial"/>
                <w:b/>
                <w:bCs/>
                <w:sz w:val="18"/>
                <w:szCs w:val="18"/>
                <w:lang w:eastAsia="es-CO"/>
              </w:rPr>
            </w:pPr>
            <w:r w:rsidRPr="003E582C">
              <w:rPr>
                <w:rFonts w:ascii="Arial" w:hAnsi="Arial" w:cs="Arial"/>
                <w:b/>
                <w:bCs/>
                <w:sz w:val="18"/>
                <w:szCs w:val="18"/>
                <w:lang w:eastAsia="es-CO"/>
              </w:rPr>
              <w:t>Fecha de corte</w:t>
            </w:r>
          </w:p>
        </w:tc>
        <w:tc>
          <w:tcPr>
            <w:tcW w:w="1772" w:type="dxa"/>
            <w:shd w:val="clear" w:color="auto" w:fill="FFFFFF"/>
          </w:tcPr>
          <w:p w14:paraId="3CDC95D9" w14:textId="32B71D59" w:rsidR="00703221" w:rsidRPr="003E582C" w:rsidRDefault="00703221" w:rsidP="00280DD7">
            <w:pPr>
              <w:jc w:val="center"/>
              <w:rPr>
                <w:rFonts w:ascii="Arial" w:hAnsi="Arial" w:cs="Arial"/>
                <w:b/>
                <w:bCs/>
                <w:sz w:val="18"/>
                <w:szCs w:val="18"/>
                <w:lang w:eastAsia="es-CO"/>
              </w:rPr>
            </w:pPr>
            <w:r w:rsidRPr="003E582C">
              <w:rPr>
                <w:rFonts w:ascii="Arial" w:hAnsi="Arial" w:cs="Arial"/>
                <w:b/>
                <w:bCs/>
                <w:sz w:val="18"/>
                <w:szCs w:val="18"/>
                <w:lang w:eastAsia="es-CO"/>
              </w:rPr>
              <w:t>Fecha Límite de presentación</w:t>
            </w:r>
            <w:r w:rsidR="00220EDD" w:rsidRPr="003E582C">
              <w:rPr>
                <w:rStyle w:val="Refdenotaalpie"/>
                <w:rFonts w:ascii="Arial" w:hAnsi="Arial" w:cs="Arial"/>
                <w:b/>
                <w:bCs/>
                <w:sz w:val="18"/>
                <w:szCs w:val="18"/>
                <w:lang w:eastAsia="es-CO"/>
              </w:rPr>
              <w:footnoteReference w:id="20"/>
            </w:r>
          </w:p>
        </w:tc>
      </w:tr>
      <w:tr w:rsidR="00703221" w:rsidRPr="00B71716" w14:paraId="1565FC2E" w14:textId="77777777" w:rsidTr="00DB31BB">
        <w:trPr>
          <w:trHeight w:val="546"/>
        </w:trPr>
        <w:tc>
          <w:tcPr>
            <w:tcW w:w="4745" w:type="dxa"/>
            <w:vMerge/>
            <w:shd w:val="clear" w:color="auto" w:fill="FFFFFF"/>
          </w:tcPr>
          <w:p w14:paraId="063A8A7A" w14:textId="77777777" w:rsidR="00703221" w:rsidRPr="003E582C" w:rsidRDefault="00703221" w:rsidP="00703221">
            <w:pPr>
              <w:jc w:val="both"/>
              <w:rPr>
                <w:rFonts w:ascii="Arial" w:hAnsi="Arial" w:cs="Arial"/>
                <w:bCs/>
                <w:sz w:val="18"/>
                <w:szCs w:val="18"/>
                <w:lang w:val="es-CO" w:eastAsia="es-CO"/>
              </w:rPr>
            </w:pPr>
          </w:p>
        </w:tc>
        <w:tc>
          <w:tcPr>
            <w:tcW w:w="2565" w:type="dxa"/>
            <w:shd w:val="clear" w:color="auto" w:fill="FFFFFF"/>
          </w:tcPr>
          <w:p w14:paraId="0EDF22E5"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 xml:space="preserve">31 de marzo </w:t>
            </w:r>
          </w:p>
          <w:p w14:paraId="214A63FD"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 xml:space="preserve">30 de junio  </w:t>
            </w:r>
          </w:p>
          <w:p w14:paraId="3DEAAE9C"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30 de septiembre</w:t>
            </w:r>
          </w:p>
          <w:p w14:paraId="6F397E5F"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31 de diciembre</w:t>
            </w:r>
            <w:r w:rsidRPr="003E582C">
              <w:rPr>
                <w:rStyle w:val="Refdenotaalpie"/>
                <w:rFonts w:ascii="Arial" w:hAnsi="Arial" w:cs="Arial"/>
                <w:bCs/>
                <w:sz w:val="18"/>
                <w:szCs w:val="18"/>
                <w:lang w:eastAsia="es-CO"/>
              </w:rPr>
              <w:footnoteReference w:id="21"/>
            </w:r>
          </w:p>
        </w:tc>
        <w:tc>
          <w:tcPr>
            <w:tcW w:w="1772" w:type="dxa"/>
            <w:shd w:val="clear" w:color="auto" w:fill="FFFFFF"/>
          </w:tcPr>
          <w:p w14:paraId="0BB1EB57"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 xml:space="preserve">30 de abril </w:t>
            </w:r>
          </w:p>
          <w:p w14:paraId="439E2094"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 xml:space="preserve">31 de julio   </w:t>
            </w:r>
          </w:p>
          <w:p w14:paraId="24549B8B"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 xml:space="preserve">31 de octubre </w:t>
            </w:r>
          </w:p>
          <w:p w14:paraId="5CDFEBCD"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15 de febrero</w:t>
            </w:r>
          </w:p>
        </w:tc>
      </w:tr>
      <w:tr w:rsidR="00703221" w:rsidRPr="00B71716" w14:paraId="2FBF7D97" w14:textId="77777777" w:rsidTr="00DB31BB">
        <w:trPr>
          <w:trHeight w:val="556"/>
        </w:trPr>
        <w:tc>
          <w:tcPr>
            <w:tcW w:w="4745" w:type="dxa"/>
            <w:shd w:val="clear" w:color="auto" w:fill="FFFFFF"/>
          </w:tcPr>
          <w:p w14:paraId="048828FC" w14:textId="02BD8C21" w:rsidR="00703221" w:rsidRPr="003E582C" w:rsidRDefault="00630BA1" w:rsidP="00630BA1">
            <w:pPr>
              <w:jc w:val="both"/>
              <w:rPr>
                <w:rFonts w:ascii="Arial" w:hAnsi="Arial" w:cs="Arial"/>
                <w:bCs/>
                <w:sz w:val="18"/>
                <w:szCs w:val="18"/>
                <w:lang w:val="es-CO" w:eastAsia="es-CO"/>
              </w:rPr>
            </w:pPr>
            <w:r w:rsidRPr="003E582C">
              <w:rPr>
                <w:rFonts w:ascii="Arial" w:hAnsi="Arial" w:cs="Arial"/>
                <w:bCs/>
                <w:sz w:val="18"/>
                <w:szCs w:val="18"/>
                <w:lang w:val="es-CO" w:eastAsia="es-CO"/>
              </w:rPr>
              <w:t>Elaboración, revisión, análisis y p</w:t>
            </w:r>
            <w:r w:rsidR="00703221" w:rsidRPr="003E582C">
              <w:rPr>
                <w:rFonts w:ascii="Arial" w:hAnsi="Arial" w:cs="Arial"/>
                <w:bCs/>
                <w:sz w:val="18"/>
                <w:szCs w:val="18"/>
                <w:lang w:val="es-CO" w:eastAsia="es-CO"/>
              </w:rPr>
              <w:t>ublicación de informes financieros y contables de los meses de enero y febrero</w:t>
            </w:r>
          </w:p>
        </w:tc>
        <w:tc>
          <w:tcPr>
            <w:tcW w:w="4337" w:type="dxa"/>
            <w:gridSpan w:val="2"/>
            <w:shd w:val="clear" w:color="auto" w:fill="FFFFFF"/>
          </w:tcPr>
          <w:p w14:paraId="76990ED4" w14:textId="77777777" w:rsidR="00703221" w:rsidRPr="003E582C" w:rsidRDefault="00703221" w:rsidP="00703221">
            <w:pPr>
              <w:jc w:val="both"/>
              <w:rPr>
                <w:rFonts w:ascii="Arial" w:hAnsi="Arial" w:cs="Arial"/>
                <w:b/>
                <w:bCs/>
                <w:sz w:val="18"/>
                <w:szCs w:val="18"/>
                <w:lang w:eastAsia="es-CO"/>
              </w:rPr>
            </w:pPr>
            <w:r w:rsidRPr="003E582C">
              <w:rPr>
                <w:rFonts w:ascii="Arial" w:hAnsi="Arial" w:cs="Arial"/>
                <w:b/>
                <w:bCs/>
                <w:sz w:val="18"/>
                <w:szCs w:val="18"/>
                <w:lang w:eastAsia="es-CO"/>
              </w:rPr>
              <w:t>Enero:</w:t>
            </w:r>
            <w:r w:rsidRPr="003E582C">
              <w:rPr>
                <w:rFonts w:ascii="Arial" w:hAnsi="Arial" w:cs="Arial"/>
                <w:bCs/>
                <w:sz w:val="18"/>
                <w:szCs w:val="18"/>
                <w:lang w:eastAsia="es-CO"/>
              </w:rPr>
              <w:t xml:space="preserve"> Último día calendario del mes de marzo</w:t>
            </w:r>
          </w:p>
          <w:p w14:paraId="68DADF90" w14:textId="77777777" w:rsidR="00703221" w:rsidRPr="003E582C" w:rsidRDefault="00703221" w:rsidP="00703221">
            <w:pPr>
              <w:jc w:val="both"/>
              <w:rPr>
                <w:rFonts w:ascii="Arial" w:hAnsi="Arial" w:cs="Arial"/>
                <w:b/>
                <w:bCs/>
                <w:sz w:val="18"/>
                <w:szCs w:val="18"/>
                <w:lang w:eastAsia="es-CO"/>
              </w:rPr>
            </w:pPr>
            <w:r w:rsidRPr="003E582C">
              <w:rPr>
                <w:rFonts w:ascii="Arial" w:hAnsi="Arial" w:cs="Arial"/>
                <w:b/>
                <w:bCs/>
                <w:sz w:val="18"/>
                <w:szCs w:val="18"/>
                <w:lang w:eastAsia="es-CO"/>
              </w:rPr>
              <w:t xml:space="preserve">Febrero: </w:t>
            </w:r>
            <w:r w:rsidRPr="003E582C">
              <w:rPr>
                <w:rFonts w:ascii="Arial" w:hAnsi="Arial" w:cs="Arial"/>
                <w:bCs/>
                <w:sz w:val="18"/>
                <w:szCs w:val="18"/>
                <w:lang w:eastAsia="es-CO"/>
              </w:rPr>
              <w:t>Último día calendario del mes de abril</w:t>
            </w:r>
          </w:p>
        </w:tc>
      </w:tr>
      <w:tr w:rsidR="00703221" w:rsidRPr="00B71716" w14:paraId="0FF1EB06" w14:textId="77777777" w:rsidTr="00DB31BB">
        <w:trPr>
          <w:trHeight w:val="556"/>
        </w:trPr>
        <w:tc>
          <w:tcPr>
            <w:tcW w:w="4745" w:type="dxa"/>
            <w:shd w:val="clear" w:color="auto" w:fill="FFFFFF"/>
          </w:tcPr>
          <w:p w14:paraId="6041E15F" w14:textId="3CB57986" w:rsidR="00703221" w:rsidRPr="003E582C" w:rsidRDefault="00630BA1" w:rsidP="00630BA1">
            <w:pPr>
              <w:jc w:val="both"/>
              <w:rPr>
                <w:rFonts w:ascii="Arial" w:hAnsi="Arial" w:cs="Arial"/>
                <w:bCs/>
                <w:sz w:val="18"/>
                <w:szCs w:val="18"/>
                <w:lang w:val="es-CO" w:eastAsia="es-CO"/>
              </w:rPr>
            </w:pPr>
            <w:r w:rsidRPr="003E582C">
              <w:rPr>
                <w:rFonts w:ascii="Arial" w:hAnsi="Arial" w:cs="Arial"/>
                <w:bCs/>
                <w:sz w:val="18"/>
                <w:szCs w:val="18"/>
                <w:lang w:val="es-CO" w:eastAsia="es-CO"/>
              </w:rPr>
              <w:t>Elaboración, revisión, análisis y p</w:t>
            </w:r>
            <w:r w:rsidR="00703221" w:rsidRPr="003E582C">
              <w:rPr>
                <w:rFonts w:ascii="Arial" w:hAnsi="Arial" w:cs="Arial"/>
                <w:bCs/>
                <w:sz w:val="18"/>
                <w:szCs w:val="18"/>
                <w:lang w:val="es-CO" w:eastAsia="es-CO"/>
              </w:rPr>
              <w:t xml:space="preserve">ublicación de informes financieros y contables de los meses de marzo a noviembre </w:t>
            </w:r>
          </w:p>
        </w:tc>
        <w:tc>
          <w:tcPr>
            <w:tcW w:w="4337" w:type="dxa"/>
            <w:gridSpan w:val="2"/>
            <w:shd w:val="clear" w:color="auto" w:fill="FFFFFF"/>
          </w:tcPr>
          <w:p w14:paraId="5A6FD958" w14:textId="77777777" w:rsidR="00703221" w:rsidRPr="003E582C" w:rsidRDefault="00703221" w:rsidP="00703221">
            <w:pPr>
              <w:jc w:val="both"/>
              <w:rPr>
                <w:rFonts w:ascii="Arial" w:hAnsi="Arial" w:cs="Arial"/>
                <w:b/>
                <w:bCs/>
                <w:sz w:val="18"/>
                <w:szCs w:val="18"/>
                <w:lang w:eastAsia="es-CO"/>
              </w:rPr>
            </w:pPr>
            <w:r w:rsidRPr="003E582C">
              <w:rPr>
                <w:rFonts w:ascii="Arial" w:hAnsi="Arial" w:cs="Arial"/>
                <w:b/>
                <w:bCs/>
                <w:sz w:val="18"/>
                <w:szCs w:val="18"/>
                <w:lang w:eastAsia="es-CO"/>
              </w:rPr>
              <w:t xml:space="preserve">Mensual: </w:t>
            </w:r>
            <w:r w:rsidRPr="003E582C">
              <w:rPr>
                <w:rFonts w:ascii="Arial" w:hAnsi="Arial" w:cs="Arial"/>
                <w:bCs/>
                <w:sz w:val="18"/>
                <w:szCs w:val="18"/>
                <w:lang w:eastAsia="es-CO"/>
              </w:rPr>
              <w:t>Último día calendario del mes siguiente al que corresponde la información.</w:t>
            </w:r>
          </w:p>
        </w:tc>
      </w:tr>
      <w:tr w:rsidR="00703221" w:rsidRPr="00B71716" w14:paraId="0E2C5EB3" w14:textId="77777777" w:rsidTr="00DB31BB">
        <w:trPr>
          <w:trHeight w:val="365"/>
        </w:trPr>
        <w:tc>
          <w:tcPr>
            <w:tcW w:w="4745" w:type="dxa"/>
            <w:shd w:val="clear" w:color="auto" w:fill="FFFFFF"/>
          </w:tcPr>
          <w:p w14:paraId="4ED207CA" w14:textId="1903D19E" w:rsidR="00703221" w:rsidRPr="003E582C" w:rsidRDefault="00630BA1" w:rsidP="00630BA1">
            <w:pPr>
              <w:jc w:val="both"/>
              <w:rPr>
                <w:rFonts w:ascii="Arial" w:hAnsi="Arial" w:cs="Arial"/>
                <w:bCs/>
                <w:sz w:val="18"/>
                <w:szCs w:val="18"/>
                <w:lang w:val="es-CO" w:eastAsia="es-CO"/>
              </w:rPr>
            </w:pPr>
            <w:r w:rsidRPr="003E582C">
              <w:rPr>
                <w:rFonts w:ascii="Arial" w:hAnsi="Arial" w:cs="Arial"/>
                <w:bCs/>
                <w:sz w:val="18"/>
                <w:szCs w:val="18"/>
                <w:lang w:val="es-CO" w:eastAsia="es-CO"/>
              </w:rPr>
              <w:t>Elaboración, revisión, análisis y p</w:t>
            </w:r>
            <w:r w:rsidR="00703221" w:rsidRPr="003E582C">
              <w:rPr>
                <w:rFonts w:ascii="Arial" w:hAnsi="Arial" w:cs="Arial"/>
                <w:bCs/>
                <w:sz w:val="18"/>
                <w:szCs w:val="18"/>
                <w:lang w:val="es-CO" w:eastAsia="es-CO"/>
              </w:rPr>
              <w:t>ublicación del juego completo de Estados Financieros del MHCP, correspondientes al mes de diciembre</w:t>
            </w:r>
          </w:p>
        </w:tc>
        <w:tc>
          <w:tcPr>
            <w:tcW w:w="4337" w:type="dxa"/>
            <w:gridSpan w:val="2"/>
            <w:shd w:val="clear" w:color="auto" w:fill="FFFFFF"/>
          </w:tcPr>
          <w:p w14:paraId="6A81BC94" w14:textId="77777777" w:rsidR="00703221" w:rsidRPr="003E582C" w:rsidRDefault="00703221" w:rsidP="00703221">
            <w:pPr>
              <w:jc w:val="both"/>
              <w:rPr>
                <w:rFonts w:ascii="Arial" w:hAnsi="Arial" w:cs="Arial"/>
                <w:bCs/>
                <w:sz w:val="18"/>
                <w:szCs w:val="18"/>
                <w:lang w:eastAsia="es-CO"/>
              </w:rPr>
            </w:pPr>
            <w:r w:rsidRPr="003E582C">
              <w:rPr>
                <w:rFonts w:ascii="Arial" w:hAnsi="Arial" w:cs="Arial"/>
                <w:bCs/>
                <w:sz w:val="18"/>
                <w:szCs w:val="18"/>
                <w:lang w:eastAsia="es-CO"/>
              </w:rPr>
              <w:t>Último día calendario del mes de febrero de la vigencia siguiente a la que corresponde la información.</w:t>
            </w:r>
          </w:p>
        </w:tc>
      </w:tr>
      <w:tr w:rsidR="00703221" w:rsidRPr="00B71716" w14:paraId="533B53A3" w14:textId="77777777" w:rsidTr="00DB31BB">
        <w:trPr>
          <w:trHeight w:val="556"/>
        </w:trPr>
        <w:tc>
          <w:tcPr>
            <w:tcW w:w="4745" w:type="dxa"/>
            <w:shd w:val="clear" w:color="auto" w:fill="FFFFFF"/>
          </w:tcPr>
          <w:p w14:paraId="57399FD7" w14:textId="6303639B" w:rsidR="00703221" w:rsidRPr="003E582C" w:rsidRDefault="00703221" w:rsidP="00703221">
            <w:pPr>
              <w:jc w:val="both"/>
              <w:rPr>
                <w:rFonts w:ascii="Arial" w:hAnsi="Arial" w:cs="Arial"/>
                <w:bCs/>
                <w:sz w:val="18"/>
                <w:szCs w:val="18"/>
                <w:lang w:val="es-CO" w:eastAsia="es-CO"/>
              </w:rPr>
            </w:pPr>
            <w:r w:rsidRPr="003E582C">
              <w:rPr>
                <w:rFonts w:ascii="Arial" w:hAnsi="Arial" w:cs="Arial"/>
                <w:bCs/>
                <w:sz w:val="18"/>
                <w:szCs w:val="18"/>
                <w:lang w:val="es-CO" w:eastAsia="es-CO"/>
              </w:rPr>
              <w:t>Gestión para la Presentación a la Contraloría General de la República</w:t>
            </w:r>
            <w:r w:rsidR="00996598" w:rsidRPr="003E582C">
              <w:rPr>
                <w:rFonts w:ascii="Arial" w:hAnsi="Arial" w:cs="Arial"/>
                <w:bCs/>
                <w:sz w:val="18"/>
                <w:szCs w:val="18"/>
                <w:lang w:val="es-CO" w:eastAsia="es-CO"/>
              </w:rPr>
              <w:t xml:space="preserve"> y a la Comisión Legal de Cuentas</w:t>
            </w:r>
            <w:r w:rsidRPr="003E582C">
              <w:rPr>
                <w:rFonts w:ascii="Arial" w:hAnsi="Arial" w:cs="Arial"/>
                <w:bCs/>
                <w:sz w:val="18"/>
                <w:szCs w:val="18"/>
                <w:lang w:val="es-CO" w:eastAsia="es-CO"/>
              </w:rPr>
              <w:t>, de los estados financieros del MHCP</w:t>
            </w:r>
          </w:p>
        </w:tc>
        <w:tc>
          <w:tcPr>
            <w:tcW w:w="4337" w:type="dxa"/>
            <w:gridSpan w:val="2"/>
            <w:shd w:val="clear" w:color="auto" w:fill="FFFFFF"/>
          </w:tcPr>
          <w:p w14:paraId="58B5D864" w14:textId="34855952" w:rsidR="00703221" w:rsidRPr="003E582C" w:rsidRDefault="00703221" w:rsidP="00703221">
            <w:pPr>
              <w:jc w:val="both"/>
              <w:rPr>
                <w:rFonts w:ascii="Arial" w:hAnsi="Arial" w:cs="Arial"/>
                <w:bCs/>
                <w:sz w:val="18"/>
                <w:szCs w:val="18"/>
                <w:lang w:eastAsia="es-CO"/>
              </w:rPr>
            </w:pPr>
            <w:r w:rsidRPr="003E582C">
              <w:rPr>
                <w:rFonts w:ascii="Arial" w:hAnsi="Arial" w:cs="Arial"/>
                <w:b/>
                <w:sz w:val="18"/>
                <w:szCs w:val="18"/>
                <w:lang w:eastAsia="es-CO"/>
              </w:rPr>
              <w:t xml:space="preserve">Anual: </w:t>
            </w:r>
            <w:r w:rsidRPr="003E582C">
              <w:rPr>
                <w:rFonts w:ascii="Arial" w:hAnsi="Arial" w:cs="Arial"/>
                <w:sz w:val="18"/>
                <w:szCs w:val="18"/>
                <w:lang w:eastAsia="es-CO"/>
              </w:rPr>
              <w:t>De acuerdo con los plazos definidos por la Secretaría General del MHCP, para el reporte de información</w:t>
            </w:r>
            <w:r w:rsidR="00996598" w:rsidRPr="003E582C">
              <w:rPr>
                <w:rFonts w:ascii="Arial" w:hAnsi="Arial" w:cs="Arial"/>
                <w:sz w:val="18"/>
                <w:szCs w:val="18"/>
                <w:lang w:eastAsia="es-CO"/>
              </w:rPr>
              <w:t>.</w:t>
            </w:r>
            <w:r w:rsidRPr="003E582C">
              <w:rPr>
                <w:rFonts w:ascii="Arial" w:hAnsi="Arial" w:cs="Arial"/>
                <w:sz w:val="18"/>
                <w:szCs w:val="18"/>
                <w:lang w:eastAsia="es-CO"/>
              </w:rPr>
              <w:t xml:space="preserve">  </w:t>
            </w:r>
          </w:p>
        </w:tc>
      </w:tr>
    </w:tbl>
    <w:p w14:paraId="26046FDB" w14:textId="77777777" w:rsidR="0046335B" w:rsidRPr="00290062" w:rsidRDefault="0046335B" w:rsidP="00A606C2">
      <w:pPr>
        <w:rPr>
          <w:rFonts w:ascii="Arial Narrow" w:hAnsi="Arial Narrow" w:cs="Arial"/>
          <w:sz w:val="18"/>
          <w:szCs w:val="18"/>
        </w:rPr>
      </w:pPr>
    </w:p>
    <w:tbl>
      <w:tblPr>
        <w:tblW w:w="9082" w:type="dxa"/>
        <w:tblInd w:w="60" w:type="dxa"/>
        <w:tblBorders>
          <w:top w:val="single" w:sz="12" w:space="0" w:color="3366CC"/>
          <w:left w:val="single" w:sz="12" w:space="0" w:color="3366CC"/>
          <w:bottom w:val="single" w:sz="12" w:space="0" w:color="3366CC"/>
          <w:right w:val="single" w:sz="12" w:space="0" w:color="3366CC"/>
          <w:insideH w:val="single" w:sz="2" w:space="0" w:color="3366CC"/>
          <w:insideV w:val="single" w:sz="12" w:space="0" w:color="3366CC"/>
        </w:tblBorders>
        <w:shd w:val="clear" w:color="000000" w:fill="FFFFFF"/>
        <w:tblCellMar>
          <w:left w:w="70" w:type="dxa"/>
          <w:right w:w="70" w:type="dxa"/>
        </w:tblCellMar>
        <w:tblLook w:val="04A0" w:firstRow="1" w:lastRow="0" w:firstColumn="1" w:lastColumn="0" w:noHBand="0" w:noVBand="1"/>
      </w:tblPr>
      <w:tblGrid>
        <w:gridCol w:w="9082"/>
      </w:tblGrid>
      <w:tr w:rsidR="00B90FDE" w:rsidRPr="00B90FDE" w14:paraId="2D9B393E" w14:textId="77777777" w:rsidTr="00DB31BB">
        <w:trPr>
          <w:trHeight w:val="358"/>
        </w:trPr>
        <w:tc>
          <w:tcPr>
            <w:tcW w:w="9082" w:type="dxa"/>
            <w:shd w:val="clear" w:color="000000" w:fill="3366CC"/>
            <w:vAlign w:val="center"/>
          </w:tcPr>
          <w:p w14:paraId="1343DDA8" w14:textId="77777777" w:rsidR="00280DD7" w:rsidRPr="00B90FDE" w:rsidRDefault="00280DD7" w:rsidP="00CB3572">
            <w:pPr>
              <w:jc w:val="center"/>
              <w:rPr>
                <w:rFonts w:ascii="Arial" w:hAnsi="Arial" w:cs="Arial"/>
                <w:b/>
                <w:bCs/>
                <w:color w:val="FFFFFF" w:themeColor="background1"/>
                <w:sz w:val="18"/>
                <w:szCs w:val="18"/>
                <w:lang w:eastAsia="es-CO"/>
              </w:rPr>
            </w:pPr>
            <w:r w:rsidRPr="00B90FDE">
              <w:rPr>
                <w:rFonts w:ascii="Arial" w:hAnsi="Arial" w:cs="Arial"/>
                <w:b/>
                <w:bCs/>
                <w:color w:val="FFFFFF" w:themeColor="background1"/>
                <w:sz w:val="18"/>
                <w:szCs w:val="18"/>
                <w:lang w:eastAsia="es-CO"/>
              </w:rPr>
              <w:t>Notas</w:t>
            </w:r>
          </w:p>
        </w:tc>
      </w:tr>
      <w:tr w:rsidR="00280DD7" w:rsidRPr="00280DD7" w14:paraId="756265B8" w14:textId="77777777" w:rsidTr="00DB31BB">
        <w:trPr>
          <w:trHeight w:val="1397"/>
        </w:trPr>
        <w:tc>
          <w:tcPr>
            <w:tcW w:w="9082" w:type="dxa"/>
            <w:shd w:val="clear" w:color="000000" w:fill="FFFFFF"/>
            <w:vAlign w:val="center"/>
            <w:hideMark/>
          </w:tcPr>
          <w:p w14:paraId="2A0DFAFC" w14:textId="409A5EAE" w:rsidR="00280DD7" w:rsidRPr="00DB31BB" w:rsidRDefault="00280DD7" w:rsidP="00DB31BB">
            <w:pPr>
              <w:spacing w:line="276" w:lineRule="auto"/>
              <w:jc w:val="both"/>
              <w:rPr>
                <w:rFonts w:ascii="Arial" w:hAnsi="Arial" w:cs="Arial"/>
                <w:bCs/>
                <w:sz w:val="17"/>
                <w:szCs w:val="17"/>
                <w:lang w:eastAsia="es-CO"/>
              </w:rPr>
            </w:pPr>
            <w:r w:rsidRPr="00DB31BB">
              <w:rPr>
                <w:rFonts w:ascii="Arial" w:hAnsi="Arial" w:cs="Arial"/>
                <w:b/>
                <w:bCs/>
                <w:sz w:val="17"/>
                <w:szCs w:val="17"/>
                <w:lang w:eastAsia="es-CO"/>
              </w:rPr>
              <w:t>1. REVISIÓN DE CUMPLIMIENTO</w:t>
            </w:r>
            <w:r w:rsidRPr="00DB31BB">
              <w:rPr>
                <w:rFonts w:ascii="Arial" w:hAnsi="Arial" w:cs="Arial"/>
                <w:bCs/>
                <w:sz w:val="17"/>
                <w:szCs w:val="17"/>
                <w:lang w:eastAsia="es-CO"/>
              </w:rPr>
              <w:t xml:space="preserve"> Con relación a </w:t>
            </w:r>
            <w:r w:rsidR="00752D0A" w:rsidRPr="00DB31BB">
              <w:rPr>
                <w:rFonts w:ascii="Arial" w:hAnsi="Arial" w:cs="Arial"/>
                <w:bCs/>
                <w:sz w:val="17"/>
                <w:szCs w:val="17"/>
                <w:lang w:eastAsia="es-CO"/>
              </w:rPr>
              <w:t xml:space="preserve">la </w:t>
            </w:r>
            <w:r w:rsidRPr="00DB31BB">
              <w:rPr>
                <w:rFonts w:ascii="Arial" w:hAnsi="Arial" w:cs="Arial"/>
                <w:bCs/>
                <w:sz w:val="17"/>
                <w:szCs w:val="17"/>
                <w:lang w:eastAsia="es-CO"/>
              </w:rPr>
              <w:t>recepción de información,</w:t>
            </w:r>
            <w:r w:rsidR="00752D0A" w:rsidRPr="00DB31BB">
              <w:rPr>
                <w:rFonts w:ascii="Arial" w:hAnsi="Arial" w:cs="Arial"/>
                <w:bCs/>
                <w:sz w:val="17"/>
                <w:szCs w:val="17"/>
                <w:lang w:eastAsia="es-CO"/>
              </w:rPr>
              <w:t xml:space="preserve"> el </w:t>
            </w:r>
            <w:r w:rsidR="00F3231A">
              <w:rPr>
                <w:rFonts w:ascii="Arial" w:hAnsi="Arial" w:cs="Arial"/>
                <w:bCs/>
                <w:sz w:val="17"/>
                <w:szCs w:val="17"/>
                <w:lang w:eastAsia="es-CO"/>
              </w:rPr>
              <w:t>funcionario o contratista</w:t>
            </w:r>
            <w:r w:rsidR="00752D0A" w:rsidRPr="00DB31BB">
              <w:rPr>
                <w:rFonts w:ascii="Arial" w:hAnsi="Arial" w:cs="Arial"/>
                <w:bCs/>
                <w:sz w:val="17"/>
                <w:szCs w:val="17"/>
                <w:lang w:eastAsia="es-CO"/>
              </w:rPr>
              <w:t xml:space="preserve"> encargado del Grupo de </w:t>
            </w:r>
            <w:r w:rsidR="00CB3572" w:rsidRPr="00DB31BB">
              <w:rPr>
                <w:rFonts w:ascii="Arial" w:hAnsi="Arial" w:cs="Arial"/>
                <w:bCs/>
                <w:sz w:val="17"/>
                <w:szCs w:val="17"/>
                <w:lang w:eastAsia="es-CO"/>
              </w:rPr>
              <w:t>Contabilidad debe</w:t>
            </w:r>
            <w:r w:rsidRPr="00DB31BB">
              <w:rPr>
                <w:rFonts w:ascii="Arial" w:hAnsi="Arial" w:cs="Arial"/>
                <w:bCs/>
                <w:sz w:val="17"/>
                <w:szCs w:val="17"/>
                <w:lang w:eastAsia="es-CO"/>
              </w:rPr>
              <w:t xml:space="preserve"> hacer una revisión del cumplimiento en la entrega de la misma por parte de las áreas involucradas. Esta actividad se realiza el día en que se cumplan las fechas límite para la presentación de información.</w:t>
            </w:r>
            <w:r w:rsidRPr="00DB31BB">
              <w:rPr>
                <w:rFonts w:ascii="Arial" w:hAnsi="Arial" w:cs="Arial"/>
                <w:bCs/>
                <w:sz w:val="17"/>
                <w:szCs w:val="17"/>
                <w:lang w:eastAsia="es-CO"/>
              </w:rPr>
              <w:br/>
            </w:r>
            <w:r w:rsidRPr="00DB31BB">
              <w:rPr>
                <w:rFonts w:ascii="Arial" w:hAnsi="Arial" w:cs="Arial"/>
                <w:bCs/>
                <w:sz w:val="17"/>
                <w:szCs w:val="17"/>
                <w:lang w:eastAsia="es-CO"/>
              </w:rPr>
              <w:br/>
              <w:t>En aquellos casos en los cuales no se reciba la información en los plazos establecidos, se efectúa la correspondiente gestión telefónica y/o mediante correo electrónico.</w:t>
            </w:r>
          </w:p>
        </w:tc>
      </w:tr>
      <w:tr w:rsidR="00280DD7" w:rsidRPr="00280DD7" w14:paraId="24BBBCC9" w14:textId="77777777" w:rsidTr="00DB31BB">
        <w:trPr>
          <w:trHeight w:val="336"/>
        </w:trPr>
        <w:tc>
          <w:tcPr>
            <w:tcW w:w="9082" w:type="dxa"/>
            <w:shd w:val="clear" w:color="000000" w:fill="FFFFFF"/>
            <w:vAlign w:val="center"/>
          </w:tcPr>
          <w:p w14:paraId="5AE52B52" w14:textId="50F0108A" w:rsidR="00280DD7" w:rsidRPr="00DB31BB" w:rsidRDefault="00280DD7" w:rsidP="00DB31BB">
            <w:pPr>
              <w:pStyle w:val="Textonotapie"/>
              <w:spacing w:line="276" w:lineRule="auto"/>
              <w:jc w:val="both"/>
              <w:rPr>
                <w:rFonts w:ascii="Arial" w:hAnsi="Arial" w:cs="Arial"/>
                <w:bCs/>
                <w:sz w:val="17"/>
                <w:szCs w:val="17"/>
              </w:rPr>
            </w:pPr>
            <w:r w:rsidRPr="00DB31BB">
              <w:rPr>
                <w:rFonts w:ascii="Arial" w:hAnsi="Arial" w:cs="Arial"/>
                <w:bCs/>
                <w:sz w:val="17"/>
                <w:szCs w:val="17"/>
              </w:rPr>
              <w:t>2. La transmisión de los reportes definidos por la Contaduría General de la Nación (CGN), así como la publicación de informes financieros y contables, se realizará</w:t>
            </w:r>
            <w:r w:rsidR="007128BC" w:rsidRPr="00DB31BB">
              <w:rPr>
                <w:rFonts w:ascii="Arial" w:hAnsi="Arial" w:cs="Arial"/>
                <w:bCs/>
                <w:sz w:val="17"/>
                <w:szCs w:val="17"/>
              </w:rPr>
              <w:t xml:space="preserve"> de conformidad con los plazos establecidos por dicha entidad, y considerando los correspondientes </w:t>
            </w:r>
            <w:r w:rsidRPr="00DB31BB">
              <w:rPr>
                <w:rFonts w:ascii="Arial" w:hAnsi="Arial" w:cs="Arial"/>
                <w:sz w:val="17"/>
                <w:szCs w:val="17"/>
              </w:rPr>
              <w:t xml:space="preserve">actos administrativos que </w:t>
            </w:r>
            <w:r w:rsidR="007128BC" w:rsidRPr="00DB31BB">
              <w:rPr>
                <w:rFonts w:ascii="Arial" w:hAnsi="Arial" w:cs="Arial"/>
                <w:sz w:val="17"/>
                <w:szCs w:val="17"/>
              </w:rPr>
              <w:t>pudieren llegar a mo</w:t>
            </w:r>
            <w:r w:rsidR="00CA5E4A" w:rsidRPr="00DB31BB">
              <w:rPr>
                <w:rFonts w:ascii="Arial" w:hAnsi="Arial" w:cs="Arial"/>
                <w:sz w:val="17"/>
                <w:szCs w:val="17"/>
              </w:rPr>
              <w:t xml:space="preserve">dificar </w:t>
            </w:r>
            <w:r w:rsidRPr="00DB31BB">
              <w:rPr>
                <w:rFonts w:ascii="Arial" w:hAnsi="Arial" w:cs="Arial"/>
                <w:sz w:val="17"/>
                <w:szCs w:val="17"/>
              </w:rPr>
              <w:t>o prorro</w:t>
            </w:r>
            <w:r w:rsidR="00CA5E4A" w:rsidRPr="00DB31BB">
              <w:rPr>
                <w:rFonts w:ascii="Arial" w:hAnsi="Arial" w:cs="Arial"/>
                <w:sz w:val="17"/>
                <w:szCs w:val="17"/>
              </w:rPr>
              <w:t>gar</w:t>
            </w:r>
            <w:r w:rsidR="00635CEA" w:rsidRPr="00DB31BB">
              <w:rPr>
                <w:rFonts w:ascii="Arial" w:hAnsi="Arial" w:cs="Arial"/>
                <w:sz w:val="17"/>
                <w:szCs w:val="17"/>
              </w:rPr>
              <w:t xml:space="preserve"> las fechas fijadas inicialmente. </w:t>
            </w:r>
          </w:p>
        </w:tc>
      </w:tr>
      <w:bookmarkEnd w:id="269"/>
    </w:tbl>
    <w:p w14:paraId="5146363F" w14:textId="585859C6" w:rsidR="002C0E83" w:rsidRDefault="002C0E83" w:rsidP="00A606C2">
      <w:pPr>
        <w:pStyle w:val="Prrafodelista"/>
        <w:ind w:left="0"/>
        <w:rPr>
          <w:rFonts w:ascii="Arial" w:hAnsi="Arial" w:cs="Arial"/>
          <w:sz w:val="18"/>
          <w:szCs w:val="18"/>
          <w:highlight w:val="red"/>
        </w:rPr>
      </w:pPr>
    </w:p>
    <w:p w14:paraId="5078D440" w14:textId="77777777" w:rsidR="00CA76B9" w:rsidRPr="002C7D53" w:rsidRDefault="00CA76B9" w:rsidP="00A606C2">
      <w:pPr>
        <w:pStyle w:val="Prrafodelista"/>
        <w:ind w:left="0"/>
        <w:rPr>
          <w:rFonts w:ascii="Arial" w:hAnsi="Arial" w:cs="Arial"/>
          <w:sz w:val="18"/>
          <w:szCs w:val="18"/>
          <w:highlight w:val="red"/>
        </w:rPr>
      </w:pPr>
    </w:p>
    <w:p w14:paraId="0D9BF6D1" w14:textId="127DA553" w:rsidR="0046335B" w:rsidRPr="00AD11B7" w:rsidRDefault="0046335B" w:rsidP="00CA76B9">
      <w:pPr>
        <w:pStyle w:val="Prrafodelista"/>
        <w:numPr>
          <w:ilvl w:val="2"/>
          <w:numId w:val="1"/>
        </w:numPr>
        <w:spacing w:line="288" w:lineRule="auto"/>
        <w:ind w:left="0" w:firstLine="0"/>
        <w:jc w:val="both"/>
        <w:rPr>
          <w:rFonts w:ascii="Arial" w:hAnsi="Arial" w:cs="Arial"/>
          <w:sz w:val="22"/>
          <w:szCs w:val="22"/>
        </w:rPr>
      </w:pPr>
      <w:r w:rsidRPr="00AD11B7">
        <w:rPr>
          <w:rFonts w:ascii="Arial" w:hAnsi="Arial" w:cs="Arial"/>
          <w:sz w:val="22"/>
          <w:szCs w:val="22"/>
        </w:rPr>
        <w:t xml:space="preserve">Para la recepción de información, la Subdirección Financiera ha suscrito algunos acuerdos de servicio con las diferentes áreas del MHCP. Dichos acuerdos de servicio pueden ser consultados en </w:t>
      </w:r>
      <w:r w:rsidR="00CA5E4A">
        <w:rPr>
          <w:rFonts w:ascii="Arial" w:hAnsi="Arial" w:cs="Arial"/>
          <w:sz w:val="22"/>
          <w:szCs w:val="22"/>
        </w:rPr>
        <w:t>el enlace d</w:t>
      </w:r>
      <w:r w:rsidRPr="00AA638F">
        <w:rPr>
          <w:rFonts w:ascii="Arial" w:hAnsi="Arial" w:cs="Arial"/>
          <w:sz w:val="22"/>
          <w:szCs w:val="22"/>
        </w:rPr>
        <w:t>el S</w:t>
      </w:r>
      <w:r w:rsidR="00580C7E" w:rsidRPr="00AA638F">
        <w:rPr>
          <w:rFonts w:ascii="Arial" w:hAnsi="Arial" w:cs="Arial"/>
          <w:sz w:val="22"/>
          <w:szCs w:val="22"/>
        </w:rPr>
        <w:t xml:space="preserve">istema Único de </w:t>
      </w:r>
      <w:r w:rsidRPr="00AA638F">
        <w:rPr>
          <w:rFonts w:ascii="Arial" w:hAnsi="Arial" w:cs="Arial"/>
          <w:sz w:val="22"/>
          <w:szCs w:val="22"/>
        </w:rPr>
        <w:t>G</w:t>
      </w:r>
      <w:r w:rsidR="00580C7E" w:rsidRPr="00AA638F">
        <w:rPr>
          <w:rFonts w:ascii="Arial" w:hAnsi="Arial" w:cs="Arial"/>
          <w:sz w:val="22"/>
          <w:szCs w:val="22"/>
        </w:rPr>
        <w:t>estión</w:t>
      </w:r>
      <w:r w:rsidRPr="00AA638F">
        <w:rPr>
          <w:rStyle w:val="Refdenotaalpie"/>
          <w:rFonts w:ascii="Arial" w:hAnsi="Arial" w:cs="Arial"/>
          <w:sz w:val="22"/>
          <w:szCs w:val="22"/>
        </w:rPr>
        <w:footnoteReference w:id="22"/>
      </w:r>
      <w:r w:rsidRPr="00AA638F">
        <w:rPr>
          <w:rFonts w:ascii="Arial" w:hAnsi="Arial" w:cs="Arial"/>
          <w:sz w:val="22"/>
          <w:szCs w:val="22"/>
        </w:rPr>
        <w:t>.</w:t>
      </w:r>
      <w:r w:rsidRPr="00AD11B7">
        <w:rPr>
          <w:rFonts w:ascii="Arial" w:hAnsi="Arial" w:cs="Arial"/>
          <w:sz w:val="22"/>
          <w:szCs w:val="22"/>
        </w:rPr>
        <w:t xml:space="preserve">  </w:t>
      </w:r>
    </w:p>
    <w:p w14:paraId="335860EE" w14:textId="7D971773" w:rsidR="0046335B" w:rsidRDefault="0046335B" w:rsidP="00CA76B9">
      <w:pPr>
        <w:pStyle w:val="Prrafodelista"/>
        <w:spacing w:line="288" w:lineRule="auto"/>
        <w:ind w:left="0"/>
        <w:jc w:val="both"/>
        <w:rPr>
          <w:rFonts w:ascii="Arial" w:hAnsi="Arial" w:cs="Arial"/>
          <w:sz w:val="22"/>
          <w:szCs w:val="22"/>
        </w:rPr>
      </w:pPr>
    </w:p>
    <w:p w14:paraId="286B80F4" w14:textId="3F3ED2F4" w:rsidR="00DB6F34" w:rsidRDefault="00DB6F34" w:rsidP="00CA76B9">
      <w:pPr>
        <w:pStyle w:val="Prrafodelista"/>
        <w:spacing w:line="288" w:lineRule="auto"/>
        <w:ind w:left="0"/>
        <w:jc w:val="both"/>
        <w:rPr>
          <w:rFonts w:ascii="Arial" w:hAnsi="Arial" w:cs="Arial"/>
          <w:sz w:val="22"/>
          <w:szCs w:val="22"/>
        </w:rPr>
      </w:pPr>
    </w:p>
    <w:p w14:paraId="682FAAF6" w14:textId="77777777" w:rsidR="00DB6F34" w:rsidRPr="00AD11B7" w:rsidRDefault="00DB6F34" w:rsidP="00CA76B9">
      <w:pPr>
        <w:pStyle w:val="Prrafodelista"/>
        <w:spacing w:line="288" w:lineRule="auto"/>
        <w:ind w:left="0"/>
        <w:jc w:val="both"/>
        <w:rPr>
          <w:rFonts w:ascii="Arial" w:hAnsi="Arial" w:cs="Arial"/>
          <w:sz w:val="22"/>
          <w:szCs w:val="22"/>
        </w:rPr>
      </w:pPr>
    </w:p>
    <w:p w14:paraId="608B5C5B" w14:textId="77777777" w:rsidR="0046335B" w:rsidRPr="00AD11B7" w:rsidRDefault="0046335B" w:rsidP="00CA76B9">
      <w:pPr>
        <w:numPr>
          <w:ilvl w:val="2"/>
          <w:numId w:val="1"/>
        </w:numPr>
        <w:spacing w:line="288" w:lineRule="auto"/>
        <w:rPr>
          <w:rFonts w:ascii="Arial" w:hAnsi="Arial" w:cs="Arial"/>
          <w:b/>
          <w:sz w:val="22"/>
          <w:szCs w:val="22"/>
        </w:rPr>
      </w:pPr>
      <w:r w:rsidRPr="00AD11B7">
        <w:rPr>
          <w:rFonts w:ascii="Arial" w:hAnsi="Arial" w:cs="Arial"/>
          <w:b/>
          <w:sz w:val="22"/>
          <w:szCs w:val="22"/>
        </w:rPr>
        <w:lastRenderedPageBreak/>
        <w:t>Revisión registro de obligaciones</w:t>
      </w:r>
    </w:p>
    <w:p w14:paraId="5D62FD5A" w14:textId="77777777" w:rsidR="0046335B" w:rsidRPr="00AD11B7" w:rsidRDefault="0046335B" w:rsidP="00CA76B9">
      <w:pPr>
        <w:spacing w:line="288" w:lineRule="auto"/>
        <w:jc w:val="center"/>
        <w:rPr>
          <w:rFonts w:ascii="Arial" w:hAnsi="Arial" w:cs="Arial"/>
          <w:b/>
          <w:sz w:val="22"/>
          <w:szCs w:val="22"/>
        </w:rPr>
      </w:pPr>
    </w:p>
    <w:p w14:paraId="399E4DEC" w14:textId="77777777" w:rsidR="00EF6767" w:rsidRDefault="00EF6767" w:rsidP="00CA76B9">
      <w:pPr>
        <w:spacing w:line="288" w:lineRule="auto"/>
        <w:jc w:val="both"/>
        <w:rPr>
          <w:rFonts w:ascii="Arial" w:hAnsi="Arial" w:cs="Arial"/>
          <w:sz w:val="22"/>
          <w:szCs w:val="22"/>
        </w:rPr>
      </w:pPr>
      <w:r>
        <w:rPr>
          <w:rFonts w:ascii="Arial" w:hAnsi="Arial" w:cs="Arial"/>
          <w:sz w:val="22"/>
          <w:szCs w:val="22"/>
        </w:rPr>
        <w:t xml:space="preserve">Como parte del </w:t>
      </w:r>
      <w:r w:rsidR="0046335B" w:rsidRPr="00AD11B7">
        <w:rPr>
          <w:rFonts w:ascii="Arial" w:hAnsi="Arial" w:cs="Arial"/>
          <w:sz w:val="22"/>
          <w:szCs w:val="22"/>
        </w:rPr>
        <w:t>trámite de</w:t>
      </w:r>
      <w:r w:rsidR="0098644A">
        <w:rPr>
          <w:rFonts w:ascii="Arial" w:hAnsi="Arial" w:cs="Arial"/>
          <w:sz w:val="22"/>
          <w:szCs w:val="22"/>
        </w:rPr>
        <w:t xml:space="preserve"> pago de las </w:t>
      </w:r>
      <w:r w:rsidR="0046335B" w:rsidRPr="00AD11B7">
        <w:rPr>
          <w:rFonts w:ascii="Arial" w:hAnsi="Arial" w:cs="Arial"/>
          <w:sz w:val="22"/>
          <w:szCs w:val="22"/>
        </w:rPr>
        <w:t>obligaciones</w:t>
      </w:r>
      <w:r w:rsidR="0098644A">
        <w:rPr>
          <w:rFonts w:ascii="Arial" w:hAnsi="Arial" w:cs="Arial"/>
          <w:sz w:val="22"/>
          <w:szCs w:val="22"/>
        </w:rPr>
        <w:t xml:space="preserve"> a cargo del MHCP – Gestión General que son </w:t>
      </w:r>
      <w:r w:rsidR="0046335B" w:rsidRPr="00AD11B7">
        <w:rPr>
          <w:rFonts w:ascii="Arial" w:hAnsi="Arial" w:cs="Arial"/>
          <w:sz w:val="22"/>
          <w:szCs w:val="22"/>
        </w:rPr>
        <w:t xml:space="preserve">generadas diariamente por </w:t>
      </w:r>
      <w:r w:rsidR="006A62D2">
        <w:rPr>
          <w:rFonts w:ascii="Arial" w:hAnsi="Arial" w:cs="Arial"/>
          <w:sz w:val="22"/>
          <w:szCs w:val="22"/>
        </w:rPr>
        <w:t xml:space="preserve">los funcionarios de la </w:t>
      </w:r>
      <w:r w:rsidR="0046335B" w:rsidRPr="00AD11B7">
        <w:rPr>
          <w:rFonts w:ascii="Arial" w:hAnsi="Arial" w:cs="Arial"/>
          <w:sz w:val="22"/>
          <w:szCs w:val="22"/>
        </w:rPr>
        <w:t xml:space="preserve">Central de Cuentas de la Subdirección Financiera, está contemplado que dichas obligaciones sean revisadas por el Grupo de Contabilidad, </w:t>
      </w:r>
      <w:r w:rsidR="0065481C">
        <w:rPr>
          <w:rFonts w:ascii="Arial" w:hAnsi="Arial" w:cs="Arial"/>
          <w:sz w:val="22"/>
          <w:szCs w:val="22"/>
        </w:rPr>
        <w:t>con el fin</w:t>
      </w:r>
      <w:r w:rsidR="0046335B" w:rsidRPr="00AD11B7">
        <w:rPr>
          <w:rFonts w:ascii="Arial" w:hAnsi="Arial" w:cs="Arial"/>
          <w:sz w:val="22"/>
          <w:szCs w:val="22"/>
        </w:rPr>
        <w:t xml:space="preserve"> de garantizar su adecuada imputación contable. </w:t>
      </w:r>
    </w:p>
    <w:p w14:paraId="0920239D" w14:textId="77777777" w:rsidR="00EF6767" w:rsidRDefault="00EF6767" w:rsidP="00CA76B9">
      <w:pPr>
        <w:spacing w:line="288" w:lineRule="auto"/>
        <w:jc w:val="both"/>
        <w:rPr>
          <w:rFonts w:ascii="Arial" w:hAnsi="Arial" w:cs="Arial"/>
          <w:sz w:val="22"/>
          <w:szCs w:val="22"/>
        </w:rPr>
      </w:pPr>
    </w:p>
    <w:p w14:paraId="3102FF73" w14:textId="77777777" w:rsidR="0046335B" w:rsidRPr="00AD11B7" w:rsidRDefault="00EF6767" w:rsidP="00CA76B9">
      <w:pPr>
        <w:spacing w:line="288" w:lineRule="auto"/>
        <w:jc w:val="both"/>
        <w:rPr>
          <w:rFonts w:ascii="Arial" w:hAnsi="Arial" w:cs="Arial"/>
          <w:sz w:val="22"/>
          <w:szCs w:val="22"/>
        </w:rPr>
      </w:pPr>
      <w:r>
        <w:rPr>
          <w:rFonts w:ascii="Arial" w:hAnsi="Arial" w:cs="Arial"/>
          <w:sz w:val="22"/>
          <w:szCs w:val="22"/>
        </w:rPr>
        <w:t xml:space="preserve">Por lo </w:t>
      </w:r>
      <w:r w:rsidR="00AA638F">
        <w:rPr>
          <w:rFonts w:ascii="Arial" w:hAnsi="Arial" w:cs="Arial"/>
          <w:sz w:val="22"/>
          <w:szCs w:val="22"/>
        </w:rPr>
        <w:t xml:space="preserve">anterior, </w:t>
      </w:r>
      <w:r w:rsidR="0098644A">
        <w:rPr>
          <w:rFonts w:ascii="Arial" w:hAnsi="Arial" w:cs="Arial"/>
          <w:sz w:val="22"/>
          <w:szCs w:val="22"/>
        </w:rPr>
        <w:t>diariamente</w:t>
      </w:r>
      <w:r w:rsidR="0046335B" w:rsidRPr="00AD11B7">
        <w:rPr>
          <w:rFonts w:ascii="Arial" w:hAnsi="Arial" w:cs="Arial"/>
          <w:sz w:val="22"/>
          <w:szCs w:val="22"/>
        </w:rPr>
        <w:t xml:space="preserve"> se deben revisan los registros contables automáticos generados por las obligaciones de cuentas por pagar, contra los documentos soporte de las mismas</w:t>
      </w:r>
      <w:r w:rsidR="00192BFD" w:rsidRPr="00AD11B7">
        <w:rPr>
          <w:rFonts w:ascii="Arial" w:hAnsi="Arial" w:cs="Arial"/>
          <w:sz w:val="22"/>
          <w:szCs w:val="22"/>
        </w:rPr>
        <w:t>.</w:t>
      </w:r>
    </w:p>
    <w:p w14:paraId="5B0EA835" w14:textId="77777777" w:rsidR="0046335B" w:rsidRPr="00AD11B7" w:rsidRDefault="0046335B" w:rsidP="00CA76B9">
      <w:pPr>
        <w:spacing w:line="288" w:lineRule="auto"/>
        <w:jc w:val="both"/>
        <w:rPr>
          <w:rFonts w:ascii="Arial" w:hAnsi="Arial" w:cs="Arial"/>
          <w:sz w:val="22"/>
          <w:szCs w:val="22"/>
        </w:rPr>
      </w:pPr>
    </w:p>
    <w:p w14:paraId="5C57D364" w14:textId="77777777" w:rsidR="009509D9" w:rsidRDefault="009509D9" w:rsidP="00CA76B9">
      <w:pPr>
        <w:spacing w:line="288" w:lineRule="auto"/>
        <w:jc w:val="both"/>
        <w:rPr>
          <w:rFonts w:ascii="Arial" w:hAnsi="Arial" w:cs="Arial"/>
          <w:sz w:val="22"/>
          <w:szCs w:val="22"/>
        </w:rPr>
      </w:pPr>
      <w:r>
        <w:rPr>
          <w:rFonts w:ascii="Arial" w:hAnsi="Arial" w:cs="Arial"/>
          <w:sz w:val="22"/>
          <w:szCs w:val="22"/>
        </w:rPr>
        <w:t xml:space="preserve">Para establecer la adecuada imputación contable de las obligaciones </w:t>
      </w:r>
      <w:r w:rsidR="0098644A">
        <w:rPr>
          <w:rFonts w:ascii="Arial" w:hAnsi="Arial" w:cs="Arial"/>
          <w:sz w:val="22"/>
          <w:szCs w:val="22"/>
        </w:rPr>
        <w:t xml:space="preserve">presupuestales </w:t>
      </w:r>
      <w:r>
        <w:rPr>
          <w:rFonts w:ascii="Arial" w:hAnsi="Arial" w:cs="Arial"/>
          <w:sz w:val="22"/>
          <w:szCs w:val="22"/>
        </w:rPr>
        <w:t xml:space="preserve">registradas, se deben efectuar, entre otras, </w:t>
      </w:r>
      <w:r w:rsidR="0046335B" w:rsidRPr="00AD11B7">
        <w:rPr>
          <w:rFonts w:ascii="Arial" w:hAnsi="Arial" w:cs="Arial"/>
          <w:sz w:val="22"/>
          <w:szCs w:val="22"/>
        </w:rPr>
        <w:t>las</w:t>
      </w:r>
      <w:r>
        <w:rPr>
          <w:rFonts w:ascii="Arial" w:hAnsi="Arial" w:cs="Arial"/>
          <w:sz w:val="22"/>
          <w:szCs w:val="22"/>
        </w:rPr>
        <w:t xml:space="preserve"> siguientes </w:t>
      </w:r>
      <w:r w:rsidR="0046335B" w:rsidRPr="00AD11B7">
        <w:rPr>
          <w:rFonts w:ascii="Arial" w:hAnsi="Arial" w:cs="Arial"/>
          <w:sz w:val="22"/>
          <w:szCs w:val="22"/>
        </w:rPr>
        <w:t>actividades</w:t>
      </w:r>
      <w:r>
        <w:rPr>
          <w:rFonts w:ascii="Arial" w:hAnsi="Arial" w:cs="Arial"/>
          <w:sz w:val="22"/>
          <w:szCs w:val="22"/>
        </w:rPr>
        <w:t>:</w:t>
      </w:r>
    </w:p>
    <w:p w14:paraId="305590E0" w14:textId="77777777" w:rsidR="0046335B" w:rsidRPr="00AD11B7" w:rsidRDefault="009509D9" w:rsidP="00CA76B9">
      <w:pPr>
        <w:spacing w:line="288" w:lineRule="auto"/>
        <w:jc w:val="both"/>
        <w:rPr>
          <w:rFonts w:ascii="Arial" w:hAnsi="Arial" w:cs="Arial"/>
          <w:sz w:val="22"/>
          <w:szCs w:val="22"/>
        </w:rPr>
      </w:pPr>
      <w:r w:rsidRPr="00AD11B7">
        <w:rPr>
          <w:rFonts w:ascii="Arial" w:hAnsi="Arial" w:cs="Arial"/>
          <w:sz w:val="22"/>
          <w:szCs w:val="22"/>
        </w:rPr>
        <w:t xml:space="preserve"> </w:t>
      </w:r>
    </w:p>
    <w:p w14:paraId="5DA3AA47" w14:textId="77777777" w:rsidR="0046335B" w:rsidRPr="00AD11B7" w:rsidRDefault="0046335B" w:rsidP="00CA76B9">
      <w:pPr>
        <w:pStyle w:val="Prrafodelista"/>
        <w:numPr>
          <w:ilvl w:val="0"/>
          <w:numId w:val="6"/>
        </w:numPr>
        <w:spacing w:line="288" w:lineRule="auto"/>
        <w:jc w:val="both"/>
        <w:rPr>
          <w:rFonts w:ascii="Arial" w:hAnsi="Arial" w:cs="Arial"/>
          <w:sz w:val="22"/>
          <w:szCs w:val="22"/>
        </w:rPr>
      </w:pPr>
      <w:r w:rsidRPr="00AD11B7">
        <w:rPr>
          <w:rFonts w:ascii="Arial" w:hAnsi="Arial" w:cs="Arial"/>
          <w:sz w:val="22"/>
          <w:szCs w:val="22"/>
        </w:rPr>
        <w:t xml:space="preserve">Revisión </w:t>
      </w:r>
      <w:r w:rsidR="00BC0A32">
        <w:rPr>
          <w:rFonts w:ascii="Arial" w:hAnsi="Arial" w:cs="Arial"/>
          <w:sz w:val="22"/>
          <w:szCs w:val="22"/>
        </w:rPr>
        <w:t>de</w:t>
      </w:r>
      <w:r w:rsidRPr="00AD11B7">
        <w:rPr>
          <w:rFonts w:ascii="Arial" w:hAnsi="Arial" w:cs="Arial"/>
          <w:sz w:val="22"/>
          <w:szCs w:val="22"/>
        </w:rPr>
        <w:t xml:space="preserve"> las obligaciones de cuentas por pagar con el fin </w:t>
      </w:r>
      <w:r w:rsidR="00BC0A32">
        <w:rPr>
          <w:rFonts w:ascii="Arial" w:hAnsi="Arial" w:cs="Arial"/>
          <w:sz w:val="22"/>
          <w:szCs w:val="22"/>
        </w:rPr>
        <w:t xml:space="preserve">de identificar </w:t>
      </w:r>
      <w:r w:rsidRPr="00AD11B7">
        <w:rPr>
          <w:rFonts w:ascii="Arial" w:hAnsi="Arial" w:cs="Arial"/>
          <w:sz w:val="22"/>
          <w:szCs w:val="22"/>
        </w:rPr>
        <w:t>aquellas cuyo registro contable se encuentre errado o mal parametrizado.</w:t>
      </w:r>
    </w:p>
    <w:p w14:paraId="6AC85BE1" w14:textId="77777777" w:rsidR="0046335B" w:rsidRPr="00AD11B7" w:rsidRDefault="0046335B" w:rsidP="00CA76B9">
      <w:pPr>
        <w:spacing w:line="288" w:lineRule="auto"/>
        <w:jc w:val="both"/>
        <w:rPr>
          <w:rFonts w:ascii="Arial" w:hAnsi="Arial" w:cs="Arial"/>
          <w:sz w:val="22"/>
          <w:szCs w:val="22"/>
        </w:rPr>
      </w:pPr>
    </w:p>
    <w:p w14:paraId="2379AAC5" w14:textId="77777777" w:rsidR="0046335B" w:rsidRPr="00AD11B7" w:rsidRDefault="0046335B" w:rsidP="00CA76B9">
      <w:pPr>
        <w:pStyle w:val="Prrafodelista"/>
        <w:numPr>
          <w:ilvl w:val="0"/>
          <w:numId w:val="6"/>
        </w:numPr>
        <w:spacing w:line="288" w:lineRule="auto"/>
        <w:jc w:val="both"/>
        <w:rPr>
          <w:rFonts w:ascii="Arial" w:hAnsi="Arial" w:cs="Arial"/>
          <w:sz w:val="22"/>
          <w:szCs w:val="22"/>
        </w:rPr>
      </w:pPr>
      <w:r w:rsidRPr="00AD11B7">
        <w:rPr>
          <w:rFonts w:ascii="Arial" w:hAnsi="Arial" w:cs="Arial"/>
          <w:sz w:val="22"/>
          <w:szCs w:val="22"/>
        </w:rPr>
        <w:t>Elaboración del ajuste contable manual a la obligación</w:t>
      </w:r>
      <w:r w:rsidR="0098644A">
        <w:rPr>
          <w:rFonts w:ascii="Arial" w:hAnsi="Arial" w:cs="Arial"/>
          <w:sz w:val="22"/>
          <w:szCs w:val="22"/>
        </w:rPr>
        <w:t xml:space="preserve"> presupuestal </w:t>
      </w:r>
      <w:r w:rsidRPr="00AD11B7">
        <w:rPr>
          <w:rFonts w:ascii="Arial" w:hAnsi="Arial" w:cs="Arial"/>
          <w:sz w:val="22"/>
          <w:szCs w:val="22"/>
        </w:rPr>
        <w:t>de cuentas por pagar por errada afectación de tercero o cuenta contable.</w:t>
      </w:r>
    </w:p>
    <w:p w14:paraId="0D990DED" w14:textId="77777777" w:rsidR="00BC0A32" w:rsidRDefault="00BC0A32" w:rsidP="00CA76B9">
      <w:pPr>
        <w:spacing w:line="288" w:lineRule="auto"/>
        <w:jc w:val="both"/>
        <w:rPr>
          <w:rFonts w:ascii="Arial" w:hAnsi="Arial" w:cs="Arial"/>
          <w:sz w:val="22"/>
          <w:szCs w:val="22"/>
        </w:rPr>
      </w:pPr>
    </w:p>
    <w:p w14:paraId="43B80614" w14:textId="3ABBE560" w:rsidR="0046335B" w:rsidRDefault="0046335B" w:rsidP="00CA76B9">
      <w:pPr>
        <w:spacing w:line="288" w:lineRule="auto"/>
        <w:jc w:val="both"/>
        <w:rPr>
          <w:rFonts w:ascii="Arial" w:hAnsi="Arial" w:cs="Arial"/>
          <w:sz w:val="22"/>
          <w:szCs w:val="22"/>
        </w:rPr>
      </w:pPr>
      <w:r w:rsidRPr="00AD11B7">
        <w:rPr>
          <w:rFonts w:ascii="Arial" w:hAnsi="Arial" w:cs="Arial"/>
          <w:sz w:val="22"/>
          <w:szCs w:val="22"/>
        </w:rPr>
        <w:t xml:space="preserve">Una vez efectuado el ajuste de corrección de la información, se debe verificar la adecuada imputación de los registros, </w:t>
      </w:r>
      <w:r w:rsidR="00C97176">
        <w:rPr>
          <w:rFonts w:ascii="Arial" w:hAnsi="Arial" w:cs="Arial"/>
          <w:sz w:val="22"/>
          <w:szCs w:val="22"/>
        </w:rPr>
        <w:t>y generar</w:t>
      </w:r>
      <w:r w:rsidRPr="00AD11B7">
        <w:rPr>
          <w:rFonts w:ascii="Arial" w:hAnsi="Arial" w:cs="Arial"/>
          <w:sz w:val="22"/>
          <w:szCs w:val="22"/>
        </w:rPr>
        <w:t xml:space="preserve"> el respectivo comprobante contable. </w:t>
      </w:r>
      <w:bookmarkStart w:id="270" w:name="_Toc397936289"/>
    </w:p>
    <w:p w14:paraId="05CE03F6" w14:textId="77777777" w:rsidR="00B53C8C" w:rsidRDefault="00B53C8C" w:rsidP="00CA76B9">
      <w:pPr>
        <w:spacing w:line="288" w:lineRule="auto"/>
        <w:jc w:val="both"/>
        <w:rPr>
          <w:rFonts w:ascii="Arial" w:hAnsi="Arial" w:cs="Arial"/>
          <w:sz w:val="22"/>
          <w:szCs w:val="22"/>
        </w:rPr>
      </w:pPr>
    </w:p>
    <w:p w14:paraId="4B7AADE9" w14:textId="56691917" w:rsidR="00B53C8C" w:rsidRDefault="00B53C8C" w:rsidP="00CA76B9">
      <w:pPr>
        <w:spacing w:line="288" w:lineRule="auto"/>
        <w:jc w:val="both"/>
        <w:rPr>
          <w:rFonts w:ascii="Arial" w:hAnsi="Arial" w:cs="Arial"/>
          <w:sz w:val="22"/>
          <w:szCs w:val="22"/>
        </w:rPr>
      </w:pPr>
      <w:r>
        <w:rPr>
          <w:rFonts w:ascii="Arial" w:hAnsi="Arial" w:cs="Arial"/>
          <w:sz w:val="22"/>
          <w:szCs w:val="22"/>
        </w:rPr>
        <w:t xml:space="preserve">De otra parte, en cumplimiento del principio de causación establecido </w:t>
      </w:r>
      <w:r w:rsidR="00113B7C">
        <w:rPr>
          <w:rFonts w:ascii="Arial" w:hAnsi="Arial" w:cs="Arial"/>
          <w:sz w:val="22"/>
          <w:szCs w:val="22"/>
        </w:rPr>
        <w:t>en el Marco Normativo Contable aplicable a las entidades de Gobierno</w:t>
      </w:r>
      <w:r w:rsidR="003E18DF">
        <w:rPr>
          <w:rFonts w:ascii="Arial" w:hAnsi="Arial" w:cs="Arial"/>
          <w:sz w:val="22"/>
          <w:szCs w:val="22"/>
        </w:rPr>
        <w:t xml:space="preserve">, y con independencia de la ejecución del presupuesto de gastos, </w:t>
      </w:r>
      <w:r w:rsidR="00113B7C">
        <w:rPr>
          <w:rFonts w:ascii="Arial" w:hAnsi="Arial" w:cs="Arial"/>
          <w:sz w:val="22"/>
          <w:szCs w:val="22"/>
        </w:rPr>
        <w:t xml:space="preserve">el Ministerio </w:t>
      </w:r>
      <w:r w:rsidR="003E18DF">
        <w:rPr>
          <w:rFonts w:ascii="Arial" w:hAnsi="Arial" w:cs="Arial"/>
          <w:sz w:val="22"/>
          <w:szCs w:val="22"/>
        </w:rPr>
        <w:t xml:space="preserve">de Hacienda y Crédito Público </w:t>
      </w:r>
      <w:r w:rsidR="00113B7C">
        <w:rPr>
          <w:rFonts w:ascii="Arial" w:hAnsi="Arial" w:cs="Arial"/>
          <w:sz w:val="22"/>
          <w:szCs w:val="22"/>
        </w:rPr>
        <w:t>reflejará en sus estados financieros</w:t>
      </w:r>
      <w:r w:rsidR="003E18DF">
        <w:rPr>
          <w:rFonts w:ascii="Arial" w:hAnsi="Arial" w:cs="Arial"/>
          <w:sz w:val="22"/>
          <w:szCs w:val="22"/>
        </w:rPr>
        <w:t xml:space="preserve"> las obligaciones que surjan con motivo de </w:t>
      </w:r>
      <w:r w:rsidR="00113B7C">
        <w:rPr>
          <w:rFonts w:ascii="Arial" w:hAnsi="Arial" w:cs="Arial"/>
          <w:sz w:val="22"/>
          <w:szCs w:val="22"/>
        </w:rPr>
        <w:t>los bienes y servicios recibidos a satisfacción a 31 de diciembre de</w:t>
      </w:r>
      <w:r w:rsidR="003E18DF">
        <w:rPr>
          <w:rFonts w:ascii="Arial" w:hAnsi="Arial" w:cs="Arial"/>
          <w:sz w:val="22"/>
          <w:szCs w:val="22"/>
        </w:rPr>
        <w:t xml:space="preserve"> cada vigencia fiscal. </w:t>
      </w:r>
      <w:r w:rsidR="00113B7C">
        <w:rPr>
          <w:rFonts w:ascii="Arial" w:hAnsi="Arial" w:cs="Arial"/>
          <w:sz w:val="22"/>
          <w:szCs w:val="22"/>
        </w:rPr>
        <w:t xml:space="preserve">  </w:t>
      </w:r>
    </w:p>
    <w:p w14:paraId="3C6EB0AA" w14:textId="77777777" w:rsidR="00C223CA" w:rsidRDefault="00C223CA" w:rsidP="00CA76B9">
      <w:pPr>
        <w:spacing w:line="288" w:lineRule="auto"/>
        <w:jc w:val="both"/>
        <w:rPr>
          <w:rFonts w:ascii="Arial" w:hAnsi="Arial" w:cs="Arial"/>
          <w:sz w:val="22"/>
          <w:szCs w:val="22"/>
        </w:rPr>
      </w:pPr>
    </w:p>
    <w:p w14:paraId="7D7C4E9C" w14:textId="77777777" w:rsidR="00C223CA" w:rsidRPr="002C7D53" w:rsidRDefault="00C223CA" w:rsidP="00CA76B9">
      <w:pPr>
        <w:pStyle w:val="Ttulo2"/>
        <w:numPr>
          <w:ilvl w:val="1"/>
          <w:numId w:val="1"/>
        </w:numPr>
        <w:spacing w:line="288" w:lineRule="auto"/>
        <w:ind w:left="426" w:hanging="426"/>
        <w:rPr>
          <w:rFonts w:ascii="Arial" w:hAnsi="Arial" w:cs="Arial"/>
          <w:sz w:val="22"/>
          <w:szCs w:val="22"/>
        </w:rPr>
      </w:pPr>
      <w:bookmarkStart w:id="271" w:name="_Toc59377863"/>
      <w:r w:rsidRPr="002C7D53">
        <w:rPr>
          <w:rFonts w:ascii="Arial" w:hAnsi="Arial" w:cs="Arial"/>
          <w:sz w:val="22"/>
          <w:szCs w:val="22"/>
        </w:rPr>
        <w:t>Operatividad contable por temas</w:t>
      </w:r>
      <w:bookmarkEnd w:id="271"/>
      <w:r w:rsidRPr="002C7D53">
        <w:rPr>
          <w:rFonts w:ascii="Arial" w:hAnsi="Arial" w:cs="Arial"/>
          <w:sz w:val="22"/>
          <w:szCs w:val="22"/>
        </w:rPr>
        <w:t xml:space="preserve"> </w:t>
      </w:r>
    </w:p>
    <w:p w14:paraId="58E36301" w14:textId="77777777" w:rsidR="00C223CA" w:rsidRDefault="00C223CA" w:rsidP="00CA76B9">
      <w:pPr>
        <w:spacing w:line="288" w:lineRule="auto"/>
        <w:rPr>
          <w:highlight w:val="yellow"/>
        </w:rPr>
      </w:pPr>
    </w:p>
    <w:p w14:paraId="1ED0146B" w14:textId="5033DFBC" w:rsidR="00B3164A" w:rsidRPr="00982753" w:rsidRDefault="00B3164A" w:rsidP="00CA76B9">
      <w:pPr>
        <w:spacing w:line="288" w:lineRule="auto"/>
        <w:jc w:val="both"/>
        <w:rPr>
          <w:rFonts w:ascii="Arial" w:hAnsi="Arial" w:cs="Arial"/>
          <w:sz w:val="22"/>
          <w:szCs w:val="22"/>
        </w:rPr>
      </w:pPr>
      <w:r>
        <w:rPr>
          <w:rFonts w:ascii="Arial" w:hAnsi="Arial" w:cs="Arial"/>
          <w:sz w:val="22"/>
          <w:szCs w:val="22"/>
        </w:rPr>
        <w:t>Como complemento de las políticas establecidas mediante Resolución 3849 de 2018</w:t>
      </w:r>
      <w:r w:rsidR="001D0525">
        <w:rPr>
          <w:rFonts w:ascii="Arial" w:hAnsi="Arial" w:cs="Arial"/>
          <w:sz w:val="22"/>
          <w:szCs w:val="22"/>
        </w:rPr>
        <w:t xml:space="preserve"> (y sus actualizaciones)</w:t>
      </w:r>
      <w:r w:rsidR="00AB2805">
        <w:rPr>
          <w:rFonts w:ascii="Arial" w:hAnsi="Arial" w:cs="Arial"/>
          <w:sz w:val="22"/>
          <w:szCs w:val="22"/>
        </w:rPr>
        <w:t xml:space="preserve">, </w:t>
      </w:r>
      <w:r w:rsidR="00AB2805" w:rsidRPr="0084393E">
        <w:rPr>
          <w:rFonts w:ascii="Arial" w:hAnsi="Arial" w:cs="Arial"/>
          <w:i/>
          <w:iCs/>
          <w:sz w:val="22"/>
          <w:szCs w:val="22"/>
        </w:rPr>
        <w:t xml:space="preserve">“Por la cual se adopta el Manual de Políticas Contables de la Entidad Contable Pública Ministerio de Hacienda y Crédito Público </w:t>
      </w:r>
      <w:r w:rsidR="00E23D1B" w:rsidRPr="0084393E">
        <w:rPr>
          <w:rFonts w:ascii="Arial" w:hAnsi="Arial" w:cs="Arial"/>
          <w:i/>
          <w:iCs/>
          <w:sz w:val="22"/>
          <w:szCs w:val="22"/>
        </w:rPr>
        <w:t>– Gestión General”</w:t>
      </w:r>
      <w:r w:rsidR="00100523" w:rsidRPr="0084393E">
        <w:rPr>
          <w:rFonts w:ascii="Arial" w:hAnsi="Arial" w:cs="Arial"/>
          <w:i/>
          <w:iCs/>
          <w:sz w:val="22"/>
          <w:szCs w:val="22"/>
        </w:rPr>
        <w:t>,</w:t>
      </w:r>
      <w:r w:rsidR="00100523">
        <w:rPr>
          <w:rFonts w:ascii="Arial" w:hAnsi="Arial" w:cs="Arial"/>
          <w:sz w:val="22"/>
          <w:szCs w:val="22"/>
        </w:rPr>
        <w:t xml:space="preserve"> a</w:t>
      </w:r>
      <w:r w:rsidRPr="00982753">
        <w:rPr>
          <w:rFonts w:ascii="Arial" w:hAnsi="Arial" w:cs="Arial"/>
          <w:sz w:val="22"/>
          <w:szCs w:val="22"/>
        </w:rPr>
        <w:t xml:space="preserve"> </w:t>
      </w:r>
      <w:proofErr w:type="gramStart"/>
      <w:r w:rsidRPr="00982753">
        <w:rPr>
          <w:rFonts w:ascii="Arial" w:hAnsi="Arial" w:cs="Arial"/>
          <w:sz w:val="22"/>
          <w:szCs w:val="22"/>
        </w:rPr>
        <w:t>continuación</w:t>
      </w:r>
      <w:proofErr w:type="gramEnd"/>
      <w:r w:rsidRPr="00982753">
        <w:rPr>
          <w:rFonts w:ascii="Arial" w:hAnsi="Arial" w:cs="Arial"/>
          <w:sz w:val="22"/>
          <w:szCs w:val="22"/>
        </w:rPr>
        <w:t xml:space="preserve"> se presentan las políticas </w:t>
      </w:r>
      <w:r>
        <w:rPr>
          <w:rFonts w:ascii="Arial" w:hAnsi="Arial" w:cs="Arial"/>
          <w:sz w:val="22"/>
          <w:szCs w:val="22"/>
        </w:rPr>
        <w:t xml:space="preserve">operativas </w:t>
      </w:r>
      <w:r w:rsidRPr="00982753">
        <w:rPr>
          <w:rFonts w:ascii="Arial" w:hAnsi="Arial" w:cs="Arial"/>
          <w:sz w:val="22"/>
          <w:szCs w:val="22"/>
        </w:rPr>
        <w:t xml:space="preserve">que deben ser tenidas en cuenta para el registro y conciliación de algunos conceptos y/o temas manejados por el </w:t>
      </w:r>
      <w:r w:rsidR="009D034C">
        <w:rPr>
          <w:rFonts w:ascii="Arial" w:hAnsi="Arial" w:cs="Arial"/>
          <w:sz w:val="22"/>
          <w:szCs w:val="22"/>
        </w:rPr>
        <w:t>MHCP</w:t>
      </w:r>
      <w:r w:rsidRPr="00982753">
        <w:rPr>
          <w:rFonts w:ascii="Arial" w:hAnsi="Arial" w:cs="Arial"/>
          <w:sz w:val="22"/>
          <w:szCs w:val="22"/>
        </w:rPr>
        <w:t xml:space="preserve">. </w:t>
      </w:r>
    </w:p>
    <w:p w14:paraId="265A0345" w14:textId="77777777" w:rsidR="00C223CA" w:rsidRPr="00CB3572" w:rsidRDefault="00C223CA" w:rsidP="00CA76B9">
      <w:pPr>
        <w:spacing w:line="288" w:lineRule="auto"/>
        <w:rPr>
          <w:highlight w:val="yellow"/>
        </w:rPr>
      </w:pPr>
    </w:p>
    <w:p w14:paraId="663C22BD" w14:textId="3330D8F5" w:rsidR="00C223CA" w:rsidRPr="00CB3572" w:rsidRDefault="00C10D44" w:rsidP="00CA76B9">
      <w:pPr>
        <w:spacing w:line="288" w:lineRule="auto"/>
        <w:jc w:val="both"/>
        <w:rPr>
          <w:rFonts w:ascii="Arial" w:hAnsi="Arial" w:cs="Arial"/>
          <w:sz w:val="22"/>
          <w:szCs w:val="22"/>
        </w:rPr>
      </w:pPr>
      <w:r w:rsidRPr="00CB3572">
        <w:rPr>
          <w:rFonts w:ascii="Arial" w:hAnsi="Arial" w:cs="Arial"/>
          <w:sz w:val="22"/>
          <w:szCs w:val="22"/>
        </w:rPr>
        <w:t xml:space="preserve">Al respecto, </w:t>
      </w:r>
      <w:r>
        <w:rPr>
          <w:rFonts w:ascii="Arial" w:hAnsi="Arial" w:cs="Arial"/>
          <w:sz w:val="22"/>
          <w:szCs w:val="22"/>
        </w:rPr>
        <w:t xml:space="preserve">cabe precisar que los plazos para la recepción y conciliación de información están definidos en el numeral </w:t>
      </w:r>
      <w:r w:rsidRPr="00CB3572">
        <w:rPr>
          <w:rFonts w:ascii="Arial" w:hAnsi="Arial" w:cs="Arial"/>
          <w:b/>
          <w:sz w:val="22"/>
          <w:szCs w:val="22"/>
        </w:rPr>
        <w:t>7.1.6. Cronograma contable</w:t>
      </w:r>
      <w:r>
        <w:rPr>
          <w:rFonts w:ascii="Arial" w:hAnsi="Arial" w:cs="Arial"/>
          <w:b/>
          <w:sz w:val="22"/>
          <w:szCs w:val="22"/>
        </w:rPr>
        <w:t xml:space="preserve"> </w:t>
      </w:r>
      <w:r>
        <w:rPr>
          <w:rFonts w:ascii="Arial" w:hAnsi="Arial" w:cs="Arial"/>
          <w:sz w:val="22"/>
          <w:szCs w:val="22"/>
        </w:rPr>
        <w:t xml:space="preserve">en el cuadro denominado </w:t>
      </w:r>
      <w:r>
        <w:rPr>
          <w:rFonts w:ascii="Arial" w:hAnsi="Arial" w:cs="Arial"/>
          <w:i/>
          <w:sz w:val="22"/>
          <w:szCs w:val="22"/>
        </w:rPr>
        <w:t>Plazos para la realización de actividades.</w:t>
      </w:r>
      <w:r w:rsidRPr="00CB3572">
        <w:rPr>
          <w:rFonts w:ascii="Arial" w:hAnsi="Arial" w:cs="Arial"/>
          <w:b/>
          <w:sz w:val="22"/>
          <w:szCs w:val="22"/>
        </w:rPr>
        <w:t xml:space="preserve"> </w:t>
      </w:r>
    </w:p>
    <w:p w14:paraId="20D0D50A" w14:textId="77777777" w:rsidR="00C10D44" w:rsidRPr="00CB3572" w:rsidRDefault="00C10D44" w:rsidP="00CA76B9">
      <w:pPr>
        <w:spacing w:line="288" w:lineRule="auto"/>
        <w:jc w:val="both"/>
        <w:rPr>
          <w:rFonts w:ascii="Arial" w:hAnsi="Arial" w:cs="Arial"/>
          <w:b/>
          <w:sz w:val="22"/>
          <w:szCs w:val="22"/>
        </w:rPr>
      </w:pPr>
    </w:p>
    <w:p w14:paraId="2E9F82AB" w14:textId="3707E68F" w:rsidR="00F47DB4" w:rsidRDefault="008805E7" w:rsidP="00CA76B9">
      <w:pPr>
        <w:pStyle w:val="Ttulo3"/>
        <w:numPr>
          <w:ilvl w:val="2"/>
          <w:numId w:val="1"/>
        </w:numPr>
        <w:spacing w:line="288" w:lineRule="auto"/>
        <w:rPr>
          <w:rFonts w:ascii="Arial" w:hAnsi="Arial" w:cs="Arial"/>
          <w:b/>
          <w:sz w:val="22"/>
          <w:szCs w:val="22"/>
        </w:rPr>
      </w:pPr>
      <w:bookmarkStart w:id="272" w:name="_Toc59377864"/>
      <w:r w:rsidRPr="00CB3572">
        <w:rPr>
          <w:rFonts w:ascii="Arial" w:hAnsi="Arial" w:cs="Arial"/>
          <w:b/>
          <w:sz w:val="22"/>
          <w:szCs w:val="22"/>
        </w:rPr>
        <w:lastRenderedPageBreak/>
        <w:t>Efectivo y equivalentes al efectivo</w:t>
      </w:r>
      <w:bookmarkEnd w:id="272"/>
      <w:r w:rsidRPr="00CB3572">
        <w:rPr>
          <w:rFonts w:ascii="Arial" w:hAnsi="Arial" w:cs="Arial"/>
          <w:b/>
          <w:sz w:val="22"/>
          <w:szCs w:val="22"/>
        </w:rPr>
        <w:t xml:space="preserve"> </w:t>
      </w:r>
    </w:p>
    <w:p w14:paraId="1FE8FE72" w14:textId="33FD22A8" w:rsidR="008805E7" w:rsidRDefault="008805E7" w:rsidP="00CA76B9">
      <w:pPr>
        <w:spacing w:line="288" w:lineRule="auto"/>
        <w:ind w:left="4755"/>
        <w:jc w:val="both"/>
        <w:rPr>
          <w:rFonts w:ascii="Arial" w:hAnsi="Arial" w:cs="Arial"/>
          <w:sz w:val="22"/>
          <w:szCs w:val="22"/>
        </w:rPr>
      </w:pPr>
    </w:p>
    <w:p w14:paraId="31C29EF8" w14:textId="3D1094D1" w:rsidR="008805E7" w:rsidRPr="00EC6EE7" w:rsidRDefault="00D82AD4" w:rsidP="00CA76B9">
      <w:pPr>
        <w:spacing w:line="288" w:lineRule="auto"/>
        <w:jc w:val="both"/>
        <w:rPr>
          <w:rFonts w:ascii="Arial" w:hAnsi="Arial" w:cs="Arial"/>
          <w:sz w:val="22"/>
          <w:szCs w:val="22"/>
          <w:lang w:val="es-ES_tradnl" w:eastAsia="es-CO"/>
        </w:rPr>
      </w:pPr>
      <w:r w:rsidRPr="00E82C04">
        <w:rPr>
          <w:rFonts w:ascii="Arial" w:hAnsi="Arial" w:cs="Arial"/>
          <w:sz w:val="22"/>
          <w:szCs w:val="22"/>
          <w:lang w:val="es-ES_tradnl" w:eastAsia="es-CO"/>
        </w:rPr>
        <w:t>De acuerdo con lo señalado en el Manual de Políticas Contables, a</w:t>
      </w:r>
      <w:r w:rsidR="008805E7" w:rsidRPr="00E82C04">
        <w:rPr>
          <w:rFonts w:ascii="Arial" w:hAnsi="Arial" w:cs="Arial"/>
          <w:sz w:val="22"/>
          <w:szCs w:val="22"/>
          <w:lang w:val="es-ES_tradnl" w:eastAsia="es-CO"/>
        </w:rPr>
        <w:t xml:space="preserve"> </w:t>
      </w:r>
      <w:proofErr w:type="gramStart"/>
      <w:r w:rsidR="008805E7" w:rsidRPr="00E82C04">
        <w:rPr>
          <w:rFonts w:ascii="Arial" w:hAnsi="Arial" w:cs="Arial"/>
          <w:sz w:val="22"/>
          <w:szCs w:val="22"/>
          <w:lang w:val="es-ES_tradnl" w:eastAsia="es-CO"/>
        </w:rPr>
        <w:t>continuación</w:t>
      </w:r>
      <w:proofErr w:type="gramEnd"/>
      <w:r w:rsidR="008805E7" w:rsidRPr="00E82C04">
        <w:rPr>
          <w:rFonts w:ascii="Arial" w:hAnsi="Arial" w:cs="Arial"/>
          <w:sz w:val="22"/>
          <w:szCs w:val="22"/>
          <w:lang w:val="es-ES_tradnl" w:eastAsia="es-CO"/>
        </w:rPr>
        <w:t xml:space="preserve"> se presentan las principales actividades que se deben llevar a cabo para el cumplimiento de la política</w:t>
      </w:r>
      <w:r w:rsidRPr="00E82C04">
        <w:rPr>
          <w:rFonts w:ascii="Arial" w:hAnsi="Arial" w:cs="Arial"/>
          <w:sz w:val="22"/>
          <w:szCs w:val="22"/>
          <w:lang w:val="es-ES_tradnl" w:eastAsia="es-CO"/>
        </w:rPr>
        <w:t xml:space="preserve"> de efectivo y equivalentes al efectivo</w:t>
      </w:r>
      <w:r w:rsidR="008805E7" w:rsidRPr="00E82C04">
        <w:rPr>
          <w:rFonts w:ascii="Arial" w:hAnsi="Arial" w:cs="Arial"/>
          <w:sz w:val="22"/>
          <w:szCs w:val="22"/>
          <w:lang w:val="es-ES_tradnl" w:eastAsia="es-CO"/>
        </w:rPr>
        <w:t>:</w:t>
      </w:r>
      <w:r w:rsidR="008805E7" w:rsidRPr="00EC6EE7">
        <w:rPr>
          <w:rFonts w:ascii="Arial" w:hAnsi="Arial" w:cs="Arial"/>
          <w:sz w:val="22"/>
          <w:szCs w:val="22"/>
          <w:lang w:val="es-ES_tradnl" w:eastAsia="es-CO"/>
        </w:rPr>
        <w:t xml:space="preserve"> </w:t>
      </w:r>
    </w:p>
    <w:p w14:paraId="28124C2F" w14:textId="77777777" w:rsidR="00366ABD" w:rsidRPr="00EC6EE7" w:rsidRDefault="00366ABD" w:rsidP="008805E7">
      <w:pPr>
        <w:spacing w:line="288" w:lineRule="auto"/>
        <w:jc w:val="both"/>
        <w:rPr>
          <w:rFonts w:ascii="Arial" w:hAnsi="Arial" w:cs="Arial"/>
          <w:sz w:val="22"/>
          <w:szCs w:val="22"/>
          <w:lang w:val="es-ES_tradnl" w:eastAsia="es-CO"/>
        </w:rPr>
      </w:pPr>
    </w:p>
    <w:tbl>
      <w:tblPr>
        <w:tblW w:w="0" w:type="auto"/>
        <w:jc w:val="center"/>
        <w:tblBorders>
          <w:top w:val="single" w:sz="12" w:space="0" w:color="3366CC"/>
          <w:bottom w:val="single" w:sz="12" w:space="0" w:color="3366CC"/>
          <w:insideH w:val="single" w:sz="12" w:space="0" w:color="3366CC"/>
        </w:tblBorders>
        <w:tblLook w:val="0420" w:firstRow="1" w:lastRow="0" w:firstColumn="0" w:lastColumn="0" w:noHBand="0" w:noVBand="1"/>
      </w:tblPr>
      <w:tblGrid>
        <w:gridCol w:w="2350"/>
        <w:gridCol w:w="6490"/>
      </w:tblGrid>
      <w:tr w:rsidR="008805E7" w:rsidRPr="00EC6EE7" w14:paraId="3C57887A" w14:textId="77777777" w:rsidTr="00023705">
        <w:trPr>
          <w:tblHeader/>
          <w:jc w:val="center"/>
        </w:trPr>
        <w:tc>
          <w:tcPr>
            <w:tcW w:w="2376" w:type="dxa"/>
            <w:shd w:val="clear" w:color="2F5395" w:fill="3366CC"/>
            <w:vAlign w:val="center"/>
          </w:tcPr>
          <w:p w14:paraId="09A999DD" w14:textId="77777777" w:rsidR="008805E7" w:rsidRPr="001A68E7" w:rsidRDefault="008805E7" w:rsidP="00473D4A">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604" w:type="dxa"/>
            <w:shd w:val="clear" w:color="2F5395" w:fill="3366CC"/>
            <w:vAlign w:val="center"/>
          </w:tcPr>
          <w:p w14:paraId="4A80700D" w14:textId="77777777" w:rsidR="008805E7" w:rsidRPr="001A68E7" w:rsidRDefault="008805E7" w:rsidP="00473D4A">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8805E7" w:rsidRPr="00EC6EE7" w14:paraId="0E468ADF" w14:textId="77777777" w:rsidTr="00CB3572">
        <w:trPr>
          <w:trHeight w:val="474"/>
          <w:jc w:val="center"/>
        </w:trPr>
        <w:tc>
          <w:tcPr>
            <w:tcW w:w="2376" w:type="dxa"/>
            <w:shd w:val="pct20" w:color="FFFFFF" w:fill="FFFFFF"/>
            <w:vAlign w:val="center"/>
          </w:tcPr>
          <w:p w14:paraId="051B7D6D" w14:textId="77777777" w:rsidR="008805E7" w:rsidRPr="00CB3572" w:rsidRDefault="008805E7" w:rsidP="00473D4A">
            <w:pPr>
              <w:spacing w:line="288" w:lineRule="auto"/>
              <w:jc w:val="center"/>
              <w:rPr>
                <w:rFonts w:ascii="Arial" w:hAnsi="Arial" w:cs="Arial"/>
                <w:b/>
                <w:sz w:val="18"/>
                <w:szCs w:val="18"/>
                <w:lang w:val="es-ES_tradnl" w:eastAsia="es-CO"/>
              </w:rPr>
            </w:pPr>
            <w:r w:rsidRPr="00CB3572">
              <w:rPr>
                <w:rFonts w:ascii="Arial" w:hAnsi="Arial" w:cs="Arial"/>
                <w:b/>
                <w:sz w:val="18"/>
                <w:szCs w:val="18"/>
                <w:lang w:val="es-ES_tradnl" w:eastAsia="es-CO"/>
              </w:rPr>
              <w:t>Grupo de Pagaduría</w:t>
            </w:r>
          </w:p>
        </w:tc>
        <w:tc>
          <w:tcPr>
            <w:tcW w:w="6604" w:type="dxa"/>
            <w:shd w:val="pct20" w:color="FFFFFF" w:fill="FFFFFF"/>
            <w:vAlign w:val="center"/>
          </w:tcPr>
          <w:p w14:paraId="0AA76E8E"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Depurar y aclarar (en los casos que resulte necesario) las partidas de efectivo a cargo del área, indicando los casos que requieran un tratamiento especial. </w:t>
            </w:r>
          </w:p>
          <w:p w14:paraId="5448FAA7"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Gestionar los recursos ante la </w:t>
            </w:r>
            <w:r w:rsidRPr="001A68E7">
              <w:rPr>
                <w:rFonts w:ascii="Arial" w:hAnsi="Arial" w:cs="Arial"/>
                <w:sz w:val="18"/>
                <w:szCs w:val="18"/>
                <w:lang w:val="es-ES_tradnl" w:eastAsia="es-CO"/>
              </w:rPr>
              <w:t>Dirección General de Crédito Público y del Tesoro Nacional (DGCPTN)</w:t>
            </w:r>
            <w:r>
              <w:rPr>
                <w:rFonts w:ascii="Arial" w:hAnsi="Arial" w:cs="Arial"/>
                <w:sz w:val="18"/>
                <w:szCs w:val="18"/>
                <w:lang w:val="es-ES_tradnl" w:eastAsia="es-CO"/>
              </w:rPr>
              <w:t xml:space="preserve"> para el pago </w:t>
            </w:r>
            <w:r w:rsidRPr="001A68E7">
              <w:rPr>
                <w:rFonts w:ascii="Arial" w:hAnsi="Arial" w:cs="Arial"/>
                <w:sz w:val="18"/>
                <w:szCs w:val="18"/>
                <w:lang w:val="es-ES_tradnl" w:eastAsia="es-CO"/>
              </w:rPr>
              <w:t>de las obligaciones que serán canceladas a través de las cuentas bancarias del MHCP.</w:t>
            </w:r>
          </w:p>
          <w:p w14:paraId="0EC4B3EF"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Identificar el efectivo de uso restringido</w:t>
            </w:r>
          </w:p>
          <w:p w14:paraId="2B379471"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Reportar información en relación con el efectivo y equivalentes al efectivo que presente restricciones. Lo anterior, con el fin de que el Grupo de Contabilidad elabore las correspondientes revelaciones en notas a los Estados Financieros. </w:t>
            </w:r>
          </w:p>
        </w:tc>
      </w:tr>
      <w:tr w:rsidR="008805E7" w:rsidRPr="00EC6EE7" w14:paraId="568CDB2F" w14:textId="77777777" w:rsidTr="00CB3572">
        <w:trPr>
          <w:jc w:val="center"/>
        </w:trPr>
        <w:tc>
          <w:tcPr>
            <w:tcW w:w="2376" w:type="dxa"/>
            <w:shd w:val="pct20" w:color="FFFFFF" w:fill="FFFFFF"/>
            <w:vAlign w:val="center"/>
          </w:tcPr>
          <w:p w14:paraId="434A3BFE" w14:textId="77777777" w:rsidR="008805E7" w:rsidRPr="00CB3572" w:rsidRDefault="008805E7" w:rsidP="00473D4A">
            <w:pPr>
              <w:spacing w:line="288" w:lineRule="auto"/>
              <w:jc w:val="center"/>
              <w:rPr>
                <w:rFonts w:ascii="Arial" w:hAnsi="Arial" w:cs="Arial"/>
                <w:b/>
                <w:sz w:val="18"/>
                <w:szCs w:val="18"/>
                <w:lang w:val="es-ES_tradnl" w:eastAsia="es-CO"/>
              </w:rPr>
            </w:pPr>
            <w:r w:rsidRPr="00CB3572">
              <w:rPr>
                <w:rFonts w:ascii="Arial" w:hAnsi="Arial" w:cs="Arial"/>
                <w:b/>
                <w:sz w:val="18"/>
                <w:szCs w:val="18"/>
                <w:lang w:val="es-ES_tradnl" w:eastAsia="es-CO"/>
              </w:rPr>
              <w:t>Grupo de Contabilidad</w:t>
            </w:r>
          </w:p>
        </w:tc>
        <w:tc>
          <w:tcPr>
            <w:tcW w:w="6604" w:type="dxa"/>
            <w:shd w:val="pct20" w:color="FFFFFF" w:fill="FFFFFF"/>
            <w:vAlign w:val="center"/>
          </w:tcPr>
          <w:p w14:paraId="11EC54D8" w14:textId="0916575A"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Validar los conceptos que integran la categoría de efectivo y equivalentes al efectivo. </w:t>
            </w:r>
          </w:p>
          <w:p w14:paraId="327FA694"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Registrar en el SIIF Nación los movimientos mensuales de la cuenta bancaria del Sistema General de Regalías. </w:t>
            </w:r>
          </w:p>
          <w:p w14:paraId="662659E0"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Conciliar y elaborar los ajustes que correspondan por las partidas de retenciones en la fuente pagadas y retenidas </w:t>
            </w:r>
          </w:p>
          <w:p w14:paraId="6852C59B"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Elaborar las revelaciones que correspondan, en relación con el efectivo y equivalentes al efectivo </w:t>
            </w:r>
          </w:p>
          <w:p w14:paraId="4A73C657" w14:textId="77777777" w:rsidR="008805E7" w:rsidRPr="001A68E7" w:rsidRDefault="008805E7" w:rsidP="00343ECE">
            <w:pPr>
              <w:numPr>
                <w:ilvl w:val="0"/>
                <w:numId w:val="26"/>
              </w:numPr>
              <w:spacing w:line="288" w:lineRule="auto"/>
              <w:ind w:left="360"/>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Mensualmente, los funcionarios de los Grupos de Contabilidad y Pagaduría deben efectuar las correspondientes conciliaciones bancarias.  </w:t>
            </w:r>
          </w:p>
        </w:tc>
      </w:tr>
    </w:tbl>
    <w:p w14:paraId="74C18345" w14:textId="51586171" w:rsidR="008805E7" w:rsidRDefault="008805E7" w:rsidP="008805E7">
      <w:pPr>
        <w:spacing w:line="288" w:lineRule="auto"/>
        <w:ind w:left="703" w:hanging="703"/>
        <w:jc w:val="both"/>
        <w:rPr>
          <w:rFonts w:ascii="Arial" w:hAnsi="Arial" w:cs="Arial"/>
          <w:sz w:val="16"/>
          <w:szCs w:val="16"/>
          <w:lang w:val="es-ES_tradnl"/>
        </w:rPr>
      </w:pPr>
    </w:p>
    <w:p w14:paraId="469F0E48" w14:textId="1EC5D3EC" w:rsidR="00B90FD0" w:rsidRDefault="00CB3572" w:rsidP="00CA76B9">
      <w:pPr>
        <w:spacing w:line="288" w:lineRule="auto"/>
        <w:jc w:val="both"/>
        <w:rPr>
          <w:rFonts w:ascii="Arial" w:hAnsi="Arial" w:cs="Arial"/>
          <w:i/>
          <w:sz w:val="22"/>
          <w:szCs w:val="22"/>
          <w:lang w:val="es-ES_tradnl"/>
        </w:rPr>
      </w:pPr>
      <w:r>
        <w:rPr>
          <w:rFonts w:ascii="Arial" w:hAnsi="Arial" w:cs="Arial"/>
          <w:sz w:val="22"/>
          <w:szCs w:val="22"/>
          <w:lang w:val="es-ES_tradnl"/>
        </w:rPr>
        <w:t>Conforme lo</w:t>
      </w:r>
      <w:r w:rsidR="00C86DED">
        <w:rPr>
          <w:rFonts w:ascii="Arial" w:hAnsi="Arial" w:cs="Arial"/>
          <w:sz w:val="22"/>
          <w:szCs w:val="22"/>
          <w:lang w:val="es-ES_tradnl"/>
        </w:rPr>
        <w:t xml:space="preserve"> anterior, </w:t>
      </w:r>
      <w:r w:rsidR="007B765A">
        <w:rPr>
          <w:rFonts w:ascii="Arial" w:hAnsi="Arial" w:cs="Arial"/>
          <w:sz w:val="22"/>
          <w:szCs w:val="22"/>
          <w:lang w:val="es-ES_tradnl"/>
        </w:rPr>
        <w:t>para la elaboración de l</w:t>
      </w:r>
      <w:r w:rsidR="00547CD6">
        <w:rPr>
          <w:rFonts w:ascii="Arial" w:hAnsi="Arial" w:cs="Arial"/>
          <w:sz w:val="22"/>
          <w:szCs w:val="22"/>
          <w:lang w:val="es-ES_tradnl"/>
        </w:rPr>
        <w:t>as notas</w:t>
      </w:r>
      <w:r w:rsidR="007B765A">
        <w:rPr>
          <w:rFonts w:ascii="Arial" w:hAnsi="Arial" w:cs="Arial"/>
          <w:sz w:val="22"/>
          <w:szCs w:val="22"/>
          <w:lang w:val="es-ES_tradnl"/>
        </w:rPr>
        <w:t xml:space="preserve"> a los estados financieros del Ministerio de Hacienda y Crédito Público</w:t>
      </w:r>
      <w:r w:rsidR="0055674A">
        <w:rPr>
          <w:rFonts w:ascii="Arial" w:hAnsi="Arial" w:cs="Arial"/>
          <w:sz w:val="22"/>
          <w:szCs w:val="22"/>
          <w:lang w:val="es-ES_tradnl"/>
        </w:rPr>
        <w:t xml:space="preserve">, el Grupo de Pagaduría de la Subdirección Financiera diligenciará el formato denominado </w:t>
      </w:r>
      <w:r w:rsidR="00B90FD0" w:rsidRPr="00CB3572">
        <w:rPr>
          <w:rFonts w:ascii="Arial" w:hAnsi="Arial" w:cs="Arial"/>
          <w:i/>
          <w:sz w:val="22"/>
          <w:szCs w:val="22"/>
          <w:lang w:val="es-ES_tradnl"/>
        </w:rPr>
        <w:t>“</w:t>
      </w:r>
      <w:r w:rsidR="00182956">
        <w:rPr>
          <w:rFonts w:ascii="Arial" w:hAnsi="Arial" w:cs="Arial"/>
          <w:i/>
          <w:sz w:val="22"/>
          <w:szCs w:val="22"/>
        </w:rPr>
        <w:t>Apo.3.Man.3.Fr.33</w:t>
      </w:r>
      <w:r w:rsidR="0023265E">
        <w:rPr>
          <w:rFonts w:ascii="Arial" w:hAnsi="Arial" w:cs="Arial"/>
          <w:i/>
          <w:sz w:val="22"/>
          <w:szCs w:val="22"/>
        </w:rPr>
        <w:t xml:space="preserve"> </w:t>
      </w:r>
      <w:r w:rsidR="00B90FD0" w:rsidRPr="00CB3572">
        <w:rPr>
          <w:rFonts w:ascii="Arial" w:hAnsi="Arial" w:cs="Arial"/>
          <w:i/>
          <w:sz w:val="22"/>
          <w:szCs w:val="22"/>
          <w:lang w:val="es-ES_tradnl"/>
        </w:rPr>
        <w:t>Ficha para el suministro de información relativa al Efectivo y Equivalentes al Efectivo”</w:t>
      </w:r>
      <w:r w:rsidR="0055674A">
        <w:rPr>
          <w:rFonts w:ascii="Arial" w:hAnsi="Arial" w:cs="Arial"/>
          <w:i/>
          <w:sz w:val="22"/>
          <w:szCs w:val="22"/>
          <w:lang w:val="es-ES_tradnl"/>
        </w:rPr>
        <w:t>.</w:t>
      </w:r>
    </w:p>
    <w:p w14:paraId="5A7C020C" w14:textId="4A8C7E33" w:rsidR="00F23D98" w:rsidRDefault="00F23D98" w:rsidP="00CA76B9">
      <w:pPr>
        <w:spacing w:line="288" w:lineRule="auto"/>
        <w:jc w:val="both"/>
        <w:rPr>
          <w:rFonts w:ascii="Arial" w:hAnsi="Arial" w:cs="Arial"/>
          <w:i/>
          <w:sz w:val="22"/>
          <w:szCs w:val="22"/>
          <w:lang w:val="es-ES_tradnl"/>
        </w:rPr>
      </w:pPr>
    </w:p>
    <w:p w14:paraId="0AD23A08" w14:textId="5712DFFA" w:rsidR="00F23D98" w:rsidRPr="00CB3572" w:rsidRDefault="00C86DED" w:rsidP="00CA76B9">
      <w:pPr>
        <w:spacing w:line="288" w:lineRule="auto"/>
        <w:jc w:val="both"/>
        <w:rPr>
          <w:rFonts w:ascii="Arial" w:hAnsi="Arial" w:cs="Arial"/>
          <w:sz w:val="22"/>
          <w:szCs w:val="22"/>
          <w:lang w:val="es-ES_tradnl"/>
        </w:rPr>
      </w:pPr>
      <w:r>
        <w:rPr>
          <w:rFonts w:ascii="Arial" w:hAnsi="Arial" w:cs="Arial"/>
          <w:sz w:val="22"/>
          <w:szCs w:val="22"/>
          <w:lang w:val="es-ES_tradnl"/>
        </w:rPr>
        <w:t>L</w:t>
      </w:r>
      <w:r w:rsidR="00F23D98">
        <w:rPr>
          <w:rFonts w:ascii="Arial" w:hAnsi="Arial" w:cs="Arial"/>
          <w:sz w:val="22"/>
          <w:szCs w:val="22"/>
          <w:lang w:val="es-ES_tradnl"/>
        </w:rPr>
        <w:t xml:space="preserve">a elaboración </w:t>
      </w:r>
      <w:r w:rsidR="00A30947">
        <w:rPr>
          <w:rFonts w:ascii="Arial" w:hAnsi="Arial" w:cs="Arial"/>
          <w:sz w:val="22"/>
          <w:szCs w:val="22"/>
          <w:lang w:val="es-ES_tradnl"/>
        </w:rPr>
        <w:t xml:space="preserve">mensual </w:t>
      </w:r>
      <w:r w:rsidR="00F23D98">
        <w:rPr>
          <w:rFonts w:ascii="Arial" w:hAnsi="Arial" w:cs="Arial"/>
          <w:sz w:val="22"/>
          <w:szCs w:val="22"/>
          <w:lang w:val="es-ES_tradnl"/>
        </w:rPr>
        <w:t xml:space="preserve">de las </w:t>
      </w:r>
      <w:r w:rsidR="008B0356">
        <w:rPr>
          <w:rFonts w:ascii="Arial" w:hAnsi="Arial" w:cs="Arial"/>
          <w:sz w:val="22"/>
          <w:szCs w:val="22"/>
          <w:lang w:val="es-ES_tradnl"/>
        </w:rPr>
        <w:t xml:space="preserve">conciliaciones bancarias se efectuará </w:t>
      </w:r>
      <w:r>
        <w:rPr>
          <w:rFonts w:ascii="Arial" w:hAnsi="Arial" w:cs="Arial"/>
          <w:sz w:val="22"/>
          <w:szCs w:val="22"/>
          <w:lang w:val="es-ES_tradnl"/>
        </w:rPr>
        <w:t xml:space="preserve">según </w:t>
      </w:r>
      <w:r w:rsidR="008B0356">
        <w:rPr>
          <w:rFonts w:ascii="Arial" w:hAnsi="Arial" w:cs="Arial"/>
          <w:sz w:val="22"/>
          <w:szCs w:val="22"/>
          <w:lang w:val="es-ES_tradnl"/>
        </w:rPr>
        <w:t xml:space="preserve">lo establecido en el </w:t>
      </w:r>
      <w:r w:rsidR="005D193D">
        <w:rPr>
          <w:rFonts w:ascii="Arial" w:hAnsi="Arial" w:cs="Arial"/>
          <w:sz w:val="22"/>
          <w:szCs w:val="22"/>
          <w:lang w:val="es-ES_tradnl"/>
        </w:rPr>
        <w:t>“</w:t>
      </w:r>
      <w:r w:rsidR="00244EBE" w:rsidRPr="00CB3572">
        <w:rPr>
          <w:rFonts w:ascii="Arial" w:hAnsi="Arial" w:cs="Arial"/>
          <w:i/>
          <w:sz w:val="22"/>
          <w:szCs w:val="22"/>
          <w:lang w:val="es-ES_tradnl"/>
        </w:rPr>
        <w:t>Instructivo para la Elaboración de Conciliaciones</w:t>
      </w:r>
      <w:r w:rsidR="005D193D">
        <w:rPr>
          <w:rFonts w:ascii="Arial" w:hAnsi="Arial" w:cs="Arial"/>
          <w:i/>
          <w:sz w:val="22"/>
          <w:szCs w:val="22"/>
          <w:lang w:val="es-ES_tradnl"/>
        </w:rPr>
        <w:t>”</w:t>
      </w:r>
      <w:r w:rsidR="008B0356">
        <w:rPr>
          <w:rFonts w:ascii="Arial" w:hAnsi="Arial" w:cs="Arial"/>
          <w:sz w:val="22"/>
          <w:szCs w:val="22"/>
          <w:lang w:val="es-ES_tradnl"/>
        </w:rPr>
        <w:t xml:space="preserve">, identificado con el código </w:t>
      </w:r>
      <w:r w:rsidR="005D193D">
        <w:rPr>
          <w:rFonts w:ascii="Arial" w:hAnsi="Arial" w:cs="Arial"/>
          <w:sz w:val="22"/>
          <w:szCs w:val="22"/>
          <w:lang w:val="es-ES_tradnl"/>
        </w:rPr>
        <w:t>“</w:t>
      </w:r>
      <w:r w:rsidR="008B0356" w:rsidRPr="00CB3572">
        <w:rPr>
          <w:rFonts w:ascii="Arial" w:hAnsi="Arial" w:cs="Arial"/>
          <w:i/>
          <w:sz w:val="22"/>
          <w:szCs w:val="22"/>
          <w:lang w:val="es-ES_tradnl"/>
        </w:rPr>
        <w:t>Apo.3.Pro.5.Ins.1</w:t>
      </w:r>
      <w:r w:rsidR="005D193D">
        <w:rPr>
          <w:rFonts w:ascii="Arial" w:hAnsi="Arial" w:cs="Arial"/>
          <w:i/>
          <w:sz w:val="22"/>
          <w:szCs w:val="22"/>
          <w:lang w:val="es-ES_tradnl"/>
        </w:rPr>
        <w:t>”</w:t>
      </w:r>
      <w:r w:rsidR="00B71D1E">
        <w:rPr>
          <w:rFonts w:ascii="Arial" w:hAnsi="Arial" w:cs="Arial"/>
          <w:sz w:val="22"/>
          <w:szCs w:val="22"/>
          <w:lang w:val="es-ES_tradnl"/>
        </w:rPr>
        <w:t>, y tomando como referente</w:t>
      </w:r>
      <w:r w:rsidR="00244EBE">
        <w:rPr>
          <w:rFonts w:ascii="Arial" w:hAnsi="Arial" w:cs="Arial"/>
          <w:sz w:val="22"/>
          <w:szCs w:val="22"/>
          <w:lang w:val="es-ES_tradnl"/>
        </w:rPr>
        <w:t xml:space="preserve"> los formatos </w:t>
      </w:r>
      <w:r w:rsidR="005D193D">
        <w:rPr>
          <w:rFonts w:ascii="Arial" w:hAnsi="Arial" w:cs="Arial"/>
          <w:sz w:val="22"/>
          <w:szCs w:val="22"/>
          <w:lang w:val="es-ES_tradnl"/>
        </w:rPr>
        <w:t>“</w:t>
      </w:r>
      <w:r w:rsidR="00AB043E" w:rsidRPr="00CB3572">
        <w:rPr>
          <w:rFonts w:ascii="Arial" w:hAnsi="Arial" w:cs="Arial"/>
          <w:i/>
          <w:sz w:val="22"/>
          <w:szCs w:val="22"/>
          <w:lang w:val="es-ES_tradnl"/>
        </w:rPr>
        <w:t xml:space="preserve">Apo.3.Pro.5 Ins.1.Fr.01 </w:t>
      </w:r>
      <w:r w:rsidR="001221B8" w:rsidRPr="00CB3572">
        <w:rPr>
          <w:rFonts w:ascii="Arial" w:hAnsi="Arial" w:cs="Arial"/>
          <w:i/>
          <w:sz w:val="22"/>
          <w:szCs w:val="22"/>
          <w:lang w:val="es-ES_tradnl"/>
        </w:rPr>
        <w:t xml:space="preserve">- </w:t>
      </w:r>
      <w:r w:rsidR="00AB043E" w:rsidRPr="00CB3572">
        <w:rPr>
          <w:rFonts w:ascii="Arial" w:hAnsi="Arial" w:cs="Arial"/>
          <w:i/>
          <w:sz w:val="22"/>
          <w:szCs w:val="22"/>
          <w:lang w:val="es-ES_tradnl"/>
        </w:rPr>
        <w:t>Conciliación Bancaria Entidad-MHCP</w:t>
      </w:r>
      <w:r w:rsidR="005D193D">
        <w:rPr>
          <w:rFonts w:ascii="Arial" w:hAnsi="Arial" w:cs="Arial"/>
          <w:i/>
          <w:sz w:val="22"/>
          <w:szCs w:val="22"/>
          <w:lang w:val="es-ES_tradnl"/>
        </w:rPr>
        <w:t>”</w:t>
      </w:r>
      <w:r w:rsidR="00AB043E">
        <w:rPr>
          <w:rFonts w:ascii="Arial" w:hAnsi="Arial" w:cs="Arial"/>
          <w:sz w:val="22"/>
          <w:szCs w:val="22"/>
          <w:lang w:val="es-ES_tradnl"/>
        </w:rPr>
        <w:t xml:space="preserve"> y </w:t>
      </w:r>
      <w:r w:rsidR="005D193D">
        <w:rPr>
          <w:rFonts w:ascii="Arial" w:hAnsi="Arial" w:cs="Arial"/>
          <w:sz w:val="22"/>
          <w:szCs w:val="22"/>
          <w:lang w:val="es-ES_tradnl"/>
        </w:rPr>
        <w:t>“</w:t>
      </w:r>
      <w:r w:rsidR="006B31D0" w:rsidRPr="00CB3572">
        <w:rPr>
          <w:rFonts w:ascii="Arial" w:hAnsi="Arial" w:cs="Arial"/>
          <w:i/>
          <w:sz w:val="22"/>
          <w:szCs w:val="22"/>
          <w:lang w:val="es-ES_tradnl"/>
        </w:rPr>
        <w:t>Apo.3.Pro.3.Ins.6.Fr.2</w:t>
      </w:r>
      <w:r w:rsidR="001221B8" w:rsidRPr="00CB3572">
        <w:rPr>
          <w:rFonts w:ascii="Arial" w:hAnsi="Arial" w:cs="Arial"/>
          <w:i/>
          <w:sz w:val="22"/>
          <w:szCs w:val="22"/>
          <w:lang w:val="es-ES_tradnl"/>
        </w:rPr>
        <w:t xml:space="preserve"> - Conciliación Bancaria</w:t>
      </w:r>
      <w:r w:rsidR="005D193D">
        <w:rPr>
          <w:rFonts w:ascii="Arial" w:hAnsi="Arial" w:cs="Arial"/>
          <w:i/>
          <w:sz w:val="22"/>
          <w:szCs w:val="22"/>
          <w:lang w:val="es-ES_tradnl"/>
        </w:rPr>
        <w:t>”</w:t>
      </w:r>
      <w:r w:rsidR="001221B8">
        <w:rPr>
          <w:rFonts w:ascii="Arial" w:hAnsi="Arial" w:cs="Arial"/>
          <w:sz w:val="22"/>
          <w:szCs w:val="22"/>
          <w:lang w:val="es-ES_tradnl"/>
        </w:rPr>
        <w:t>.</w:t>
      </w:r>
    </w:p>
    <w:p w14:paraId="7A7CEEC7" w14:textId="2313E16D" w:rsidR="00C86DED" w:rsidRDefault="00C86DED" w:rsidP="00CA76B9">
      <w:pPr>
        <w:spacing w:line="288" w:lineRule="auto"/>
        <w:jc w:val="both"/>
        <w:rPr>
          <w:rFonts w:ascii="Arial" w:hAnsi="Arial" w:cs="Arial"/>
          <w:sz w:val="22"/>
          <w:szCs w:val="22"/>
          <w:lang w:val="es-ES_tradnl"/>
        </w:rPr>
      </w:pPr>
    </w:p>
    <w:p w14:paraId="4CBBD402" w14:textId="5CC14085" w:rsidR="00DB6F34" w:rsidRDefault="00DB6F34" w:rsidP="00CA76B9">
      <w:pPr>
        <w:spacing w:line="288" w:lineRule="auto"/>
        <w:jc w:val="both"/>
        <w:rPr>
          <w:rFonts w:ascii="Arial" w:hAnsi="Arial" w:cs="Arial"/>
          <w:sz w:val="22"/>
          <w:szCs w:val="22"/>
          <w:lang w:val="es-ES_tradnl"/>
        </w:rPr>
      </w:pPr>
    </w:p>
    <w:p w14:paraId="7CD50874" w14:textId="5AE4A4EF" w:rsidR="00DB6F34" w:rsidRDefault="00DB6F34" w:rsidP="00CA76B9">
      <w:pPr>
        <w:spacing w:line="288" w:lineRule="auto"/>
        <w:jc w:val="both"/>
        <w:rPr>
          <w:rFonts w:ascii="Arial" w:hAnsi="Arial" w:cs="Arial"/>
          <w:sz w:val="22"/>
          <w:szCs w:val="22"/>
          <w:lang w:val="es-ES_tradnl"/>
        </w:rPr>
      </w:pPr>
    </w:p>
    <w:p w14:paraId="1098409D" w14:textId="0DF96A32" w:rsidR="00DB6F34" w:rsidRDefault="00DB6F34" w:rsidP="00CA76B9">
      <w:pPr>
        <w:spacing w:line="288" w:lineRule="auto"/>
        <w:jc w:val="both"/>
        <w:rPr>
          <w:rFonts w:ascii="Arial" w:hAnsi="Arial" w:cs="Arial"/>
          <w:sz w:val="22"/>
          <w:szCs w:val="22"/>
          <w:lang w:val="es-ES_tradnl"/>
        </w:rPr>
      </w:pPr>
    </w:p>
    <w:p w14:paraId="346BBD15" w14:textId="77777777" w:rsidR="00DB6F34" w:rsidRPr="002C7D53" w:rsidRDefault="00DB6F34" w:rsidP="00CA76B9">
      <w:pPr>
        <w:spacing w:line="288" w:lineRule="auto"/>
        <w:jc w:val="both"/>
        <w:rPr>
          <w:rFonts w:ascii="Arial" w:hAnsi="Arial" w:cs="Arial"/>
          <w:sz w:val="22"/>
          <w:szCs w:val="22"/>
          <w:lang w:val="es-ES_tradnl"/>
        </w:rPr>
      </w:pPr>
    </w:p>
    <w:p w14:paraId="6DAD399E" w14:textId="5D9806C4" w:rsidR="00C52324" w:rsidRDefault="00C52324" w:rsidP="00CA76B9">
      <w:pPr>
        <w:pStyle w:val="Ttulo3"/>
        <w:numPr>
          <w:ilvl w:val="2"/>
          <w:numId w:val="1"/>
        </w:numPr>
        <w:spacing w:line="288" w:lineRule="auto"/>
        <w:rPr>
          <w:rFonts w:ascii="Arial" w:hAnsi="Arial" w:cs="Arial"/>
          <w:b/>
          <w:sz w:val="22"/>
          <w:szCs w:val="22"/>
        </w:rPr>
      </w:pPr>
      <w:bookmarkStart w:id="273" w:name="_Toc59377865"/>
      <w:r>
        <w:rPr>
          <w:rFonts w:ascii="Arial" w:hAnsi="Arial" w:cs="Arial"/>
          <w:b/>
          <w:sz w:val="22"/>
          <w:szCs w:val="22"/>
        </w:rPr>
        <w:lastRenderedPageBreak/>
        <w:t>Inversiones de administración de liquidez</w:t>
      </w:r>
      <w:bookmarkEnd w:id="273"/>
    </w:p>
    <w:p w14:paraId="2C487EDF" w14:textId="637116DA" w:rsidR="00C52324" w:rsidRDefault="00C52324" w:rsidP="00CA76B9">
      <w:pPr>
        <w:spacing w:line="288" w:lineRule="auto"/>
      </w:pPr>
    </w:p>
    <w:p w14:paraId="333228DD" w14:textId="0BDA5AEB" w:rsidR="00C52324" w:rsidRPr="00EC6EE7" w:rsidRDefault="00C52324"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inversiones de administración de liquidez</w:t>
      </w:r>
      <w:r w:rsidRPr="00EC6EE7">
        <w:rPr>
          <w:rFonts w:ascii="Arial" w:hAnsi="Arial" w:cs="Arial"/>
          <w:sz w:val="22"/>
          <w:szCs w:val="22"/>
          <w:lang w:val="es-ES_tradnl" w:eastAsia="es-CO"/>
        </w:rPr>
        <w:t xml:space="preserve">: </w:t>
      </w:r>
    </w:p>
    <w:p w14:paraId="7B59B4D5" w14:textId="77777777" w:rsidR="002C7D53" w:rsidRDefault="002C7D53" w:rsidP="008805E7">
      <w:pPr>
        <w:spacing w:line="288" w:lineRule="auto"/>
        <w:ind w:left="703" w:hanging="703"/>
        <w:jc w:val="both"/>
        <w:rPr>
          <w:rFonts w:ascii="Arial" w:hAnsi="Arial" w:cs="Arial"/>
          <w:sz w:val="16"/>
          <w:szCs w:val="16"/>
          <w:lang w:val="es-ES_tradnl"/>
        </w:rPr>
      </w:pPr>
    </w:p>
    <w:tbl>
      <w:tblPr>
        <w:tblW w:w="0" w:type="auto"/>
        <w:jc w:val="center"/>
        <w:tblBorders>
          <w:top w:val="single" w:sz="12" w:space="0" w:color="3366CC"/>
          <w:bottom w:val="single" w:sz="12" w:space="0" w:color="3366CC"/>
          <w:insideH w:val="single" w:sz="12" w:space="0" w:color="3366CC"/>
        </w:tblBorders>
        <w:tblLook w:val="0420" w:firstRow="1" w:lastRow="0" w:firstColumn="0" w:lastColumn="0" w:noHBand="0" w:noVBand="1"/>
      </w:tblPr>
      <w:tblGrid>
        <w:gridCol w:w="4419"/>
        <w:gridCol w:w="4421"/>
      </w:tblGrid>
      <w:tr w:rsidR="00BE7B77" w:rsidRPr="001A68E7" w14:paraId="61E09DAF" w14:textId="77777777" w:rsidTr="005D193D">
        <w:trPr>
          <w:trHeight w:val="18"/>
          <w:tblHeader/>
          <w:jc w:val="center"/>
        </w:trPr>
        <w:tc>
          <w:tcPr>
            <w:tcW w:w="4419" w:type="dxa"/>
            <w:shd w:val="clear" w:color="2F5395" w:fill="3366CC"/>
            <w:vAlign w:val="center"/>
          </w:tcPr>
          <w:p w14:paraId="04B791E6" w14:textId="77777777" w:rsidR="00BE7B77" w:rsidRPr="001A68E7" w:rsidRDefault="00BE7B77"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4421" w:type="dxa"/>
            <w:shd w:val="clear" w:color="2F5395" w:fill="3366CC"/>
            <w:vAlign w:val="center"/>
          </w:tcPr>
          <w:p w14:paraId="1164C4DA" w14:textId="77777777" w:rsidR="00BE7B77" w:rsidRPr="001A68E7" w:rsidRDefault="00BE7B77"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BE7B77" w:rsidRPr="001A68E7" w14:paraId="0ABC86C5" w14:textId="77777777" w:rsidTr="005D193D">
        <w:trPr>
          <w:trHeight w:val="18"/>
          <w:jc w:val="center"/>
        </w:trPr>
        <w:tc>
          <w:tcPr>
            <w:tcW w:w="4419" w:type="dxa"/>
            <w:shd w:val="pct20" w:color="FFFFFF" w:fill="FFFFFF"/>
          </w:tcPr>
          <w:p w14:paraId="010E2F26" w14:textId="77777777" w:rsidR="00BE7B77" w:rsidRPr="001A68E7" w:rsidRDefault="00BE7B77" w:rsidP="00B26C22">
            <w:p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Entidades receptoras de la inversión, Dirección General de Participaciones Estatales y demás áreas involucradas en el suministro de información relacionada con las inversiones efectuadas por el Ministerio de Hacienda y Crédito Público – Gestión General</w:t>
            </w:r>
          </w:p>
        </w:tc>
        <w:tc>
          <w:tcPr>
            <w:tcW w:w="4421" w:type="dxa"/>
            <w:shd w:val="pct20" w:color="FFFFFF" w:fill="FFFFFF"/>
          </w:tcPr>
          <w:p w14:paraId="18337FDA" w14:textId="77777777" w:rsidR="00BE7B77" w:rsidRPr="001A68E7" w:rsidRDefault="00BE7B77" w:rsidP="00343ECE">
            <w:pPr>
              <w:numPr>
                <w:ilvl w:val="0"/>
                <w:numId w:val="27"/>
              </w:numPr>
              <w:spacing w:line="288" w:lineRule="auto"/>
              <w:ind w:left="292" w:hanging="284"/>
              <w:jc w:val="both"/>
              <w:rPr>
                <w:rFonts w:ascii="Arial" w:hAnsi="Arial" w:cs="Arial"/>
                <w:bCs/>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las inversiones realizadas por el MHCP – Gestión General</w:t>
            </w:r>
          </w:p>
        </w:tc>
      </w:tr>
      <w:tr w:rsidR="005D193D" w:rsidRPr="00842A5E" w14:paraId="64E5FC24" w14:textId="77777777" w:rsidTr="005D193D">
        <w:trPr>
          <w:trHeight w:val="2265"/>
          <w:jc w:val="center"/>
        </w:trPr>
        <w:tc>
          <w:tcPr>
            <w:tcW w:w="4419" w:type="dxa"/>
            <w:shd w:val="pct20" w:color="FFFFFF" w:fill="FFFFFF"/>
            <w:vAlign w:val="center"/>
          </w:tcPr>
          <w:p w14:paraId="7D8AF7DC" w14:textId="450D6FF8" w:rsidR="005D193D" w:rsidRPr="001A68E7" w:rsidRDefault="005D193D" w:rsidP="005D193D">
            <w:pPr>
              <w:spacing w:line="288" w:lineRule="auto"/>
              <w:jc w:val="both"/>
              <w:rPr>
                <w:rFonts w:ascii="Arial" w:hAnsi="Arial" w:cs="Arial"/>
                <w:sz w:val="18"/>
                <w:szCs w:val="18"/>
                <w:lang w:val="es-ES_tradnl" w:eastAsia="es-CO"/>
              </w:rPr>
            </w:pPr>
            <w:r w:rsidRPr="001A68E7">
              <w:rPr>
                <w:rFonts w:ascii="Arial" w:hAnsi="Arial" w:cs="Arial"/>
                <w:bCs/>
                <w:kern w:val="32"/>
                <w:sz w:val="18"/>
                <w:szCs w:val="18"/>
                <w:lang w:val="es-ES_tradnl"/>
              </w:rPr>
              <w:t>Subdirección Financiera / Grupo de Contabilidad</w:t>
            </w:r>
          </w:p>
        </w:tc>
        <w:tc>
          <w:tcPr>
            <w:tcW w:w="4421" w:type="dxa"/>
            <w:shd w:val="pct20" w:color="FFFFFF" w:fill="FFFFFF"/>
            <w:vAlign w:val="center"/>
          </w:tcPr>
          <w:p w14:paraId="5A083A9E" w14:textId="77777777" w:rsidR="005D193D" w:rsidRPr="001A68E7" w:rsidRDefault="005D193D" w:rsidP="00343ECE">
            <w:pPr>
              <w:numPr>
                <w:ilvl w:val="0"/>
                <w:numId w:val="27"/>
              </w:numPr>
              <w:spacing w:line="288" w:lineRule="auto"/>
              <w:ind w:left="292" w:hanging="284"/>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suministrada por las entidades receptoras de la inversión, así como por el área o áreas respectivas, 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las inversiones realizadas por la Entidad</w:t>
            </w:r>
            <w:r>
              <w:rPr>
                <w:rFonts w:ascii="Arial" w:hAnsi="Arial" w:cs="Arial"/>
                <w:sz w:val="18"/>
                <w:szCs w:val="18"/>
                <w:lang w:val="es-ES_tradnl" w:eastAsia="es-CO"/>
              </w:rPr>
              <w:t xml:space="preserve">, </w:t>
            </w:r>
            <w:r w:rsidRPr="001A68E7">
              <w:rPr>
                <w:rFonts w:ascii="Arial" w:hAnsi="Arial" w:cs="Arial"/>
                <w:sz w:val="18"/>
                <w:szCs w:val="18"/>
                <w:lang w:val="es-ES_tradnl" w:eastAsia="es-CO"/>
              </w:rPr>
              <w:t>en los Estados Financieros del Ministerio de Hacienda y Crédito Público</w:t>
            </w:r>
            <w:r>
              <w:rPr>
                <w:rFonts w:ascii="Arial" w:hAnsi="Arial" w:cs="Arial"/>
                <w:sz w:val="18"/>
                <w:szCs w:val="18"/>
                <w:lang w:val="es-ES_tradnl" w:eastAsia="es-CO"/>
              </w:rPr>
              <w:t>.</w:t>
            </w:r>
            <w:r w:rsidRPr="001A68E7">
              <w:rPr>
                <w:rFonts w:ascii="Arial" w:hAnsi="Arial" w:cs="Arial"/>
                <w:sz w:val="18"/>
                <w:szCs w:val="18"/>
                <w:lang w:val="es-ES_tradnl" w:eastAsia="es-CO"/>
              </w:rPr>
              <w:t xml:space="preserve"> </w:t>
            </w:r>
          </w:p>
          <w:p w14:paraId="416BF014" w14:textId="08BDB39E" w:rsidR="005D193D" w:rsidRPr="001A68E7" w:rsidRDefault="005D193D" w:rsidP="00343ECE">
            <w:pPr>
              <w:numPr>
                <w:ilvl w:val="0"/>
                <w:numId w:val="27"/>
              </w:numPr>
              <w:spacing w:line="288" w:lineRule="auto"/>
              <w:ind w:left="292" w:hanging="284"/>
              <w:jc w:val="both"/>
              <w:rPr>
                <w:rFonts w:ascii="Arial" w:hAnsi="Arial" w:cs="Arial"/>
                <w:bCs/>
                <w:sz w:val="18"/>
                <w:szCs w:val="18"/>
                <w:lang w:val="es-ES_tradnl" w:eastAsia="es-CO"/>
              </w:rPr>
            </w:pPr>
            <w:r w:rsidRPr="001A68E7">
              <w:rPr>
                <w:rFonts w:ascii="Arial" w:hAnsi="Arial" w:cs="Arial"/>
                <w:bCs/>
                <w:sz w:val="18"/>
                <w:szCs w:val="18"/>
                <w:lang w:val="es-ES_tradnl" w:eastAsia="es-CO"/>
              </w:rPr>
              <w:t>Llevar a cabo el proceso de conciliación de las inversiones realizadas por el MHCP</w:t>
            </w:r>
          </w:p>
        </w:tc>
      </w:tr>
    </w:tbl>
    <w:p w14:paraId="1381D289" w14:textId="643567D5" w:rsidR="00396BB3" w:rsidRPr="00CB3572" w:rsidRDefault="00396BB3" w:rsidP="008805E7">
      <w:pPr>
        <w:spacing w:line="288" w:lineRule="auto"/>
        <w:ind w:left="703" w:hanging="703"/>
        <w:jc w:val="both"/>
        <w:rPr>
          <w:rFonts w:ascii="Arial" w:hAnsi="Arial" w:cs="Arial"/>
          <w:sz w:val="22"/>
          <w:szCs w:val="22"/>
        </w:rPr>
      </w:pPr>
    </w:p>
    <w:p w14:paraId="6A3645A8" w14:textId="5D58CFFD" w:rsidR="00B524CD" w:rsidRPr="00EC6EE7" w:rsidRDefault="00CB3572" w:rsidP="00CA76B9">
      <w:pPr>
        <w:spacing w:line="288" w:lineRule="auto"/>
        <w:jc w:val="both"/>
        <w:rPr>
          <w:rFonts w:ascii="Arial" w:hAnsi="Arial" w:cs="Arial"/>
          <w:color w:val="000000"/>
          <w:sz w:val="22"/>
          <w:szCs w:val="22"/>
          <w:lang w:val="es-ES_tradnl" w:eastAsia="es-CO"/>
        </w:rPr>
      </w:pPr>
      <w:r>
        <w:rPr>
          <w:rFonts w:ascii="Arial" w:hAnsi="Arial" w:cs="Arial"/>
          <w:sz w:val="22"/>
          <w:szCs w:val="22"/>
        </w:rPr>
        <w:t>Ahora bien</w:t>
      </w:r>
      <w:r w:rsidR="007701D9">
        <w:rPr>
          <w:rFonts w:ascii="Arial" w:hAnsi="Arial" w:cs="Arial"/>
          <w:sz w:val="22"/>
          <w:szCs w:val="22"/>
        </w:rPr>
        <w:t>, s</w:t>
      </w:r>
      <w:r w:rsidR="00396BB3">
        <w:rPr>
          <w:rFonts w:ascii="Arial" w:hAnsi="Arial" w:cs="Arial"/>
          <w:sz w:val="22"/>
          <w:szCs w:val="22"/>
        </w:rPr>
        <w:t>egún lo definido en el Manual de Políticas Contables</w:t>
      </w:r>
      <w:r w:rsidR="00B524CD">
        <w:rPr>
          <w:rFonts w:ascii="Arial" w:hAnsi="Arial" w:cs="Arial"/>
          <w:sz w:val="22"/>
          <w:szCs w:val="22"/>
        </w:rPr>
        <w:t>, l</w:t>
      </w:r>
      <w:r w:rsidR="00B524CD" w:rsidRPr="00EC6EE7">
        <w:rPr>
          <w:rFonts w:ascii="Arial" w:hAnsi="Arial" w:cs="Arial"/>
          <w:color w:val="000000"/>
          <w:sz w:val="22"/>
          <w:szCs w:val="22"/>
          <w:lang w:val="es-ES_tradnl" w:eastAsia="es-CO"/>
        </w:rPr>
        <w:t>as inversiones de administración de liquidez realizadas por el Ministerio de Hacienda y Crédito Público</w:t>
      </w:r>
      <w:r w:rsidR="00B524CD">
        <w:rPr>
          <w:rFonts w:ascii="Arial" w:hAnsi="Arial" w:cs="Arial"/>
          <w:color w:val="000000"/>
          <w:sz w:val="22"/>
          <w:szCs w:val="22"/>
          <w:lang w:val="es-ES_tradnl" w:eastAsia="es-CO"/>
        </w:rPr>
        <w:t xml:space="preserve"> – Gestión General </w:t>
      </w:r>
      <w:r w:rsidR="00B524CD" w:rsidRPr="00EC6EE7">
        <w:rPr>
          <w:rFonts w:ascii="Arial" w:hAnsi="Arial" w:cs="Arial"/>
          <w:color w:val="000000"/>
          <w:sz w:val="22"/>
          <w:szCs w:val="22"/>
          <w:lang w:val="es-ES_tradnl" w:eastAsia="es-CO"/>
        </w:rPr>
        <w:t>se clasificarán de acuerdo con la intención que se tenga sobre la inversión. Estas inversiones se clasificarán en alguna de las siguientes</w:t>
      </w:r>
      <w:r w:rsidR="00B524CD">
        <w:rPr>
          <w:rFonts w:ascii="Arial" w:hAnsi="Arial" w:cs="Arial"/>
          <w:color w:val="000000"/>
          <w:sz w:val="22"/>
          <w:szCs w:val="22"/>
          <w:lang w:val="es-ES_tradnl" w:eastAsia="es-CO"/>
        </w:rPr>
        <w:t xml:space="preserve"> cuatro </w:t>
      </w:r>
      <w:r w:rsidR="00B524CD" w:rsidRPr="00EC6EE7">
        <w:rPr>
          <w:rFonts w:ascii="Arial" w:hAnsi="Arial" w:cs="Arial"/>
          <w:color w:val="000000"/>
          <w:sz w:val="22"/>
          <w:szCs w:val="22"/>
          <w:lang w:val="es-ES_tradnl" w:eastAsia="es-CO"/>
        </w:rPr>
        <w:t>categorías: valor de mercado con cambios en el resultado, costo amortizado, valor de mercado con cambios en el patrimonio o costo</w:t>
      </w:r>
      <w:r w:rsidR="00AB4D4D">
        <w:rPr>
          <w:rFonts w:ascii="Arial" w:hAnsi="Arial" w:cs="Arial"/>
          <w:color w:val="000000"/>
          <w:sz w:val="22"/>
          <w:szCs w:val="22"/>
          <w:lang w:val="es-ES_tradnl" w:eastAsia="es-CO"/>
        </w:rPr>
        <w:t>, así:</w:t>
      </w:r>
      <w:r w:rsidR="00B524CD" w:rsidRPr="00EC6EE7">
        <w:rPr>
          <w:rFonts w:ascii="Arial" w:hAnsi="Arial" w:cs="Arial"/>
          <w:color w:val="000000"/>
          <w:sz w:val="22"/>
          <w:szCs w:val="22"/>
          <w:lang w:val="es-ES_tradnl" w:eastAsia="es-CO"/>
        </w:rPr>
        <w:t xml:space="preserve"> </w:t>
      </w:r>
    </w:p>
    <w:p w14:paraId="3F1B3E62"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p>
    <w:p w14:paraId="13351537" w14:textId="71743ADE"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r>
        <w:rPr>
          <w:rFonts w:ascii="Arial" w:hAnsi="Arial" w:cs="Arial"/>
          <w:b/>
          <w:color w:val="000000"/>
          <w:sz w:val="22"/>
          <w:szCs w:val="22"/>
          <w:lang w:val="es-ES_tradnl" w:eastAsia="es-CO"/>
        </w:rPr>
        <w:t>Categoría de v</w:t>
      </w:r>
      <w:r w:rsidRPr="00EC6EE7">
        <w:rPr>
          <w:rFonts w:ascii="Arial" w:hAnsi="Arial" w:cs="Arial"/>
          <w:b/>
          <w:color w:val="000000"/>
          <w:sz w:val="22"/>
          <w:szCs w:val="22"/>
          <w:lang w:val="es-ES_tradnl" w:eastAsia="es-CO"/>
        </w:rPr>
        <w:t xml:space="preserve">alor de mercado con cambios en el resultado: </w:t>
      </w:r>
      <w:r w:rsidRPr="00EC6EE7">
        <w:rPr>
          <w:rFonts w:ascii="Arial" w:hAnsi="Arial" w:cs="Arial"/>
          <w:color w:val="000000"/>
          <w:sz w:val="22"/>
          <w:szCs w:val="22"/>
          <w:lang w:val="es-ES_tradnl" w:eastAsia="es-CO"/>
        </w:rPr>
        <w:t>corresponde a las inversiones que tienen valor de mercado y que</w:t>
      </w:r>
      <w:r w:rsidR="005E213F">
        <w:rPr>
          <w:rFonts w:ascii="Arial" w:hAnsi="Arial" w:cs="Arial"/>
          <w:color w:val="000000"/>
          <w:sz w:val="22"/>
          <w:szCs w:val="22"/>
          <w:lang w:val="es-ES_tradnl" w:eastAsia="es-CO"/>
        </w:rPr>
        <w:t xml:space="preserve"> </w:t>
      </w:r>
      <w:r w:rsidRPr="00EC6EE7">
        <w:rPr>
          <w:rFonts w:ascii="Arial" w:hAnsi="Arial" w:cs="Arial"/>
          <w:color w:val="000000"/>
          <w:sz w:val="22"/>
          <w:szCs w:val="22"/>
          <w:lang w:val="es-ES_tradnl" w:eastAsia="es-CO"/>
        </w:rPr>
        <w:t>se</w:t>
      </w:r>
      <w:r w:rsidR="005E213F">
        <w:rPr>
          <w:rFonts w:ascii="Arial" w:hAnsi="Arial" w:cs="Arial"/>
          <w:color w:val="000000"/>
          <w:sz w:val="22"/>
          <w:szCs w:val="22"/>
          <w:lang w:val="es-ES_tradnl" w:eastAsia="es-CO"/>
        </w:rPr>
        <w:t xml:space="preserve"> tienen exclusivamente </w:t>
      </w:r>
      <w:r w:rsidRPr="00EC6EE7">
        <w:rPr>
          <w:rFonts w:ascii="Arial" w:hAnsi="Arial" w:cs="Arial"/>
          <w:color w:val="000000"/>
          <w:sz w:val="22"/>
          <w:szCs w:val="22"/>
          <w:lang w:val="es-ES_tradnl" w:eastAsia="es-CO"/>
        </w:rPr>
        <w:t xml:space="preserve">negociar, es decir, las inversiones cuyos rendimientos esperados provienen del comportamiento del mercado. </w:t>
      </w:r>
    </w:p>
    <w:p w14:paraId="767B89C3"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p>
    <w:p w14:paraId="7C60F32D"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r>
        <w:rPr>
          <w:rFonts w:ascii="Arial" w:hAnsi="Arial" w:cs="Arial"/>
          <w:b/>
          <w:color w:val="000000"/>
          <w:sz w:val="22"/>
          <w:szCs w:val="22"/>
          <w:lang w:val="es-ES_tradnl" w:eastAsia="es-CO"/>
        </w:rPr>
        <w:t>Categoría de c</w:t>
      </w:r>
      <w:r w:rsidRPr="00EC6EE7">
        <w:rPr>
          <w:rFonts w:ascii="Arial" w:hAnsi="Arial" w:cs="Arial"/>
          <w:b/>
          <w:color w:val="000000"/>
          <w:sz w:val="22"/>
          <w:szCs w:val="22"/>
          <w:lang w:val="es-ES_tradnl" w:eastAsia="es-CO"/>
        </w:rPr>
        <w:t>osto amortizado</w:t>
      </w:r>
      <w:r w:rsidRPr="00EC6EE7">
        <w:rPr>
          <w:rFonts w:ascii="Arial" w:hAnsi="Arial" w:cs="Arial"/>
          <w:color w:val="000000"/>
          <w:sz w:val="22"/>
          <w:szCs w:val="22"/>
          <w:lang w:val="es-ES_tradnl" w:eastAsia="es-CO"/>
        </w:rPr>
        <w:t xml:space="preserve">: corresponde a las inversiones que la entidad tiene con la intención y capacidad de conservar hasta su vencimiento, es decir, aquellas cuyos rendimientos provienen de los flujos contractuales del instrumento. </w:t>
      </w:r>
    </w:p>
    <w:p w14:paraId="2E5DF092"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p>
    <w:p w14:paraId="64E2E82E"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r>
        <w:rPr>
          <w:rFonts w:ascii="Arial" w:hAnsi="Arial" w:cs="Arial"/>
          <w:b/>
          <w:color w:val="000000"/>
          <w:sz w:val="22"/>
          <w:szCs w:val="22"/>
          <w:lang w:val="es-ES_tradnl" w:eastAsia="es-CO"/>
        </w:rPr>
        <w:t>Categoría de v</w:t>
      </w:r>
      <w:r w:rsidRPr="00EC6EE7">
        <w:rPr>
          <w:rFonts w:ascii="Arial" w:hAnsi="Arial" w:cs="Arial"/>
          <w:b/>
          <w:color w:val="000000"/>
          <w:sz w:val="22"/>
          <w:szCs w:val="22"/>
          <w:lang w:val="es-ES_tradnl" w:eastAsia="es-CO"/>
        </w:rPr>
        <w:t>alor de mercado con cambios en el patrimonio</w:t>
      </w:r>
      <w:r w:rsidRPr="00EC6EE7">
        <w:rPr>
          <w:rFonts w:ascii="Arial" w:hAnsi="Arial" w:cs="Arial"/>
          <w:color w:val="000000"/>
          <w:sz w:val="22"/>
          <w:szCs w:val="22"/>
          <w:lang w:val="es-ES_tradnl" w:eastAsia="es-CO"/>
        </w:rPr>
        <w:t>: corresponde a las inversiones en instrumentos de patrimonio que tienen valor de mercado, que no se mantienen con la intención exclusiva de negociar y que no otorgan control, influencia significativa</w:t>
      </w:r>
      <w:r>
        <w:rPr>
          <w:rFonts w:ascii="Arial" w:hAnsi="Arial" w:cs="Arial"/>
          <w:color w:val="000000"/>
          <w:sz w:val="22"/>
          <w:szCs w:val="22"/>
          <w:lang w:val="es-ES_tradnl" w:eastAsia="es-CO"/>
        </w:rPr>
        <w:t>,</w:t>
      </w:r>
      <w:r w:rsidRPr="00EC6EE7">
        <w:rPr>
          <w:rFonts w:ascii="Arial" w:hAnsi="Arial" w:cs="Arial"/>
          <w:color w:val="000000"/>
          <w:sz w:val="22"/>
          <w:szCs w:val="22"/>
          <w:lang w:val="es-ES_tradnl" w:eastAsia="es-CO"/>
        </w:rPr>
        <w:t xml:space="preserve"> ni control conjunto. También se clasificarán en esta categoría las inversiones </w:t>
      </w:r>
      <w:r w:rsidRPr="00EC6EE7">
        <w:rPr>
          <w:rFonts w:ascii="Arial" w:hAnsi="Arial" w:cs="Arial"/>
          <w:color w:val="000000"/>
          <w:sz w:val="22"/>
          <w:szCs w:val="22"/>
          <w:lang w:val="es-ES_tradnl" w:eastAsia="es-CO"/>
        </w:rPr>
        <w:lastRenderedPageBreak/>
        <w:t xml:space="preserve">en títulos de deuda que tienen valor de mercado y que no se mantienen con la intención exclusiva de negociar o de conservar hasta su vencimiento. </w:t>
      </w:r>
    </w:p>
    <w:p w14:paraId="6FF21010"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p>
    <w:p w14:paraId="345F3079" w14:textId="77777777" w:rsidR="00B524CD" w:rsidRPr="00EC6EE7" w:rsidRDefault="00B524CD" w:rsidP="00CA76B9">
      <w:pPr>
        <w:autoSpaceDE w:val="0"/>
        <w:autoSpaceDN w:val="0"/>
        <w:adjustRightInd w:val="0"/>
        <w:spacing w:line="288" w:lineRule="auto"/>
        <w:jc w:val="both"/>
        <w:rPr>
          <w:rFonts w:ascii="Arial" w:hAnsi="Arial" w:cs="Arial"/>
          <w:color w:val="000000"/>
          <w:sz w:val="22"/>
          <w:szCs w:val="22"/>
          <w:lang w:val="es-ES_tradnl" w:eastAsia="es-CO"/>
        </w:rPr>
      </w:pPr>
      <w:r>
        <w:rPr>
          <w:rFonts w:ascii="Arial" w:hAnsi="Arial" w:cs="Arial"/>
          <w:b/>
          <w:color w:val="000000"/>
          <w:sz w:val="22"/>
          <w:szCs w:val="22"/>
          <w:lang w:val="es-ES_tradnl" w:eastAsia="es-CO"/>
        </w:rPr>
        <w:t>Categoría de c</w:t>
      </w:r>
      <w:r w:rsidRPr="00EC6EE7">
        <w:rPr>
          <w:rFonts w:ascii="Arial" w:hAnsi="Arial" w:cs="Arial"/>
          <w:b/>
          <w:color w:val="000000"/>
          <w:sz w:val="22"/>
          <w:szCs w:val="22"/>
          <w:lang w:val="es-ES_tradnl" w:eastAsia="es-CO"/>
        </w:rPr>
        <w:t xml:space="preserve">osto: </w:t>
      </w:r>
      <w:r w:rsidRPr="00EC6EE7">
        <w:rPr>
          <w:rFonts w:ascii="Arial" w:hAnsi="Arial" w:cs="Arial"/>
          <w:color w:val="000000"/>
          <w:sz w:val="22"/>
          <w:szCs w:val="22"/>
          <w:lang w:val="es-ES_tradnl" w:eastAsia="es-CO"/>
        </w:rPr>
        <w:t xml:space="preserve">corresponde a las inversiones que no tienen valor de mercado y que corresponden a: a) </w:t>
      </w:r>
      <w:r>
        <w:rPr>
          <w:rFonts w:ascii="Arial" w:hAnsi="Arial" w:cs="Arial"/>
          <w:color w:val="000000"/>
          <w:sz w:val="22"/>
          <w:szCs w:val="22"/>
          <w:lang w:val="es-ES_tradnl" w:eastAsia="es-CO"/>
        </w:rPr>
        <w:t>I</w:t>
      </w:r>
      <w:r w:rsidRPr="00EC6EE7">
        <w:rPr>
          <w:rFonts w:ascii="Arial" w:hAnsi="Arial" w:cs="Arial"/>
          <w:color w:val="000000"/>
          <w:sz w:val="22"/>
          <w:szCs w:val="22"/>
          <w:lang w:val="es-ES_tradnl" w:eastAsia="es-CO"/>
        </w:rPr>
        <w:t xml:space="preserve">nstrumentos de patrimonio, con independencia de que se esperen o no negociar, siempre que no otorguen control, influencia significativa ni control conjunto; b) </w:t>
      </w:r>
      <w:r>
        <w:rPr>
          <w:rFonts w:ascii="Arial" w:hAnsi="Arial" w:cs="Arial"/>
          <w:color w:val="000000"/>
          <w:sz w:val="22"/>
          <w:szCs w:val="22"/>
          <w:lang w:val="es-ES_tradnl" w:eastAsia="es-CO"/>
        </w:rPr>
        <w:t>I</w:t>
      </w:r>
      <w:r w:rsidRPr="00EC6EE7">
        <w:rPr>
          <w:rFonts w:ascii="Arial" w:hAnsi="Arial" w:cs="Arial"/>
          <w:color w:val="000000"/>
          <w:sz w:val="22"/>
          <w:szCs w:val="22"/>
          <w:lang w:val="es-ES_tradnl" w:eastAsia="es-CO"/>
        </w:rPr>
        <w:t xml:space="preserve">nstrumentos de deuda que se esperen negociar; y c) </w:t>
      </w:r>
      <w:r>
        <w:rPr>
          <w:rFonts w:ascii="Arial" w:hAnsi="Arial" w:cs="Arial"/>
          <w:color w:val="000000"/>
          <w:sz w:val="22"/>
          <w:szCs w:val="22"/>
          <w:lang w:val="es-ES_tradnl" w:eastAsia="es-CO"/>
        </w:rPr>
        <w:t>I</w:t>
      </w:r>
      <w:r w:rsidRPr="00EC6EE7">
        <w:rPr>
          <w:rFonts w:ascii="Arial" w:hAnsi="Arial" w:cs="Arial"/>
          <w:color w:val="000000"/>
          <w:sz w:val="22"/>
          <w:szCs w:val="22"/>
          <w:lang w:val="es-ES_tradnl" w:eastAsia="es-CO"/>
        </w:rPr>
        <w:t xml:space="preserve">nstrumentos de deuda que no se mantienen con la intención exclusiva de negociar o de conservar hasta su vencimiento. </w:t>
      </w:r>
    </w:p>
    <w:p w14:paraId="0D9E1E16" w14:textId="77777777" w:rsidR="00B524CD" w:rsidRDefault="00B524CD" w:rsidP="00CA76B9">
      <w:pPr>
        <w:spacing w:line="288" w:lineRule="auto"/>
        <w:jc w:val="both"/>
        <w:rPr>
          <w:rFonts w:ascii="Arial" w:hAnsi="Arial" w:cs="Arial"/>
          <w:sz w:val="22"/>
          <w:szCs w:val="22"/>
        </w:rPr>
      </w:pPr>
    </w:p>
    <w:p w14:paraId="06F225F5" w14:textId="71AA073E" w:rsidR="004F4103" w:rsidRDefault="00AF399C" w:rsidP="00CA76B9">
      <w:pPr>
        <w:spacing w:line="288" w:lineRule="auto"/>
        <w:jc w:val="both"/>
        <w:rPr>
          <w:rFonts w:ascii="Arial" w:hAnsi="Arial" w:cs="Arial"/>
          <w:i/>
          <w:sz w:val="22"/>
          <w:szCs w:val="22"/>
        </w:rPr>
      </w:pPr>
      <w:r>
        <w:rPr>
          <w:rFonts w:ascii="Arial" w:hAnsi="Arial" w:cs="Arial"/>
          <w:sz w:val="22"/>
          <w:szCs w:val="22"/>
        </w:rPr>
        <w:t>Conforme lo anterior, los aportes realizados</w:t>
      </w:r>
      <w:r w:rsidR="00AB4D4D">
        <w:rPr>
          <w:rFonts w:ascii="Arial" w:hAnsi="Arial" w:cs="Arial"/>
          <w:sz w:val="22"/>
          <w:szCs w:val="22"/>
        </w:rPr>
        <w:t xml:space="preserve"> por el Ministerio de Hacienda y Crédito Público </w:t>
      </w:r>
      <w:r>
        <w:rPr>
          <w:rFonts w:ascii="Arial" w:hAnsi="Arial" w:cs="Arial"/>
          <w:sz w:val="22"/>
          <w:szCs w:val="22"/>
        </w:rPr>
        <w:t xml:space="preserve"> a los organismos internacionales se incluyen d</w:t>
      </w:r>
      <w:r w:rsidR="0038691C">
        <w:rPr>
          <w:rFonts w:ascii="Arial" w:hAnsi="Arial" w:cs="Arial"/>
          <w:sz w:val="22"/>
          <w:szCs w:val="22"/>
        </w:rPr>
        <w:t xml:space="preserve">entro de las inversiones de administración de liquidez </w:t>
      </w:r>
      <w:r>
        <w:rPr>
          <w:rFonts w:ascii="Arial" w:hAnsi="Arial" w:cs="Arial"/>
          <w:sz w:val="22"/>
          <w:szCs w:val="22"/>
        </w:rPr>
        <w:t>clasificadas en la categoría de costo. De este modo</w:t>
      </w:r>
      <w:r w:rsidR="0038691C">
        <w:rPr>
          <w:rFonts w:ascii="Arial" w:hAnsi="Arial" w:cs="Arial"/>
          <w:sz w:val="22"/>
          <w:szCs w:val="22"/>
        </w:rPr>
        <w:t>,</w:t>
      </w:r>
      <w:r>
        <w:rPr>
          <w:rFonts w:ascii="Arial" w:hAnsi="Arial" w:cs="Arial"/>
          <w:sz w:val="22"/>
          <w:szCs w:val="22"/>
        </w:rPr>
        <w:t xml:space="preserve"> </w:t>
      </w:r>
      <w:r w:rsidR="00BE7B77">
        <w:rPr>
          <w:rFonts w:ascii="Arial" w:hAnsi="Arial" w:cs="Arial"/>
          <w:sz w:val="22"/>
          <w:szCs w:val="22"/>
        </w:rPr>
        <w:t xml:space="preserve">el suministro </w:t>
      </w:r>
      <w:r w:rsidR="00AF14EC">
        <w:rPr>
          <w:rFonts w:ascii="Arial" w:hAnsi="Arial" w:cs="Arial"/>
          <w:sz w:val="22"/>
          <w:szCs w:val="22"/>
        </w:rPr>
        <w:t xml:space="preserve">de la información </w:t>
      </w:r>
      <w:r w:rsidR="0038691C">
        <w:rPr>
          <w:rFonts w:ascii="Arial" w:hAnsi="Arial" w:cs="Arial"/>
          <w:sz w:val="22"/>
          <w:szCs w:val="22"/>
        </w:rPr>
        <w:t xml:space="preserve">es realizado </w:t>
      </w:r>
      <w:r w:rsidR="00423433">
        <w:rPr>
          <w:rFonts w:ascii="Arial" w:hAnsi="Arial" w:cs="Arial"/>
          <w:sz w:val="22"/>
          <w:szCs w:val="22"/>
        </w:rPr>
        <w:t>a trav</w:t>
      </w:r>
      <w:r w:rsidR="0038691C">
        <w:rPr>
          <w:rFonts w:ascii="Arial" w:hAnsi="Arial" w:cs="Arial"/>
          <w:sz w:val="22"/>
          <w:szCs w:val="22"/>
        </w:rPr>
        <w:t xml:space="preserve">és </w:t>
      </w:r>
      <w:r w:rsidR="00423433">
        <w:rPr>
          <w:rFonts w:ascii="Arial" w:hAnsi="Arial" w:cs="Arial"/>
          <w:sz w:val="22"/>
          <w:szCs w:val="22"/>
        </w:rPr>
        <w:t>del área de organismos multilaterales de la Dirección General de Crédito Público y del Tesoro Nacional</w:t>
      </w:r>
      <w:r>
        <w:rPr>
          <w:rFonts w:ascii="Arial" w:hAnsi="Arial" w:cs="Arial"/>
          <w:sz w:val="22"/>
          <w:szCs w:val="22"/>
        </w:rPr>
        <w:t>, y</w:t>
      </w:r>
      <w:r w:rsidR="00EF1F87">
        <w:rPr>
          <w:rFonts w:ascii="Arial" w:hAnsi="Arial" w:cs="Arial"/>
          <w:sz w:val="22"/>
          <w:szCs w:val="22"/>
        </w:rPr>
        <w:t xml:space="preserve"> la conciliación de dichos aportes se realizará utilizando el formato </w:t>
      </w:r>
      <w:r w:rsidR="00AB4D4D">
        <w:rPr>
          <w:rFonts w:ascii="Arial" w:hAnsi="Arial" w:cs="Arial"/>
          <w:sz w:val="22"/>
          <w:szCs w:val="22"/>
        </w:rPr>
        <w:t>“</w:t>
      </w:r>
      <w:r w:rsidR="00EF1F87" w:rsidRPr="00CB3572">
        <w:rPr>
          <w:rFonts w:ascii="Arial" w:hAnsi="Arial" w:cs="Arial"/>
          <w:i/>
          <w:sz w:val="22"/>
          <w:szCs w:val="22"/>
        </w:rPr>
        <w:t>Apo.3.Man.3.Fr.6</w:t>
      </w:r>
      <w:r w:rsidR="00EF1F87">
        <w:rPr>
          <w:rFonts w:ascii="Arial" w:hAnsi="Arial" w:cs="Arial"/>
          <w:i/>
          <w:sz w:val="22"/>
          <w:szCs w:val="22"/>
        </w:rPr>
        <w:t xml:space="preserve"> - </w:t>
      </w:r>
      <w:r w:rsidR="00EF1F87" w:rsidRPr="00EF1F87">
        <w:rPr>
          <w:rFonts w:ascii="Arial" w:hAnsi="Arial" w:cs="Arial"/>
          <w:i/>
          <w:sz w:val="22"/>
          <w:szCs w:val="22"/>
        </w:rPr>
        <w:t>Conciliación de Aportes a Organismos Internacionales</w:t>
      </w:r>
      <w:r w:rsidR="00AB4D4D">
        <w:rPr>
          <w:rFonts w:ascii="Arial" w:hAnsi="Arial" w:cs="Arial"/>
          <w:i/>
          <w:sz w:val="22"/>
          <w:szCs w:val="22"/>
        </w:rPr>
        <w:t>”</w:t>
      </w:r>
      <w:r w:rsidR="00EF1F87">
        <w:rPr>
          <w:rFonts w:ascii="Arial" w:hAnsi="Arial" w:cs="Arial"/>
          <w:i/>
          <w:sz w:val="22"/>
          <w:szCs w:val="22"/>
        </w:rPr>
        <w:t>.</w:t>
      </w:r>
      <w:r w:rsidR="004F4103">
        <w:rPr>
          <w:rFonts w:ascii="Arial" w:hAnsi="Arial" w:cs="Arial"/>
          <w:i/>
          <w:sz w:val="22"/>
          <w:szCs w:val="22"/>
        </w:rPr>
        <w:t xml:space="preserve"> </w:t>
      </w:r>
    </w:p>
    <w:p w14:paraId="0778A1FB" w14:textId="6EE15053" w:rsidR="004F4103" w:rsidRDefault="004F4103" w:rsidP="00CA76B9">
      <w:pPr>
        <w:spacing w:line="288" w:lineRule="auto"/>
        <w:jc w:val="both"/>
        <w:rPr>
          <w:rFonts w:ascii="Arial" w:hAnsi="Arial" w:cs="Arial"/>
          <w:i/>
          <w:sz w:val="22"/>
          <w:szCs w:val="22"/>
        </w:rPr>
      </w:pPr>
    </w:p>
    <w:p w14:paraId="54D36D79" w14:textId="49FF9E93" w:rsidR="004F4103" w:rsidRPr="00CB3572" w:rsidRDefault="004F4103" w:rsidP="00CA76B9">
      <w:pPr>
        <w:spacing w:line="288" w:lineRule="auto"/>
        <w:jc w:val="both"/>
        <w:rPr>
          <w:rFonts w:ascii="Arial" w:hAnsi="Arial" w:cs="Arial"/>
          <w:sz w:val="22"/>
          <w:szCs w:val="22"/>
        </w:rPr>
      </w:pPr>
      <w:r w:rsidRPr="00CB3572">
        <w:rPr>
          <w:rFonts w:ascii="Arial" w:hAnsi="Arial" w:cs="Arial"/>
          <w:sz w:val="22"/>
          <w:szCs w:val="22"/>
        </w:rPr>
        <w:t xml:space="preserve">Con relación </w:t>
      </w:r>
      <w:r>
        <w:rPr>
          <w:rFonts w:ascii="Arial" w:hAnsi="Arial" w:cs="Arial"/>
          <w:sz w:val="22"/>
          <w:szCs w:val="22"/>
        </w:rPr>
        <w:t xml:space="preserve">a la </w:t>
      </w:r>
      <w:proofErr w:type="spellStart"/>
      <w:r>
        <w:rPr>
          <w:rFonts w:ascii="Arial" w:hAnsi="Arial" w:cs="Arial"/>
          <w:sz w:val="22"/>
          <w:szCs w:val="22"/>
        </w:rPr>
        <w:t>causación</w:t>
      </w:r>
      <w:proofErr w:type="spellEnd"/>
      <w:r>
        <w:rPr>
          <w:rFonts w:ascii="Arial" w:hAnsi="Arial" w:cs="Arial"/>
          <w:sz w:val="22"/>
          <w:szCs w:val="22"/>
        </w:rPr>
        <w:t xml:space="preserve"> de dividendos de la Corporación Andina de Fomento (CAF), se ha suscrito el </w:t>
      </w:r>
      <w:r w:rsidR="00AB4D4D">
        <w:rPr>
          <w:rFonts w:ascii="Arial" w:hAnsi="Arial" w:cs="Arial"/>
          <w:sz w:val="22"/>
          <w:szCs w:val="22"/>
        </w:rPr>
        <w:t>“</w:t>
      </w:r>
      <w:r w:rsidRPr="00CB3572">
        <w:rPr>
          <w:rFonts w:ascii="Arial" w:hAnsi="Arial" w:cs="Arial"/>
          <w:i/>
          <w:sz w:val="22"/>
          <w:szCs w:val="22"/>
        </w:rPr>
        <w:t>Acuerdo de Servicios</w:t>
      </w:r>
      <w:r>
        <w:rPr>
          <w:rFonts w:ascii="Arial" w:hAnsi="Arial" w:cs="Arial"/>
          <w:i/>
          <w:sz w:val="22"/>
          <w:szCs w:val="22"/>
        </w:rPr>
        <w:t xml:space="preserve"> </w:t>
      </w:r>
      <w:r w:rsidRPr="004F4103">
        <w:rPr>
          <w:rFonts w:ascii="Arial" w:hAnsi="Arial" w:cs="Arial"/>
          <w:i/>
          <w:sz w:val="22"/>
          <w:szCs w:val="22"/>
        </w:rPr>
        <w:t>Mis.3.3_Apo.3.0_As099</w:t>
      </w:r>
      <w:r w:rsidR="00AB4D4D">
        <w:rPr>
          <w:rFonts w:ascii="Arial" w:hAnsi="Arial" w:cs="Arial"/>
          <w:i/>
          <w:sz w:val="22"/>
          <w:szCs w:val="22"/>
        </w:rPr>
        <w:t>”</w:t>
      </w:r>
      <w:r>
        <w:rPr>
          <w:rFonts w:ascii="Arial" w:hAnsi="Arial" w:cs="Arial"/>
          <w:i/>
          <w:sz w:val="22"/>
          <w:szCs w:val="22"/>
        </w:rPr>
        <w:t xml:space="preserve"> </w:t>
      </w:r>
      <w:r w:rsidRPr="00CB3572">
        <w:rPr>
          <w:rFonts w:ascii="Arial" w:hAnsi="Arial" w:cs="Arial"/>
          <w:sz w:val="22"/>
          <w:szCs w:val="22"/>
        </w:rPr>
        <w:t>entre</w:t>
      </w:r>
      <w:r>
        <w:rPr>
          <w:rFonts w:ascii="Arial" w:hAnsi="Arial" w:cs="Arial"/>
          <w:sz w:val="22"/>
          <w:szCs w:val="22"/>
        </w:rPr>
        <w:t xml:space="preserve"> la Subdirección de </w:t>
      </w:r>
      <w:r w:rsidRPr="004F4103">
        <w:rPr>
          <w:rFonts w:ascii="Arial" w:hAnsi="Arial" w:cs="Arial"/>
          <w:sz w:val="22"/>
          <w:szCs w:val="22"/>
        </w:rPr>
        <w:t>Financiamiento con Organismos Multilaterales y Gobiernos</w:t>
      </w:r>
      <w:r w:rsidRPr="00CB3572">
        <w:rPr>
          <w:rFonts w:ascii="Arial" w:hAnsi="Arial" w:cs="Arial"/>
          <w:sz w:val="22"/>
          <w:szCs w:val="22"/>
        </w:rPr>
        <w:t xml:space="preserve"> </w:t>
      </w:r>
      <w:r>
        <w:rPr>
          <w:rFonts w:ascii="Arial" w:hAnsi="Arial" w:cs="Arial"/>
          <w:sz w:val="22"/>
          <w:szCs w:val="22"/>
        </w:rPr>
        <w:t xml:space="preserve">y la Subdirección Financiera, con el fin de determinar el envío </w:t>
      </w:r>
      <w:r w:rsidRPr="004F4103">
        <w:rPr>
          <w:rFonts w:ascii="Arial" w:hAnsi="Arial" w:cs="Arial"/>
          <w:sz w:val="22"/>
          <w:szCs w:val="22"/>
        </w:rPr>
        <w:t xml:space="preserve">al Grupo de Contabilidad </w:t>
      </w:r>
      <w:r>
        <w:rPr>
          <w:rFonts w:ascii="Arial" w:hAnsi="Arial" w:cs="Arial"/>
          <w:sz w:val="22"/>
          <w:szCs w:val="22"/>
        </w:rPr>
        <w:t xml:space="preserve">de la </w:t>
      </w:r>
      <w:r w:rsidRPr="004F4103">
        <w:rPr>
          <w:rFonts w:ascii="Arial" w:hAnsi="Arial" w:cs="Arial"/>
          <w:sz w:val="22"/>
          <w:szCs w:val="22"/>
        </w:rPr>
        <w:t>copia del Acta de la Asamblea y/o Órgano respectivo de la Corporación Andina de Fomento en la que se aprueb</w:t>
      </w:r>
      <w:r w:rsidR="00D715C7">
        <w:rPr>
          <w:rFonts w:ascii="Arial" w:hAnsi="Arial" w:cs="Arial"/>
          <w:sz w:val="22"/>
          <w:szCs w:val="22"/>
        </w:rPr>
        <w:t>e</w:t>
      </w:r>
      <w:r w:rsidRPr="004F4103">
        <w:rPr>
          <w:rFonts w:ascii="Arial" w:hAnsi="Arial" w:cs="Arial"/>
          <w:sz w:val="22"/>
          <w:szCs w:val="22"/>
        </w:rPr>
        <w:t xml:space="preserve"> la distribución de dividendos del año inmediatamente anterior</w:t>
      </w:r>
      <w:r>
        <w:rPr>
          <w:rFonts w:ascii="Arial" w:hAnsi="Arial" w:cs="Arial"/>
          <w:sz w:val="22"/>
          <w:szCs w:val="22"/>
        </w:rPr>
        <w:t>, para su correspondiente registro</w:t>
      </w:r>
      <w:r w:rsidRPr="004F4103">
        <w:rPr>
          <w:rFonts w:ascii="Arial" w:hAnsi="Arial" w:cs="Arial"/>
          <w:sz w:val="22"/>
          <w:szCs w:val="22"/>
        </w:rPr>
        <w:t xml:space="preserve">.   </w:t>
      </w:r>
      <w:r w:rsidRPr="00CB3572">
        <w:rPr>
          <w:rFonts w:ascii="Arial" w:hAnsi="Arial" w:cs="Arial"/>
          <w:i/>
          <w:sz w:val="22"/>
          <w:szCs w:val="22"/>
        </w:rPr>
        <w:t xml:space="preserve"> </w:t>
      </w:r>
    </w:p>
    <w:p w14:paraId="17E54544" w14:textId="34C476A3" w:rsidR="002A1C5A" w:rsidRDefault="002A1C5A" w:rsidP="00CA76B9">
      <w:pPr>
        <w:spacing w:line="288" w:lineRule="auto"/>
        <w:jc w:val="both"/>
        <w:rPr>
          <w:rFonts w:ascii="Arial" w:hAnsi="Arial" w:cs="Arial"/>
          <w:sz w:val="22"/>
          <w:szCs w:val="22"/>
        </w:rPr>
      </w:pPr>
    </w:p>
    <w:p w14:paraId="3C53BC21" w14:textId="3A0E9202" w:rsidR="00553773" w:rsidRDefault="002A1C5A" w:rsidP="00CA76B9">
      <w:pPr>
        <w:spacing w:line="288" w:lineRule="auto"/>
        <w:jc w:val="both"/>
        <w:rPr>
          <w:rFonts w:ascii="Arial" w:hAnsi="Arial" w:cs="Arial"/>
          <w:i/>
          <w:sz w:val="22"/>
          <w:szCs w:val="22"/>
        </w:rPr>
      </w:pPr>
      <w:r>
        <w:rPr>
          <w:rFonts w:ascii="Arial" w:hAnsi="Arial" w:cs="Arial"/>
          <w:sz w:val="22"/>
          <w:szCs w:val="22"/>
        </w:rPr>
        <w:t>Tratándose de los instrumentos de patrimonio clasificados en la categoría de costo</w:t>
      </w:r>
      <w:r w:rsidR="00B31ACF">
        <w:rPr>
          <w:rFonts w:ascii="Arial" w:hAnsi="Arial" w:cs="Arial"/>
          <w:sz w:val="22"/>
          <w:szCs w:val="22"/>
        </w:rPr>
        <w:t>, la información será suministrada</w:t>
      </w:r>
      <w:r>
        <w:rPr>
          <w:rFonts w:ascii="Arial" w:hAnsi="Arial" w:cs="Arial"/>
          <w:sz w:val="22"/>
          <w:szCs w:val="22"/>
        </w:rPr>
        <w:t xml:space="preserve"> </w:t>
      </w:r>
      <w:r w:rsidR="00B31ACF">
        <w:rPr>
          <w:rFonts w:ascii="Arial" w:hAnsi="Arial" w:cs="Arial"/>
          <w:sz w:val="22"/>
          <w:szCs w:val="22"/>
        </w:rPr>
        <w:t>por las entidades</w:t>
      </w:r>
      <w:r w:rsidR="00AF4209">
        <w:rPr>
          <w:rFonts w:ascii="Arial" w:hAnsi="Arial" w:cs="Arial"/>
          <w:sz w:val="22"/>
          <w:szCs w:val="22"/>
        </w:rPr>
        <w:t xml:space="preserve"> receptoras de la inversión </w:t>
      </w:r>
      <w:r w:rsidR="00B31ACF">
        <w:rPr>
          <w:rFonts w:ascii="Arial" w:hAnsi="Arial" w:cs="Arial"/>
          <w:sz w:val="22"/>
          <w:szCs w:val="22"/>
        </w:rPr>
        <w:t>mediante la utilización del aplicativo dispuesto para tal fin.</w:t>
      </w:r>
      <w:r w:rsidR="00553773">
        <w:rPr>
          <w:rFonts w:ascii="Arial" w:hAnsi="Arial" w:cs="Arial"/>
          <w:sz w:val="22"/>
          <w:szCs w:val="22"/>
        </w:rPr>
        <w:t xml:space="preserve"> Asimismo, para el análisis de dichas inversiones se empleará el formato </w:t>
      </w:r>
      <w:r w:rsidR="00553773" w:rsidRPr="004F4103">
        <w:rPr>
          <w:rFonts w:ascii="Arial" w:hAnsi="Arial" w:cs="Arial"/>
          <w:sz w:val="22"/>
          <w:szCs w:val="22"/>
        </w:rPr>
        <w:t xml:space="preserve">denominado </w:t>
      </w:r>
      <w:r w:rsidR="00AE1E2F" w:rsidRPr="00CB3572">
        <w:rPr>
          <w:rFonts w:ascii="Arial" w:hAnsi="Arial" w:cs="Arial"/>
          <w:i/>
          <w:sz w:val="22"/>
          <w:szCs w:val="22"/>
        </w:rPr>
        <w:t>“</w:t>
      </w:r>
      <w:r w:rsidR="00182956" w:rsidRPr="004F4103">
        <w:rPr>
          <w:rFonts w:ascii="Arial" w:hAnsi="Arial" w:cs="Arial"/>
          <w:i/>
          <w:sz w:val="22"/>
          <w:szCs w:val="22"/>
        </w:rPr>
        <w:t xml:space="preserve">Apo.3.Man.3.Fr.32 </w:t>
      </w:r>
      <w:r w:rsidR="00AE1E2F" w:rsidRPr="00CB3572">
        <w:rPr>
          <w:rFonts w:ascii="Arial" w:hAnsi="Arial" w:cs="Arial"/>
          <w:i/>
          <w:sz w:val="22"/>
          <w:szCs w:val="22"/>
        </w:rPr>
        <w:t xml:space="preserve">Evaluación y </w:t>
      </w:r>
      <w:r w:rsidR="0021500E" w:rsidRPr="0021500E">
        <w:rPr>
          <w:rFonts w:ascii="Arial" w:hAnsi="Arial" w:cs="Arial"/>
          <w:i/>
          <w:sz w:val="22"/>
          <w:szCs w:val="22"/>
        </w:rPr>
        <w:t>medición</w:t>
      </w:r>
      <w:r w:rsidR="00AE1E2F" w:rsidRPr="00CB3572">
        <w:rPr>
          <w:rFonts w:ascii="Arial" w:hAnsi="Arial" w:cs="Arial"/>
          <w:i/>
          <w:sz w:val="22"/>
          <w:szCs w:val="22"/>
        </w:rPr>
        <w:t xml:space="preserve"> de indicios de deterioro de inversiones de administración</w:t>
      </w:r>
      <w:r w:rsidR="0021500E">
        <w:rPr>
          <w:rFonts w:ascii="Arial" w:hAnsi="Arial" w:cs="Arial"/>
          <w:i/>
          <w:sz w:val="22"/>
          <w:szCs w:val="22"/>
        </w:rPr>
        <w:t xml:space="preserve"> </w:t>
      </w:r>
      <w:r w:rsidR="00AE1E2F" w:rsidRPr="00CB3572">
        <w:rPr>
          <w:rFonts w:ascii="Arial" w:hAnsi="Arial" w:cs="Arial"/>
          <w:i/>
          <w:sz w:val="22"/>
          <w:szCs w:val="22"/>
        </w:rPr>
        <w:t>de liquidez al costo”</w:t>
      </w:r>
    </w:p>
    <w:p w14:paraId="7F898A78" w14:textId="77777777" w:rsidR="00AE1E2F" w:rsidRPr="00CB3572" w:rsidRDefault="00AE1E2F" w:rsidP="00CA76B9">
      <w:pPr>
        <w:spacing w:line="288" w:lineRule="auto"/>
        <w:jc w:val="both"/>
        <w:rPr>
          <w:rFonts w:ascii="Arial" w:hAnsi="Arial" w:cs="Arial"/>
          <w:b/>
          <w:sz w:val="22"/>
          <w:szCs w:val="22"/>
        </w:rPr>
      </w:pPr>
    </w:p>
    <w:p w14:paraId="31E1AD49" w14:textId="3E71CF64" w:rsidR="00AF4209" w:rsidRDefault="00AF4209" w:rsidP="00CA76B9">
      <w:pPr>
        <w:pStyle w:val="Ttulo3"/>
        <w:numPr>
          <w:ilvl w:val="2"/>
          <w:numId w:val="1"/>
        </w:numPr>
        <w:spacing w:line="288" w:lineRule="auto"/>
        <w:jc w:val="both"/>
        <w:rPr>
          <w:rFonts w:ascii="Arial" w:hAnsi="Arial" w:cs="Arial"/>
          <w:b/>
          <w:sz w:val="22"/>
          <w:szCs w:val="22"/>
        </w:rPr>
      </w:pPr>
      <w:bookmarkStart w:id="274" w:name="_Toc59377866"/>
      <w:r w:rsidRPr="00CB3572">
        <w:rPr>
          <w:rFonts w:ascii="Arial" w:hAnsi="Arial" w:cs="Arial"/>
          <w:b/>
          <w:sz w:val="22"/>
          <w:szCs w:val="22"/>
        </w:rPr>
        <w:t>Inversiones en Controladas, en Asociadas, en Acuerdos Conjuntos y en Entidades en Liquidación</w:t>
      </w:r>
      <w:bookmarkEnd w:id="274"/>
    </w:p>
    <w:p w14:paraId="2F2DF84F" w14:textId="4A55E081" w:rsidR="00AA7C1F" w:rsidRDefault="00AA7C1F" w:rsidP="00CA76B9">
      <w:pPr>
        <w:spacing w:line="288" w:lineRule="auto"/>
      </w:pPr>
    </w:p>
    <w:p w14:paraId="27C22AD9" w14:textId="20E1240A" w:rsidR="00AA7C1F" w:rsidRPr="00EC6EE7" w:rsidRDefault="00AA7C1F"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inversiones en controladas, en asociadas, en acuerdos conjuntos y en entidades en liquidación</w:t>
      </w:r>
      <w:r w:rsidRPr="00EC6EE7">
        <w:rPr>
          <w:rFonts w:ascii="Arial" w:hAnsi="Arial" w:cs="Arial"/>
          <w:sz w:val="22"/>
          <w:szCs w:val="22"/>
          <w:lang w:val="es-ES_tradnl" w:eastAsia="es-CO"/>
        </w:rPr>
        <w:t xml:space="preserve">: </w:t>
      </w:r>
    </w:p>
    <w:p w14:paraId="5B9295E5" w14:textId="19EF6374" w:rsidR="00AA7C1F" w:rsidRDefault="00AA7C1F" w:rsidP="00CB3572"/>
    <w:tbl>
      <w:tblPr>
        <w:tblW w:w="0" w:type="auto"/>
        <w:jc w:val="center"/>
        <w:tblBorders>
          <w:top w:val="single" w:sz="12" w:space="0" w:color="3366CC"/>
          <w:bottom w:val="single" w:sz="12" w:space="0" w:color="3366CC"/>
          <w:insideH w:val="single" w:sz="12" w:space="0" w:color="3366CC"/>
        </w:tblBorders>
        <w:tblLook w:val="0420" w:firstRow="1" w:lastRow="0" w:firstColumn="0" w:lastColumn="0" w:noHBand="0" w:noVBand="1"/>
      </w:tblPr>
      <w:tblGrid>
        <w:gridCol w:w="3977"/>
        <w:gridCol w:w="139"/>
        <w:gridCol w:w="4724"/>
      </w:tblGrid>
      <w:tr w:rsidR="00AA7C1F" w:rsidRPr="001A68E7" w14:paraId="7656C768" w14:textId="77777777" w:rsidTr="00AB4D4D">
        <w:trPr>
          <w:trHeight w:val="20"/>
          <w:tblHeader/>
          <w:jc w:val="center"/>
        </w:trPr>
        <w:tc>
          <w:tcPr>
            <w:tcW w:w="4116" w:type="dxa"/>
            <w:gridSpan w:val="2"/>
            <w:shd w:val="clear" w:color="2F5395" w:fill="3366CC"/>
            <w:vAlign w:val="center"/>
          </w:tcPr>
          <w:p w14:paraId="7CB5A6E9" w14:textId="77777777" w:rsidR="00AA7C1F" w:rsidRPr="001A68E7" w:rsidRDefault="00AA7C1F"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lastRenderedPageBreak/>
              <w:t>ÁREA</w:t>
            </w:r>
          </w:p>
        </w:tc>
        <w:tc>
          <w:tcPr>
            <w:tcW w:w="4724" w:type="dxa"/>
            <w:shd w:val="clear" w:color="2F5395" w:fill="3366CC"/>
            <w:vAlign w:val="center"/>
          </w:tcPr>
          <w:p w14:paraId="5FD12A76" w14:textId="77777777" w:rsidR="00AA7C1F" w:rsidRPr="001A68E7" w:rsidRDefault="00AA7C1F"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AA7C1F" w:rsidRPr="001A68E7" w14:paraId="72539007" w14:textId="77777777" w:rsidTr="00AB4D4D">
        <w:trPr>
          <w:trHeight w:val="20"/>
          <w:jc w:val="center"/>
        </w:trPr>
        <w:tc>
          <w:tcPr>
            <w:tcW w:w="3977" w:type="dxa"/>
            <w:shd w:val="pct20" w:color="FFFFFF" w:fill="FFFFFF"/>
          </w:tcPr>
          <w:p w14:paraId="7A2CD91D" w14:textId="77777777" w:rsidR="00AA7C1F" w:rsidRPr="001A68E7" w:rsidRDefault="00AA7C1F" w:rsidP="00B26C22">
            <w:p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Entidades receptoras de la inversión, Dirección General de Participaciones Estatales y demás áreas involucradas en el suministro de información relacionada con las inversiones efectuadas por el Ministerio de Hacienda y Crédito Público – Gestión General  </w:t>
            </w:r>
          </w:p>
        </w:tc>
        <w:tc>
          <w:tcPr>
            <w:tcW w:w="4863" w:type="dxa"/>
            <w:gridSpan w:val="2"/>
            <w:shd w:val="pct20" w:color="FFFFFF" w:fill="FFFFFF"/>
          </w:tcPr>
          <w:p w14:paraId="259222F3" w14:textId="77777777" w:rsidR="00AA7C1F" w:rsidRPr="001A68E7" w:rsidRDefault="00AA7C1F" w:rsidP="00343ECE">
            <w:pPr>
              <w:numPr>
                <w:ilvl w:val="0"/>
                <w:numId w:val="28"/>
              </w:numPr>
              <w:spacing w:line="288" w:lineRule="auto"/>
              <w:ind w:left="418" w:hanging="284"/>
              <w:jc w:val="both"/>
              <w:rPr>
                <w:rFonts w:ascii="Arial" w:hAnsi="Arial" w:cs="Arial"/>
                <w:bCs/>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las inversiones realizadas por el MHCP – Gestión General</w:t>
            </w:r>
          </w:p>
        </w:tc>
      </w:tr>
      <w:tr w:rsidR="00AB4D4D" w:rsidRPr="001A68E7" w14:paraId="3C65219A" w14:textId="77777777" w:rsidTr="00AB4D4D">
        <w:trPr>
          <w:trHeight w:val="20"/>
          <w:jc w:val="center"/>
        </w:trPr>
        <w:tc>
          <w:tcPr>
            <w:tcW w:w="3977" w:type="dxa"/>
            <w:shd w:val="pct20" w:color="FFFFFF" w:fill="FFFFFF"/>
            <w:vAlign w:val="center"/>
          </w:tcPr>
          <w:p w14:paraId="0AC94EE3" w14:textId="66C75050" w:rsidR="00AB4D4D" w:rsidRPr="001A68E7" w:rsidRDefault="00AB4D4D" w:rsidP="00AB4D4D">
            <w:pPr>
              <w:spacing w:line="288" w:lineRule="auto"/>
              <w:jc w:val="both"/>
              <w:rPr>
                <w:rFonts w:ascii="Arial" w:hAnsi="Arial" w:cs="Arial"/>
                <w:sz w:val="18"/>
                <w:szCs w:val="18"/>
                <w:lang w:val="es-ES_tradnl" w:eastAsia="es-CO"/>
              </w:rPr>
            </w:pPr>
            <w:r w:rsidRPr="001A68E7">
              <w:rPr>
                <w:rFonts w:ascii="Arial" w:hAnsi="Arial" w:cs="Arial"/>
                <w:bCs/>
                <w:kern w:val="32"/>
                <w:sz w:val="18"/>
                <w:szCs w:val="18"/>
                <w:lang w:val="es-ES_tradnl"/>
              </w:rPr>
              <w:t>Subdirección Financiera / Grupo de Contabilidad</w:t>
            </w:r>
          </w:p>
        </w:tc>
        <w:tc>
          <w:tcPr>
            <w:tcW w:w="4863" w:type="dxa"/>
            <w:gridSpan w:val="2"/>
            <w:shd w:val="pct20" w:color="FFFFFF" w:fill="FFFFFF"/>
            <w:vAlign w:val="center"/>
          </w:tcPr>
          <w:p w14:paraId="2CBD6FA0" w14:textId="77777777" w:rsidR="00AB4D4D" w:rsidRPr="001A68E7" w:rsidRDefault="00AB4D4D" w:rsidP="00343ECE">
            <w:pPr>
              <w:numPr>
                <w:ilvl w:val="0"/>
                <w:numId w:val="28"/>
              </w:numPr>
              <w:spacing w:line="288" w:lineRule="auto"/>
              <w:ind w:left="418" w:hanging="284"/>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suministrada por las entidades receptoras de la inversión, y por el área o áreas respectivas, 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las inversiones realizadas por la Entidad</w:t>
            </w:r>
            <w:r>
              <w:rPr>
                <w:rFonts w:ascii="Arial" w:hAnsi="Arial" w:cs="Arial"/>
                <w:sz w:val="18"/>
                <w:szCs w:val="18"/>
                <w:lang w:val="es-ES_tradnl" w:eastAsia="es-CO"/>
              </w:rPr>
              <w:t xml:space="preserve">, </w:t>
            </w:r>
            <w:r w:rsidRPr="001A68E7">
              <w:rPr>
                <w:rFonts w:ascii="Arial" w:hAnsi="Arial" w:cs="Arial"/>
                <w:sz w:val="18"/>
                <w:szCs w:val="18"/>
                <w:lang w:val="es-ES_tradnl" w:eastAsia="es-CO"/>
              </w:rPr>
              <w:t>en los Estados Financieros del Ministerio de Hacienda y Crédito Público</w:t>
            </w:r>
            <w:r>
              <w:rPr>
                <w:rFonts w:ascii="Arial" w:hAnsi="Arial" w:cs="Arial"/>
                <w:sz w:val="18"/>
                <w:szCs w:val="18"/>
                <w:lang w:val="es-ES_tradnl" w:eastAsia="es-CO"/>
              </w:rPr>
              <w:t>.</w:t>
            </w:r>
            <w:r w:rsidRPr="001A68E7">
              <w:rPr>
                <w:rFonts w:ascii="Arial" w:hAnsi="Arial" w:cs="Arial"/>
                <w:sz w:val="18"/>
                <w:szCs w:val="18"/>
                <w:lang w:val="es-ES_tradnl" w:eastAsia="es-CO"/>
              </w:rPr>
              <w:t xml:space="preserve"> </w:t>
            </w:r>
          </w:p>
          <w:p w14:paraId="340B9BCF" w14:textId="7A700F6F" w:rsidR="00AB4D4D" w:rsidRPr="001A68E7" w:rsidRDefault="00AB4D4D" w:rsidP="00343ECE">
            <w:pPr>
              <w:numPr>
                <w:ilvl w:val="0"/>
                <w:numId w:val="28"/>
              </w:numPr>
              <w:spacing w:line="288" w:lineRule="auto"/>
              <w:ind w:left="418" w:hanging="284"/>
              <w:jc w:val="both"/>
              <w:rPr>
                <w:rFonts w:ascii="Arial" w:hAnsi="Arial" w:cs="Arial"/>
                <w:bCs/>
                <w:sz w:val="18"/>
                <w:szCs w:val="18"/>
                <w:lang w:val="es-ES_tradnl" w:eastAsia="es-CO"/>
              </w:rPr>
            </w:pPr>
            <w:r w:rsidRPr="001A68E7">
              <w:rPr>
                <w:rFonts w:ascii="Arial" w:hAnsi="Arial" w:cs="Arial"/>
                <w:bCs/>
                <w:sz w:val="18"/>
                <w:szCs w:val="18"/>
                <w:lang w:val="es-ES_tradnl" w:eastAsia="es-CO"/>
              </w:rPr>
              <w:t>Llevar a cabo el proceso de conciliación de las inversiones realizadas por el MHCP</w:t>
            </w:r>
          </w:p>
        </w:tc>
      </w:tr>
    </w:tbl>
    <w:p w14:paraId="0FC70D85" w14:textId="77777777" w:rsidR="00AA7C1F" w:rsidRPr="00CB3572" w:rsidRDefault="00AA7C1F" w:rsidP="00CB3572"/>
    <w:p w14:paraId="47017984" w14:textId="548967CA" w:rsidR="00913D5B" w:rsidRDefault="003C25CD" w:rsidP="00CA76B9">
      <w:pPr>
        <w:spacing w:line="288" w:lineRule="auto"/>
        <w:jc w:val="both"/>
        <w:rPr>
          <w:rFonts w:ascii="Arial" w:hAnsi="Arial" w:cs="Arial"/>
          <w:i/>
          <w:sz w:val="22"/>
          <w:szCs w:val="22"/>
        </w:rPr>
      </w:pPr>
      <w:r w:rsidRPr="00CB3572">
        <w:rPr>
          <w:rFonts w:ascii="Arial" w:hAnsi="Arial" w:cs="Arial"/>
          <w:sz w:val="22"/>
          <w:szCs w:val="22"/>
        </w:rPr>
        <w:t>En cuanto a la medición posterior</w:t>
      </w:r>
      <w:r>
        <w:rPr>
          <w:rFonts w:ascii="Arial" w:hAnsi="Arial" w:cs="Arial"/>
          <w:sz w:val="22"/>
          <w:szCs w:val="22"/>
        </w:rPr>
        <w:t xml:space="preserve"> de las inversiones en controladas, asociadas y negocios conjuntos, la aplicación del método de participación patrimonial se efectuará </w:t>
      </w:r>
      <w:r w:rsidR="00F86B98">
        <w:rPr>
          <w:rFonts w:ascii="Arial" w:hAnsi="Arial" w:cs="Arial"/>
          <w:sz w:val="22"/>
          <w:szCs w:val="22"/>
        </w:rPr>
        <w:t xml:space="preserve">trimestralmente. </w:t>
      </w:r>
      <w:r w:rsidR="00913D5B">
        <w:rPr>
          <w:rFonts w:ascii="Arial" w:hAnsi="Arial" w:cs="Arial"/>
          <w:sz w:val="22"/>
          <w:szCs w:val="22"/>
        </w:rPr>
        <w:t xml:space="preserve">Para tal efecto, la información será suministrada por las entidades receptoras de la inversión mediante la utilización del aplicativo dispuesto para tal fin. Asimismo, para el análisis de dichas inversiones se empleará el formato denominado </w:t>
      </w:r>
      <w:r w:rsidR="002E79BA" w:rsidRPr="00CB3572">
        <w:rPr>
          <w:rFonts w:ascii="Arial" w:hAnsi="Arial" w:cs="Arial"/>
          <w:i/>
          <w:sz w:val="22"/>
          <w:szCs w:val="22"/>
        </w:rPr>
        <w:t>“Apo.3.Man.3.Fr.5</w:t>
      </w:r>
      <w:r w:rsidR="002E79BA">
        <w:rPr>
          <w:rFonts w:ascii="Arial" w:hAnsi="Arial" w:cs="Arial"/>
          <w:i/>
          <w:sz w:val="22"/>
          <w:szCs w:val="22"/>
        </w:rPr>
        <w:t xml:space="preserve"> - </w:t>
      </w:r>
      <w:r w:rsidR="002E79BA" w:rsidRPr="002E79BA">
        <w:rPr>
          <w:rFonts w:ascii="Arial" w:hAnsi="Arial" w:cs="Arial"/>
          <w:i/>
          <w:sz w:val="22"/>
          <w:szCs w:val="22"/>
        </w:rPr>
        <w:t>Análisis de Información para aplicar el Método de Participación Patrimonial (MPP)</w:t>
      </w:r>
      <w:r w:rsidR="00913D5B" w:rsidRPr="002E79BA">
        <w:rPr>
          <w:rFonts w:ascii="Arial" w:hAnsi="Arial" w:cs="Arial"/>
          <w:i/>
          <w:sz w:val="22"/>
          <w:szCs w:val="22"/>
        </w:rPr>
        <w:t>”</w:t>
      </w:r>
      <w:r w:rsidR="00695813">
        <w:rPr>
          <w:rFonts w:ascii="Arial" w:hAnsi="Arial" w:cs="Arial"/>
          <w:i/>
          <w:sz w:val="22"/>
          <w:szCs w:val="22"/>
        </w:rPr>
        <w:t xml:space="preserve">. </w:t>
      </w:r>
    </w:p>
    <w:p w14:paraId="365F8940" w14:textId="2AC172F2" w:rsidR="00695813" w:rsidRDefault="00695813" w:rsidP="00CA76B9">
      <w:pPr>
        <w:spacing w:line="288" w:lineRule="auto"/>
        <w:jc w:val="both"/>
        <w:rPr>
          <w:rFonts w:ascii="Arial" w:hAnsi="Arial" w:cs="Arial"/>
          <w:i/>
          <w:sz w:val="22"/>
          <w:szCs w:val="22"/>
        </w:rPr>
      </w:pPr>
    </w:p>
    <w:p w14:paraId="5A63832E" w14:textId="02C3ED7E" w:rsidR="00695813" w:rsidRPr="00CB3572" w:rsidRDefault="00695813" w:rsidP="00CA76B9">
      <w:pPr>
        <w:spacing w:line="288" w:lineRule="auto"/>
        <w:jc w:val="both"/>
        <w:rPr>
          <w:rFonts w:ascii="Arial" w:hAnsi="Arial" w:cs="Arial"/>
          <w:sz w:val="22"/>
          <w:szCs w:val="22"/>
        </w:rPr>
      </w:pPr>
      <w:r w:rsidRPr="00CB3572">
        <w:rPr>
          <w:rFonts w:ascii="Arial" w:hAnsi="Arial" w:cs="Arial"/>
          <w:sz w:val="22"/>
          <w:szCs w:val="22"/>
        </w:rPr>
        <w:t>Con relaci</w:t>
      </w:r>
      <w:r w:rsidRPr="00695813">
        <w:rPr>
          <w:rFonts w:ascii="Arial" w:hAnsi="Arial" w:cs="Arial"/>
          <w:sz w:val="22"/>
          <w:szCs w:val="22"/>
        </w:rPr>
        <w:t xml:space="preserve">ón a la </w:t>
      </w:r>
      <w:r>
        <w:rPr>
          <w:rFonts w:ascii="Arial" w:hAnsi="Arial" w:cs="Arial"/>
          <w:sz w:val="22"/>
          <w:szCs w:val="22"/>
        </w:rPr>
        <w:t>información que deben en</w:t>
      </w:r>
      <w:r w:rsidR="00502040">
        <w:rPr>
          <w:rFonts w:ascii="Arial" w:hAnsi="Arial" w:cs="Arial"/>
          <w:sz w:val="22"/>
          <w:szCs w:val="22"/>
        </w:rPr>
        <w:t xml:space="preserve">viar las áreas del </w:t>
      </w:r>
      <w:r w:rsidR="00001D48">
        <w:rPr>
          <w:rFonts w:ascii="Arial" w:hAnsi="Arial" w:cs="Arial"/>
          <w:sz w:val="22"/>
          <w:szCs w:val="22"/>
        </w:rPr>
        <w:t xml:space="preserve">Ministerio, la Dirección de Participaciones Estatales y la Subdirección Financiera han suscrito el </w:t>
      </w:r>
      <w:r w:rsidR="00600F67">
        <w:rPr>
          <w:rFonts w:ascii="Arial" w:hAnsi="Arial" w:cs="Arial"/>
          <w:sz w:val="22"/>
          <w:szCs w:val="22"/>
        </w:rPr>
        <w:t>“</w:t>
      </w:r>
      <w:r w:rsidR="00001D48">
        <w:rPr>
          <w:rFonts w:ascii="Arial" w:hAnsi="Arial" w:cs="Arial"/>
          <w:i/>
          <w:sz w:val="22"/>
          <w:szCs w:val="22"/>
        </w:rPr>
        <w:t xml:space="preserve">Acuerdo de Servicios </w:t>
      </w:r>
      <w:r w:rsidR="00001D48" w:rsidRPr="00001D48">
        <w:rPr>
          <w:rFonts w:ascii="Arial" w:hAnsi="Arial" w:cs="Arial"/>
          <w:i/>
          <w:sz w:val="22"/>
          <w:szCs w:val="22"/>
        </w:rPr>
        <w:t>Mis.3.7_Apo.3.0_As056</w:t>
      </w:r>
      <w:r w:rsidR="00600F67">
        <w:rPr>
          <w:rFonts w:ascii="Arial" w:hAnsi="Arial" w:cs="Arial"/>
          <w:i/>
          <w:sz w:val="22"/>
          <w:szCs w:val="22"/>
        </w:rPr>
        <w:t>”</w:t>
      </w:r>
      <w:r w:rsidR="00001D48">
        <w:rPr>
          <w:rFonts w:ascii="Arial" w:hAnsi="Arial" w:cs="Arial"/>
          <w:i/>
          <w:sz w:val="22"/>
          <w:szCs w:val="22"/>
        </w:rPr>
        <w:t xml:space="preserve">, </w:t>
      </w:r>
      <w:r w:rsidR="00001D48" w:rsidRPr="00CB3572">
        <w:rPr>
          <w:rFonts w:ascii="Arial" w:hAnsi="Arial" w:cs="Arial"/>
          <w:sz w:val="22"/>
          <w:szCs w:val="22"/>
        </w:rPr>
        <w:t>mediante el que se</w:t>
      </w:r>
      <w:r w:rsidR="004F519E">
        <w:rPr>
          <w:rFonts w:ascii="Arial" w:hAnsi="Arial" w:cs="Arial"/>
          <w:sz w:val="22"/>
          <w:szCs w:val="22"/>
        </w:rPr>
        <w:t xml:space="preserve"> define el envío</w:t>
      </w:r>
      <w:r w:rsidR="00001D48" w:rsidRPr="00CB3572">
        <w:rPr>
          <w:rFonts w:ascii="Arial" w:hAnsi="Arial" w:cs="Arial"/>
          <w:sz w:val="22"/>
          <w:szCs w:val="22"/>
        </w:rPr>
        <w:t xml:space="preserve"> al Grupo de Contabilidad </w:t>
      </w:r>
      <w:r w:rsidR="004F519E">
        <w:rPr>
          <w:rFonts w:ascii="Arial" w:hAnsi="Arial" w:cs="Arial"/>
          <w:sz w:val="22"/>
          <w:szCs w:val="22"/>
        </w:rPr>
        <w:t xml:space="preserve">de </w:t>
      </w:r>
      <w:r w:rsidR="00001D48" w:rsidRPr="00CB3572">
        <w:rPr>
          <w:rFonts w:ascii="Arial" w:hAnsi="Arial" w:cs="Arial"/>
          <w:sz w:val="22"/>
          <w:szCs w:val="22"/>
        </w:rPr>
        <w:t>la información soporte, para el registro de movimientos relacionados con la participación patrimonial de la Nación-Ministerio de Hacienda y Crédito Público (MHCP)</w:t>
      </w:r>
      <w:r w:rsidR="00001D48" w:rsidRPr="00CB3572">
        <w:rPr>
          <w:rFonts w:ascii="Arial" w:hAnsi="Arial" w:cs="Arial"/>
          <w:sz w:val="22"/>
          <w:szCs w:val="22"/>
        </w:rPr>
        <w:tab/>
      </w:r>
    </w:p>
    <w:p w14:paraId="461B8235" w14:textId="77777777" w:rsidR="00913D5B" w:rsidRDefault="00913D5B" w:rsidP="00CA76B9">
      <w:pPr>
        <w:spacing w:line="288" w:lineRule="auto"/>
        <w:rPr>
          <w:rFonts w:ascii="Arial" w:hAnsi="Arial" w:cs="Arial"/>
          <w:sz w:val="22"/>
          <w:szCs w:val="22"/>
        </w:rPr>
      </w:pPr>
    </w:p>
    <w:p w14:paraId="06B1D9F8" w14:textId="16E147F7" w:rsidR="00AF4209" w:rsidRDefault="00AF4209" w:rsidP="00CA76B9">
      <w:pPr>
        <w:pStyle w:val="Ttulo3"/>
        <w:numPr>
          <w:ilvl w:val="2"/>
          <w:numId w:val="1"/>
        </w:numPr>
        <w:spacing w:line="288" w:lineRule="auto"/>
        <w:rPr>
          <w:rFonts w:ascii="Arial" w:hAnsi="Arial" w:cs="Arial"/>
          <w:b/>
          <w:sz w:val="22"/>
          <w:szCs w:val="22"/>
        </w:rPr>
      </w:pPr>
      <w:bookmarkStart w:id="275" w:name="_Toc59377867"/>
      <w:r w:rsidRPr="00CB3572">
        <w:rPr>
          <w:rFonts w:ascii="Arial" w:hAnsi="Arial" w:cs="Arial"/>
          <w:b/>
          <w:sz w:val="22"/>
          <w:szCs w:val="22"/>
        </w:rPr>
        <w:t>Cuentas por Cobrar</w:t>
      </w:r>
      <w:bookmarkEnd w:id="275"/>
    </w:p>
    <w:p w14:paraId="0F8419D8" w14:textId="2BD9125D" w:rsidR="00AF4209" w:rsidRDefault="00AF4209" w:rsidP="00CA76B9">
      <w:pPr>
        <w:pStyle w:val="Prrafodelista"/>
        <w:spacing w:line="288" w:lineRule="auto"/>
        <w:ind w:left="0"/>
        <w:rPr>
          <w:rFonts w:ascii="Arial" w:hAnsi="Arial" w:cs="Arial"/>
          <w:b/>
          <w:sz w:val="22"/>
          <w:szCs w:val="22"/>
        </w:rPr>
      </w:pPr>
    </w:p>
    <w:p w14:paraId="105978D0" w14:textId="2D4FEF44" w:rsidR="00B70BB0" w:rsidRDefault="00B70BB0"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cuentas por cobrar: </w:t>
      </w:r>
    </w:p>
    <w:p w14:paraId="6E9ACF61" w14:textId="4F22A223" w:rsidR="00C37D47" w:rsidRDefault="00C37D47" w:rsidP="00B70BB0">
      <w:pPr>
        <w:spacing w:line="288" w:lineRule="auto"/>
        <w:jc w:val="both"/>
        <w:rPr>
          <w:rFonts w:ascii="Arial" w:hAnsi="Arial" w:cs="Arial"/>
          <w:sz w:val="22"/>
          <w:szCs w:val="22"/>
          <w:lang w:val="es-ES_tradnl" w:eastAsia="es-CO"/>
        </w:rPr>
      </w:pPr>
    </w:p>
    <w:tbl>
      <w:tblPr>
        <w:tblW w:w="0" w:type="auto"/>
        <w:jc w:val="center"/>
        <w:tblBorders>
          <w:top w:val="single" w:sz="12" w:space="0" w:color="3366CC"/>
          <w:bottom w:val="single" w:sz="12" w:space="0" w:color="3366CC"/>
          <w:insideH w:val="single" w:sz="12" w:space="0" w:color="3366CC"/>
        </w:tblBorders>
        <w:tblLook w:val="0420" w:firstRow="1" w:lastRow="0" w:firstColumn="0" w:lastColumn="0" w:noHBand="0" w:noVBand="1"/>
      </w:tblPr>
      <w:tblGrid>
        <w:gridCol w:w="3298"/>
        <w:gridCol w:w="137"/>
        <w:gridCol w:w="5405"/>
      </w:tblGrid>
      <w:tr w:rsidR="00C37D47" w:rsidRPr="001A68E7" w14:paraId="00AAF1A0" w14:textId="77777777" w:rsidTr="00600F67">
        <w:trPr>
          <w:trHeight w:val="223"/>
          <w:tblHeader/>
          <w:jc w:val="center"/>
        </w:trPr>
        <w:tc>
          <w:tcPr>
            <w:tcW w:w="3435" w:type="dxa"/>
            <w:gridSpan w:val="2"/>
            <w:shd w:val="clear" w:color="2F5395" w:fill="3366CC"/>
            <w:vAlign w:val="center"/>
            <w:hideMark/>
          </w:tcPr>
          <w:p w14:paraId="45FE3BB2" w14:textId="77777777" w:rsidR="00C37D47" w:rsidRPr="001A68E7" w:rsidRDefault="00C37D47" w:rsidP="00B26C22">
            <w:pPr>
              <w:spacing w:line="288" w:lineRule="auto"/>
              <w:jc w:val="center"/>
              <w:rPr>
                <w:rFonts w:ascii="Arial" w:hAnsi="Arial" w:cs="Arial"/>
                <w:b/>
                <w:bCs/>
                <w:iCs/>
                <w:color w:val="FFFFFF"/>
                <w:sz w:val="18"/>
                <w:szCs w:val="18"/>
                <w:lang w:val="es-ES_tradnl"/>
              </w:rPr>
            </w:pPr>
            <w:r w:rsidRPr="001A68E7">
              <w:rPr>
                <w:rFonts w:ascii="Arial" w:hAnsi="Arial" w:cs="Arial"/>
                <w:b/>
                <w:bCs/>
                <w:iCs/>
                <w:color w:val="FFFFFF"/>
                <w:sz w:val="18"/>
                <w:szCs w:val="18"/>
                <w:lang w:val="es-ES_tradnl"/>
              </w:rPr>
              <w:t>ÁREA/ ENTIDAD RESPONSABLE</w:t>
            </w:r>
          </w:p>
        </w:tc>
        <w:tc>
          <w:tcPr>
            <w:tcW w:w="5405" w:type="dxa"/>
            <w:shd w:val="clear" w:color="2F5395" w:fill="3366CC"/>
            <w:vAlign w:val="center"/>
            <w:hideMark/>
          </w:tcPr>
          <w:p w14:paraId="4544EFA9" w14:textId="77777777" w:rsidR="00C37D47" w:rsidRPr="001A68E7" w:rsidRDefault="00C37D47" w:rsidP="00B26C22">
            <w:pPr>
              <w:spacing w:line="288" w:lineRule="auto"/>
              <w:jc w:val="center"/>
              <w:rPr>
                <w:rFonts w:ascii="Arial" w:hAnsi="Arial" w:cs="Arial"/>
                <w:b/>
                <w:bCs/>
                <w:iCs/>
                <w:color w:val="FFFFFF"/>
                <w:sz w:val="18"/>
                <w:szCs w:val="18"/>
                <w:lang w:val="es-ES_tradnl"/>
              </w:rPr>
            </w:pPr>
            <w:r w:rsidRPr="001A68E7">
              <w:rPr>
                <w:rFonts w:ascii="Arial" w:hAnsi="Arial" w:cs="Arial"/>
                <w:b/>
                <w:bCs/>
                <w:iCs/>
                <w:color w:val="FFFFFF"/>
                <w:sz w:val="18"/>
                <w:szCs w:val="18"/>
                <w:lang w:val="es-ES_tradnl"/>
              </w:rPr>
              <w:t>ACTIVIDAD</w:t>
            </w:r>
          </w:p>
        </w:tc>
      </w:tr>
      <w:tr w:rsidR="00600F67" w:rsidRPr="001A68E7" w14:paraId="33BB6318" w14:textId="77777777" w:rsidTr="00600F67">
        <w:trPr>
          <w:trHeight w:val="223"/>
          <w:jc w:val="center"/>
        </w:trPr>
        <w:tc>
          <w:tcPr>
            <w:tcW w:w="3298" w:type="dxa"/>
            <w:shd w:val="pct20" w:color="FFFFFF" w:fill="FFFFFF"/>
          </w:tcPr>
          <w:p w14:paraId="0A6B29A0" w14:textId="77777777" w:rsidR="00600F67" w:rsidRPr="001A68E7" w:rsidRDefault="00600F6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Dirección General de Participaciones Estatales</w:t>
            </w:r>
          </w:p>
          <w:p w14:paraId="74655F4D" w14:textId="4C2899A5" w:rsidR="00600F67" w:rsidRPr="001A68E7" w:rsidRDefault="00600F6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 Mis. 3.7 Gestión de Partici</w:t>
            </w:r>
            <w:r>
              <w:rPr>
                <w:rFonts w:ascii="Arial" w:hAnsi="Arial" w:cs="Arial"/>
                <w:bCs/>
                <w:sz w:val="18"/>
                <w:szCs w:val="18"/>
                <w:lang w:val="es-ES_tradnl"/>
              </w:rPr>
              <w:t>paci</w:t>
            </w:r>
            <w:r w:rsidRPr="001A68E7">
              <w:rPr>
                <w:rFonts w:ascii="Arial" w:hAnsi="Arial" w:cs="Arial"/>
                <w:bCs/>
                <w:sz w:val="18"/>
                <w:szCs w:val="18"/>
                <w:lang w:val="es-ES_tradnl"/>
              </w:rPr>
              <w:t>ones Estatales y Sistemas Cofinanciados de Transporte Masivo</w:t>
            </w:r>
          </w:p>
        </w:tc>
        <w:tc>
          <w:tcPr>
            <w:tcW w:w="5542" w:type="dxa"/>
            <w:gridSpan w:val="2"/>
            <w:shd w:val="pct20" w:color="FFFFFF" w:fill="FFFFFF"/>
          </w:tcPr>
          <w:p w14:paraId="700610B2" w14:textId="76AC3B82" w:rsidR="00600F67" w:rsidRPr="001A68E7" w:rsidRDefault="00600F6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Suministrar los documentos soporte de los dividendos decretados, enajenación de participación accionaria de la Nación – MHCP y demás movimientos que puedan llegar a generar derechos a favor del Ministerio.</w:t>
            </w:r>
          </w:p>
        </w:tc>
      </w:tr>
      <w:tr w:rsidR="00C37D47" w:rsidRPr="001A68E7" w14:paraId="6BBC8614" w14:textId="77777777" w:rsidTr="00600F67">
        <w:trPr>
          <w:trHeight w:val="223"/>
          <w:jc w:val="center"/>
        </w:trPr>
        <w:tc>
          <w:tcPr>
            <w:tcW w:w="3298" w:type="dxa"/>
            <w:shd w:val="pct20" w:color="FFFFFF" w:fill="FFFFFF"/>
            <w:vAlign w:val="center"/>
          </w:tcPr>
          <w:p w14:paraId="304012AA" w14:textId="5DB32C50" w:rsidR="00C37D47" w:rsidRPr="001A68E7" w:rsidRDefault="00C37D4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Oficina de Bonos Pensionales</w:t>
            </w:r>
            <w:r w:rsidR="00600F67">
              <w:rPr>
                <w:rFonts w:ascii="Arial" w:hAnsi="Arial" w:cs="Arial"/>
                <w:bCs/>
                <w:sz w:val="18"/>
                <w:szCs w:val="18"/>
                <w:lang w:val="es-ES_tradnl"/>
              </w:rPr>
              <w:t xml:space="preserve"> </w:t>
            </w:r>
            <w:r w:rsidRPr="001A68E7">
              <w:rPr>
                <w:rFonts w:ascii="Arial" w:hAnsi="Arial" w:cs="Arial"/>
                <w:bCs/>
                <w:sz w:val="18"/>
                <w:szCs w:val="18"/>
                <w:lang w:val="es-ES_tradnl"/>
              </w:rPr>
              <w:t>- Mis. 3.9 Gestión de Bonos Pensionales</w:t>
            </w:r>
          </w:p>
        </w:tc>
        <w:tc>
          <w:tcPr>
            <w:tcW w:w="5542" w:type="dxa"/>
            <w:gridSpan w:val="2"/>
            <w:shd w:val="pct20" w:color="FFFFFF" w:fill="FFFFFF"/>
            <w:vAlign w:val="center"/>
          </w:tcPr>
          <w:p w14:paraId="2518C014" w14:textId="77777777" w:rsidR="00C37D47" w:rsidRPr="001A68E7" w:rsidRDefault="00C37D47" w:rsidP="00343ECE">
            <w:pPr>
              <w:numPr>
                <w:ilvl w:val="0"/>
                <w:numId w:val="29"/>
              </w:numPr>
              <w:spacing w:line="288" w:lineRule="auto"/>
              <w:ind w:left="317" w:hanging="279"/>
              <w:jc w:val="both"/>
              <w:rPr>
                <w:rFonts w:ascii="Arial" w:hAnsi="Arial" w:cs="Arial"/>
                <w:sz w:val="18"/>
                <w:szCs w:val="18"/>
                <w:lang w:val="es-ES_tradnl"/>
              </w:rPr>
            </w:pPr>
            <w:r w:rsidRPr="001A68E7">
              <w:rPr>
                <w:rFonts w:ascii="Arial" w:hAnsi="Arial" w:cs="Arial"/>
                <w:bCs/>
                <w:sz w:val="18"/>
                <w:szCs w:val="18"/>
                <w:lang w:val="es-ES_tradnl"/>
              </w:rPr>
              <w:t xml:space="preserve">Suministrar los </w:t>
            </w:r>
            <w:r w:rsidRPr="001A68E7">
              <w:rPr>
                <w:rFonts w:ascii="Arial" w:hAnsi="Arial" w:cs="Arial"/>
                <w:sz w:val="18"/>
                <w:szCs w:val="18"/>
                <w:lang w:val="es-ES_tradnl"/>
              </w:rPr>
              <w:t xml:space="preserve">movimientos que se generen con motivo de la liquidación, emisión, pago, compensación, anulación y </w:t>
            </w:r>
            <w:r w:rsidRPr="001A68E7">
              <w:rPr>
                <w:rFonts w:ascii="Arial" w:hAnsi="Arial" w:cs="Arial"/>
                <w:sz w:val="18"/>
                <w:szCs w:val="18"/>
                <w:lang w:val="es-ES_tradnl"/>
              </w:rPr>
              <w:lastRenderedPageBreak/>
              <w:t xml:space="preserve">reintegro de las cuotas partes de bonos pensionales a cargo de la Nación. </w:t>
            </w:r>
          </w:p>
          <w:p w14:paraId="418D7B35" w14:textId="77777777" w:rsidR="00C37D47" w:rsidRPr="001A68E7" w:rsidRDefault="00C37D47" w:rsidP="00343ECE">
            <w:pPr>
              <w:numPr>
                <w:ilvl w:val="0"/>
                <w:numId w:val="29"/>
              </w:numPr>
              <w:spacing w:line="288" w:lineRule="auto"/>
              <w:ind w:left="317" w:hanging="279"/>
              <w:jc w:val="both"/>
              <w:rPr>
                <w:rFonts w:ascii="Arial" w:hAnsi="Arial" w:cs="Arial"/>
                <w:sz w:val="18"/>
                <w:szCs w:val="18"/>
                <w:lang w:val="es-ES_tradnl"/>
              </w:rPr>
            </w:pPr>
            <w:r w:rsidRPr="001A68E7">
              <w:rPr>
                <w:rFonts w:ascii="Arial" w:hAnsi="Arial" w:cs="Arial"/>
                <w:sz w:val="18"/>
                <w:szCs w:val="18"/>
                <w:lang w:val="es-ES_tradnl"/>
              </w:rPr>
              <w:t xml:space="preserve">Suministrar información relacionada con la </w:t>
            </w:r>
            <w:r w:rsidRPr="001A68E7">
              <w:rPr>
                <w:rFonts w:ascii="Arial" w:hAnsi="Arial" w:cs="Arial"/>
                <w:bCs/>
                <w:sz w:val="18"/>
                <w:szCs w:val="18"/>
                <w:lang w:val="es-ES_tradnl"/>
              </w:rPr>
              <w:t>devolución de cuotas partes de bonos pensionales a cargo de otros (ISS, COLPENSIONES, etc.)</w:t>
            </w:r>
          </w:p>
        </w:tc>
      </w:tr>
      <w:tr w:rsidR="00C37D47" w:rsidRPr="001A68E7" w14:paraId="7A67131C" w14:textId="77777777" w:rsidTr="00600F67">
        <w:trPr>
          <w:trHeight w:val="223"/>
          <w:jc w:val="center"/>
        </w:trPr>
        <w:tc>
          <w:tcPr>
            <w:tcW w:w="3298" w:type="dxa"/>
            <w:shd w:val="pct20" w:color="FFFFFF" w:fill="FFFFFF"/>
            <w:vAlign w:val="center"/>
          </w:tcPr>
          <w:p w14:paraId="0EDE5060" w14:textId="51DA85CD" w:rsidR="00C37D47" w:rsidRPr="001A68E7" w:rsidRDefault="00C37D4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lastRenderedPageBreak/>
              <w:t>Oficina de Control Interno Disciplinario</w:t>
            </w:r>
            <w:r w:rsidR="00600F67">
              <w:rPr>
                <w:rFonts w:ascii="Arial" w:hAnsi="Arial" w:cs="Arial"/>
                <w:bCs/>
                <w:sz w:val="18"/>
                <w:szCs w:val="18"/>
                <w:lang w:val="es-ES_tradnl"/>
              </w:rPr>
              <w:t xml:space="preserve"> </w:t>
            </w:r>
            <w:r w:rsidRPr="001A68E7">
              <w:rPr>
                <w:rFonts w:ascii="Arial" w:hAnsi="Arial" w:cs="Arial"/>
                <w:bCs/>
                <w:sz w:val="18"/>
                <w:szCs w:val="18"/>
                <w:lang w:val="es-ES_tradnl"/>
              </w:rPr>
              <w:t xml:space="preserve">- Proceso denominado en el SUG </w:t>
            </w:r>
            <w:r w:rsidRPr="001A68E7">
              <w:rPr>
                <w:rFonts w:ascii="Arial" w:hAnsi="Arial" w:cs="Arial"/>
                <w:bCs/>
                <w:i/>
                <w:sz w:val="18"/>
                <w:szCs w:val="18"/>
                <w:lang w:val="es-ES_tradnl"/>
              </w:rPr>
              <w:t>Control Disciplinario Interno</w:t>
            </w:r>
            <w:r w:rsidRPr="001A68E7">
              <w:rPr>
                <w:rFonts w:ascii="Arial" w:hAnsi="Arial" w:cs="Arial"/>
                <w:bCs/>
                <w:sz w:val="18"/>
                <w:szCs w:val="18"/>
                <w:lang w:val="es-ES_tradnl"/>
              </w:rPr>
              <w:t xml:space="preserve"> </w:t>
            </w:r>
          </w:p>
        </w:tc>
        <w:tc>
          <w:tcPr>
            <w:tcW w:w="5542" w:type="dxa"/>
            <w:gridSpan w:val="2"/>
            <w:shd w:val="pct20" w:color="FFFFFF" w:fill="FFFFFF"/>
            <w:vAlign w:val="center"/>
          </w:tcPr>
          <w:p w14:paraId="01BE3E42"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Informar acerca de los actos administrativos en firme que imponen multas y sanciones disciplinarias contra funcionarios o exfuncionarios del MHCP.</w:t>
            </w:r>
          </w:p>
        </w:tc>
      </w:tr>
      <w:tr w:rsidR="00C37D47" w:rsidRPr="001A68E7" w14:paraId="6DE053CD" w14:textId="77777777" w:rsidTr="00600F67">
        <w:trPr>
          <w:trHeight w:val="223"/>
          <w:jc w:val="center"/>
        </w:trPr>
        <w:tc>
          <w:tcPr>
            <w:tcW w:w="3298" w:type="dxa"/>
            <w:shd w:val="pct20" w:color="FFFFFF" w:fill="FFFFFF"/>
            <w:vAlign w:val="center"/>
          </w:tcPr>
          <w:p w14:paraId="5D20531E" w14:textId="67C325BE" w:rsidR="00C37D47" w:rsidRPr="001A68E7" w:rsidRDefault="00C37D4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Subdirección Jurídica – Grupo de Representación Judicial</w:t>
            </w:r>
            <w:r w:rsidR="00600F67">
              <w:rPr>
                <w:rFonts w:ascii="Arial" w:hAnsi="Arial" w:cs="Arial"/>
                <w:bCs/>
                <w:sz w:val="18"/>
                <w:szCs w:val="18"/>
                <w:lang w:val="es-ES_tradnl"/>
              </w:rPr>
              <w:t xml:space="preserve"> </w:t>
            </w:r>
            <w:r w:rsidRPr="001A68E7">
              <w:rPr>
                <w:rFonts w:ascii="Arial" w:hAnsi="Arial" w:cs="Arial"/>
                <w:bCs/>
                <w:sz w:val="18"/>
                <w:szCs w:val="18"/>
                <w:lang w:val="es-ES_tradnl"/>
              </w:rPr>
              <w:t xml:space="preserve">- </w:t>
            </w:r>
            <w:proofErr w:type="spellStart"/>
            <w:r w:rsidRPr="001A68E7">
              <w:rPr>
                <w:rFonts w:ascii="Arial" w:hAnsi="Arial" w:cs="Arial"/>
                <w:bCs/>
                <w:sz w:val="18"/>
                <w:szCs w:val="18"/>
                <w:lang w:val="es-ES_tradnl"/>
              </w:rPr>
              <w:t>Apo</w:t>
            </w:r>
            <w:proofErr w:type="spellEnd"/>
            <w:r w:rsidRPr="001A68E7">
              <w:rPr>
                <w:rFonts w:ascii="Arial" w:hAnsi="Arial" w:cs="Arial"/>
                <w:bCs/>
                <w:sz w:val="18"/>
                <w:szCs w:val="18"/>
                <w:lang w:val="es-ES_tradnl"/>
              </w:rPr>
              <w:t>. 5.1 Defensa Judicial, pago de sentencias y conciliaciones</w:t>
            </w:r>
          </w:p>
        </w:tc>
        <w:tc>
          <w:tcPr>
            <w:tcW w:w="5542" w:type="dxa"/>
            <w:gridSpan w:val="2"/>
            <w:shd w:val="pct20" w:color="FFFFFF" w:fill="FFFFFF"/>
            <w:vAlign w:val="center"/>
          </w:tcPr>
          <w:p w14:paraId="3C218B0D"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 xml:space="preserve">Informar acerca del estado de los procesos instaurados por el MHCP contra terceros, y de los actos administrativos que reconocen derechos u obligaciones a favor o en contra del MHCP. </w:t>
            </w:r>
          </w:p>
        </w:tc>
      </w:tr>
      <w:tr w:rsidR="00C37D47" w:rsidRPr="001A68E7" w14:paraId="08D9FA4D" w14:textId="77777777" w:rsidTr="00600F67">
        <w:trPr>
          <w:trHeight w:val="223"/>
          <w:jc w:val="center"/>
        </w:trPr>
        <w:tc>
          <w:tcPr>
            <w:tcW w:w="3298" w:type="dxa"/>
            <w:shd w:val="pct20" w:color="FFFFFF" w:fill="FFFFFF"/>
            <w:vAlign w:val="center"/>
          </w:tcPr>
          <w:p w14:paraId="456AB0E9" w14:textId="438C2870" w:rsidR="00C37D47" w:rsidRPr="001A68E7" w:rsidRDefault="00C37D4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Subdirección Jurídica – Grupo de derechos de petición consultas y cartera</w:t>
            </w:r>
            <w:r w:rsidR="00600F67">
              <w:rPr>
                <w:rFonts w:ascii="Arial" w:hAnsi="Arial" w:cs="Arial"/>
                <w:bCs/>
                <w:sz w:val="18"/>
                <w:szCs w:val="18"/>
                <w:lang w:val="es-ES_tradnl"/>
              </w:rPr>
              <w:t xml:space="preserve"> </w:t>
            </w:r>
            <w:r w:rsidRPr="001A68E7">
              <w:rPr>
                <w:rFonts w:ascii="Arial" w:hAnsi="Arial" w:cs="Arial"/>
                <w:bCs/>
                <w:sz w:val="18"/>
                <w:szCs w:val="18"/>
                <w:lang w:val="es-ES_tradnl"/>
              </w:rPr>
              <w:t xml:space="preserve">- </w:t>
            </w:r>
            <w:proofErr w:type="spellStart"/>
            <w:r w:rsidRPr="001A68E7">
              <w:rPr>
                <w:rFonts w:ascii="Arial" w:hAnsi="Arial" w:cs="Arial"/>
                <w:bCs/>
                <w:sz w:val="18"/>
                <w:szCs w:val="18"/>
                <w:lang w:val="es-ES_tradnl"/>
              </w:rPr>
              <w:t>Apo</w:t>
            </w:r>
            <w:proofErr w:type="spellEnd"/>
            <w:r w:rsidRPr="001A68E7">
              <w:rPr>
                <w:rFonts w:ascii="Arial" w:hAnsi="Arial" w:cs="Arial"/>
                <w:bCs/>
                <w:sz w:val="18"/>
                <w:szCs w:val="18"/>
                <w:lang w:val="es-ES_tradnl"/>
              </w:rPr>
              <w:t>. 5.3 Cartera</w:t>
            </w:r>
          </w:p>
        </w:tc>
        <w:tc>
          <w:tcPr>
            <w:tcW w:w="5542" w:type="dxa"/>
            <w:gridSpan w:val="2"/>
            <w:shd w:val="pct20" w:color="FFFFFF" w:fill="FFFFFF"/>
            <w:vAlign w:val="center"/>
          </w:tcPr>
          <w:p w14:paraId="2911ABB8"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Informar acerca del estado de los procesos que se encuentren en cobro coactivo.</w:t>
            </w:r>
          </w:p>
          <w:p w14:paraId="25F579DA"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 xml:space="preserve">Enviar los soportes de </w:t>
            </w:r>
            <w:proofErr w:type="spellStart"/>
            <w:r w:rsidRPr="001A68E7">
              <w:rPr>
                <w:rFonts w:ascii="Arial" w:hAnsi="Arial" w:cs="Arial"/>
                <w:bCs/>
                <w:sz w:val="18"/>
                <w:szCs w:val="18"/>
                <w:lang w:val="es-ES_tradnl"/>
              </w:rPr>
              <w:t>remisibilidad</w:t>
            </w:r>
            <w:proofErr w:type="spellEnd"/>
            <w:r w:rsidRPr="001A68E7">
              <w:rPr>
                <w:rFonts w:ascii="Arial" w:hAnsi="Arial" w:cs="Arial"/>
                <w:bCs/>
                <w:sz w:val="18"/>
                <w:szCs w:val="18"/>
                <w:lang w:val="es-ES_tradnl"/>
              </w:rPr>
              <w:t xml:space="preserve"> de la cartera, aprobados por el Comité de Cartera.</w:t>
            </w:r>
          </w:p>
          <w:p w14:paraId="55506906"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Remitir información para la medición del deterioro de las cuentas por cobrar.</w:t>
            </w:r>
          </w:p>
        </w:tc>
      </w:tr>
      <w:tr w:rsidR="00600F67" w:rsidRPr="001A68E7" w14:paraId="7AEC3792" w14:textId="77777777" w:rsidTr="00600F67">
        <w:trPr>
          <w:trHeight w:val="223"/>
          <w:jc w:val="center"/>
        </w:trPr>
        <w:tc>
          <w:tcPr>
            <w:tcW w:w="3298" w:type="dxa"/>
            <w:shd w:val="pct20" w:color="FFFFFF" w:fill="FFFFFF"/>
            <w:vAlign w:val="center"/>
          </w:tcPr>
          <w:p w14:paraId="74D687BF" w14:textId="1DF1AA16" w:rsidR="00600F67" w:rsidRPr="001A68E7" w:rsidRDefault="00600F6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 xml:space="preserve">Subdirección de </w:t>
            </w:r>
            <w:r>
              <w:rPr>
                <w:rFonts w:ascii="Arial" w:hAnsi="Arial" w:cs="Arial"/>
                <w:bCs/>
                <w:sz w:val="18"/>
                <w:szCs w:val="18"/>
                <w:lang w:val="es-ES_tradnl"/>
              </w:rPr>
              <w:t xml:space="preserve">Gestión del Talento Humano </w:t>
            </w:r>
            <w:r w:rsidRPr="001A68E7">
              <w:rPr>
                <w:rFonts w:ascii="Arial" w:hAnsi="Arial" w:cs="Arial"/>
                <w:bCs/>
                <w:sz w:val="18"/>
                <w:szCs w:val="18"/>
                <w:lang w:val="es-ES_tradnl"/>
              </w:rPr>
              <w:t xml:space="preserve">- </w:t>
            </w:r>
            <w:proofErr w:type="spellStart"/>
            <w:r w:rsidRPr="001A68E7">
              <w:rPr>
                <w:rFonts w:ascii="Arial" w:hAnsi="Arial" w:cs="Arial"/>
                <w:bCs/>
                <w:sz w:val="18"/>
                <w:szCs w:val="18"/>
                <w:lang w:val="es-ES_tradnl"/>
              </w:rPr>
              <w:t>Apo</w:t>
            </w:r>
            <w:proofErr w:type="spellEnd"/>
            <w:r w:rsidRPr="001A68E7">
              <w:rPr>
                <w:rFonts w:ascii="Arial" w:hAnsi="Arial" w:cs="Arial"/>
                <w:bCs/>
                <w:sz w:val="18"/>
                <w:szCs w:val="18"/>
                <w:lang w:val="es-ES_tradnl"/>
              </w:rPr>
              <w:t xml:space="preserve">. 2.1 Administración de Personal </w:t>
            </w:r>
          </w:p>
        </w:tc>
        <w:tc>
          <w:tcPr>
            <w:tcW w:w="5542" w:type="dxa"/>
            <w:gridSpan w:val="2"/>
            <w:shd w:val="pct20" w:color="FFFFFF" w:fill="FFFFFF"/>
            <w:vAlign w:val="center"/>
          </w:tcPr>
          <w:p w14:paraId="65229648" w14:textId="3A2C5FC7" w:rsidR="00600F67" w:rsidRPr="001A68E7" w:rsidRDefault="00600F6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 xml:space="preserve">Informar acerca de los actos administrativos que ordenan reintegros por incapacidades, reintegros por mayores valores pagados en la liquidación de la nómina o por incapacidades, deducciones por pago de sanciones, y demás conceptos que otorguen </w:t>
            </w:r>
            <w:r w:rsidRPr="001A68E7">
              <w:rPr>
                <w:rFonts w:ascii="Arial" w:hAnsi="Arial" w:cs="Arial"/>
                <w:sz w:val="18"/>
                <w:szCs w:val="18"/>
                <w:lang w:val="es-ES_tradnl"/>
              </w:rPr>
              <w:t xml:space="preserve">derechos de cobro al MHCP. </w:t>
            </w:r>
          </w:p>
        </w:tc>
      </w:tr>
      <w:tr w:rsidR="00C37D47" w:rsidRPr="001A68E7" w14:paraId="75A8C6EE" w14:textId="77777777" w:rsidTr="00600F67">
        <w:trPr>
          <w:trHeight w:val="223"/>
          <w:jc w:val="center"/>
        </w:trPr>
        <w:tc>
          <w:tcPr>
            <w:tcW w:w="3298" w:type="dxa"/>
            <w:shd w:val="pct20" w:color="FFFFFF" w:fill="FFFFFF"/>
            <w:vAlign w:val="center"/>
            <w:hideMark/>
          </w:tcPr>
          <w:p w14:paraId="15CCA1C1" w14:textId="3721A906" w:rsidR="00C37D47" w:rsidRPr="001A68E7" w:rsidRDefault="00C37D47" w:rsidP="006E5929">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 xml:space="preserve">Subdirección de Servicios - </w:t>
            </w:r>
            <w:proofErr w:type="spellStart"/>
            <w:r w:rsidRPr="001A68E7">
              <w:rPr>
                <w:rFonts w:ascii="Arial" w:hAnsi="Arial" w:cs="Arial"/>
                <w:bCs/>
                <w:sz w:val="18"/>
                <w:szCs w:val="18"/>
                <w:lang w:val="es-ES_tradnl"/>
              </w:rPr>
              <w:t>Apo</w:t>
            </w:r>
            <w:proofErr w:type="spellEnd"/>
            <w:r w:rsidRPr="001A68E7">
              <w:rPr>
                <w:rFonts w:ascii="Arial" w:hAnsi="Arial" w:cs="Arial"/>
                <w:bCs/>
                <w:sz w:val="18"/>
                <w:szCs w:val="18"/>
                <w:lang w:val="es-ES_tradnl"/>
              </w:rPr>
              <w:t>. 4.2 Administración de Bienes y Servicios</w:t>
            </w:r>
          </w:p>
        </w:tc>
        <w:tc>
          <w:tcPr>
            <w:tcW w:w="5542" w:type="dxa"/>
            <w:gridSpan w:val="2"/>
            <w:shd w:val="pct20" w:color="FFFFFF" w:fill="FFFFFF"/>
            <w:vAlign w:val="center"/>
            <w:hideMark/>
          </w:tcPr>
          <w:p w14:paraId="666617B7"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 xml:space="preserve">Suministrar la información relacionada con: enajenación de bienes, siniestros, indemnizaciones, reposiciones y demás conceptos que otorguen </w:t>
            </w:r>
            <w:r w:rsidRPr="001A68E7">
              <w:rPr>
                <w:rFonts w:ascii="Arial" w:hAnsi="Arial" w:cs="Arial"/>
                <w:sz w:val="18"/>
                <w:szCs w:val="18"/>
                <w:lang w:val="es-ES_tradnl"/>
              </w:rPr>
              <w:t xml:space="preserve">derechos de cobro al MHCP. </w:t>
            </w:r>
          </w:p>
        </w:tc>
      </w:tr>
      <w:tr w:rsidR="00C37D47" w:rsidRPr="001A68E7" w14:paraId="0A8E53E2" w14:textId="77777777" w:rsidTr="00600F67">
        <w:trPr>
          <w:trHeight w:val="223"/>
          <w:jc w:val="center"/>
        </w:trPr>
        <w:tc>
          <w:tcPr>
            <w:tcW w:w="3298" w:type="dxa"/>
            <w:shd w:val="pct20" w:color="FFFFFF" w:fill="FFFFFF"/>
          </w:tcPr>
          <w:p w14:paraId="6A96655E" w14:textId="336DA6C5" w:rsidR="00C37D47" w:rsidRPr="001A68E7" w:rsidRDefault="00C37D47" w:rsidP="00600F67">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Subdirección Financiera- Grupo Pagaduría</w:t>
            </w:r>
            <w:r w:rsidR="00600F67">
              <w:rPr>
                <w:rFonts w:ascii="Arial" w:hAnsi="Arial" w:cs="Arial"/>
                <w:bCs/>
                <w:sz w:val="18"/>
                <w:szCs w:val="18"/>
                <w:lang w:val="es-ES_tradnl"/>
              </w:rPr>
              <w:t xml:space="preserve"> </w:t>
            </w:r>
            <w:r w:rsidRPr="001A68E7">
              <w:rPr>
                <w:rFonts w:ascii="Arial" w:hAnsi="Arial" w:cs="Arial"/>
                <w:bCs/>
                <w:sz w:val="18"/>
                <w:szCs w:val="18"/>
                <w:lang w:val="es-ES_tradnl"/>
              </w:rPr>
              <w:t>- Apo.3Pro3 Registro de la Ejecución del Presupuesto y Pago de Obligaciones Financieras</w:t>
            </w:r>
          </w:p>
        </w:tc>
        <w:tc>
          <w:tcPr>
            <w:tcW w:w="5542" w:type="dxa"/>
            <w:gridSpan w:val="2"/>
            <w:shd w:val="pct20" w:color="FFFFFF" w:fill="FFFFFF"/>
          </w:tcPr>
          <w:p w14:paraId="26BBB7FE"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Informar acerca de los acreedores varios constituidos en la DGCPTN por efectos de obligaciones causadas y no cobradas por los beneficiarios de las mismas.</w:t>
            </w:r>
          </w:p>
        </w:tc>
      </w:tr>
      <w:tr w:rsidR="00C37D47" w:rsidRPr="001A68E7" w14:paraId="064ACE89" w14:textId="77777777" w:rsidTr="00600F67">
        <w:trPr>
          <w:trHeight w:val="223"/>
          <w:jc w:val="center"/>
        </w:trPr>
        <w:tc>
          <w:tcPr>
            <w:tcW w:w="3298" w:type="dxa"/>
            <w:shd w:val="pct20" w:color="FFFFFF" w:fill="FFFFFF"/>
            <w:vAlign w:val="center"/>
          </w:tcPr>
          <w:p w14:paraId="1134B8F5" w14:textId="1EFEEC1B" w:rsidR="00C37D47" w:rsidRPr="001A68E7" w:rsidRDefault="00C37D47" w:rsidP="00B26C22">
            <w:pPr>
              <w:spacing w:line="288" w:lineRule="auto"/>
              <w:jc w:val="both"/>
              <w:rPr>
                <w:rFonts w:ascii="Arial" w:hAnsi="Arial" w:cs="Arial"/>
                <w:bCs/>
                <w:sz w:val="18"/>
                <w:szCs w:val="18"/>
                <w:lang w:val="es-ES_tradnl"/>
              </w:rPr>
            </w:pPr>
            <w:r w:rsidRPr="001A68E7">
              <w:rPr>
                <w:rFonts w:ascii="Arial" w:hAnsi="Arial" w:cs="Arial"/>
                <w:bCs/>
                <w:sz w:val="18"/>
                <w:szCs w:val="18"/>
                <w:lang w:val="es-ES_tradnl"/>
              </w:rPr>
              <w:t>Departamento Nacional de Planeación</w:t>
            </w:r>
            <w:r w:rsidR="00600F67">
              <w:rPr>
                <w:rFonts w:ascii="Arial" w:hAnsi="Arial" w:cs="Arial"/>
                <w:bCs/>
                <w:sz w:val="18"/>
                <w:szCs w:val="18"/>
                <w:lang w:val="es-ES_tradnl"/>
              </w:rPr>
              <w:t xml:space="preserve"> (DNP)</w:t>
            </w:r>
          </w:p>
        </w:tc>
        <w:tc>
          <w:tcPr>
            <w:tcW w:w="5542" w:type="dxa"/>
            <w:gridSpan w:val="2"/>
            <w:shd w:val="pct20" w:color="FFFFFF" w:fill="FFFFFF"/>
            <w:vAlign w:val="center"/>
          </w:tcPr>
          <w:p w14:paraId="2EA836CB" w14:textId="77777777" w:rsidR="00C37D47" w:rsidRPr="001A68E7" w:rsidRDefault="00C37D47" w:rsidP="00343ECE">
            <w:pPr>
              <w:numPr>
                <w:ilvl w:val="0"/>
                <w:numId w:val="29"/>
              </w:numPr>
              <w:spacing w:line="288" w:lineRule="auto"/>
              <w:ind w:left="317" w:hanging="279"/>
              <w:jc w:val="both"/>
              <w:rPr>
                <w:rFonts w:ascii="Arial" w:hAnsi="Arial" w:cs="Arial"/>
                <w:bCs/>
                <w:sz w:val="18"/>
                <w:szCs w:val="18"/>
                <w:lang w:val="es-ES_tradnl"/>
              </w:rPr>
            </w:pPr>
            <w:r w:rsidRPr="001A68E7">
              <w:rPr>
                <w:rFonts w:ascii="Arial" w:hAnsi="Arial" w:cs="Arial"/>
                <w:bCs/>
                <w:sz w:val="18"/>
                <w:szCs w:val="18"/>
                <w:lang w:val="es-ES_tradnl"/>
              </w:rPr>
              <w:t>Informar acerca de la distribución e instrucción del abono en cuenta de los recursos asignados al MHCP para el funcionamiento del Sistema General de Regalías.</w:t>
            </w:r>
          </w:p>
        </w:tc>
      </w:tr>
      <w:tr w:rsidR="00C37D47" w:rsidRPr="0023265E" w14:paraId="4D39F64F" w14:textId="77777777" w:rsidTr="00600F67">
        <w:trPr>
          <w:trHeight w:val="223"/>
          <w:jc w:val="center"/>
        </w:trPr>
        <w:tc>
          <w:tcPr>
            <w:tcW w:w="3298" w:type="dxa"/>
            <w:shd w:val="pct20" w:color="FFFFFF" w:fill="FFFFFF"/>
            <w:vAlign w:val="center"/>
          </w:tcPr>
          <w:p w14:paraId="4046C05F" w14:textId="784BF0E7" w:rsidR="00C37D47" w:rsidRPr="008F526A" w:rsidRDefault="00C37D47" w:rsidP="006E5929">
            <w:pPr>
              <w:spacing w:line="288" w:lineRule="auto"/>
              <w:jc w:val="both"/>
              <w:rPr>
                <w:rFonts w:ascii="Arial" w:hAnsi="Arial" w:cs="Arial"/>
                <w:bCs/>
                <w:sz w:val="18"/>
                <w:szCs w:val="18"/>
                <w:lang w:val="es-ES_tradnl"/>
              </w:rPr>
            </w:pPr>
            <w:r w:rsidRPr="00330070">
              <w:rPr>
                <w:rFonts w:ascii="Arial" w:hAnsi="Arial" w:cs="Arial"/>
                <w:bCs/>
                <w:sz w:val="18"/>
                <w:szCs w:val="18"/>
                <w:lang w:val="es-ES_tradnl"/>
              </w:rPr>
              <w:t>Grupo de Contabilidad de la Subdirección Financiera</w:t>
            </w:r>
            <w:r w:rsidR="006E5929">
              <w:rPr>
                <w:rFonts w:ascii="Arial" w:hAnsi="Arial" w:cs="Arial"/>
                <w:bCs/>
                <w:sz w:val="18"/>
                <w:szCs w:val="18"/>
                <w:lang w:val="es-ES_tradnl"/>
              </w:rPr>
              <w:t xml:space="preserve"> </w:t>
            </w:r>
            <w:r w:rsidRPr="008F526A">
              <w:rPr>
                <w:rFonts w:ascii="Arial" w:hAnsi="Arial" w:cs="Arial"/>
                <w:bCs/>
                <w:sz w:val="18"/>
                <w:szCs w:val="18"/>
                <w:lang w:val="es-ES_tradnl"/>
              </w:rPr>
              <w:t>-</w:t>
            </w:r>
            <w:r w:rsidRPr="008F526A">
              <w:rPr>
                <w:rFonts w:ascii="Arial" w:hAnsi="Arial" w:cs="Arial"/>
                <w:sz w:val="18"/>
                <w:szCs w:val="18"/>
                <w:lang w:val="es-ES_tradnl"/>
              </w:rPr>
              <w:t xml:space="preserve"> </w:t>
            </w:r>
            <w:r w:rsidRPr="008F526A">
              <w:rPr>
                <w:rFonts w:ascii="Arial" w:hAnsi="Arial" w:cs="Arial"/>
                <w:bCs/>
                <w:sz w:val="18"/>
                <w:szCs w:val="18"/>
                <w:lang w:val="es-ES_tradnl"/>
              </w:rPr>
              <w:t>Apo.3 Apoyo a la Gestión Financiera</w:t>
            </w:r>
          </w:p>
        </w:tc>
        <w:tc>
          <w:tcPr>
            <w:tcW w:w="5542" w:type="dxa"/>
            <w:gridSpan w:val="2"/>
            <w:shd w:val="pct20" w:color="FFFFFF" w:fill="FFFFFF"/>
            <w:vAlign w:val="center"/>
          </w:tcPr>
          <w:p w14:paraId="754ED48D" w14:textId="77777777" w:rsidR="00C37D47" w:rsidRPr="00330070" w:rsidRDefault="00C37D47" w:rsidP="00343ECE">
            <w:pPr>
              <w:numPr>
                <w:ilvl w:val="0"/>
                <w:numId w:val="29"/>
              </w:numPr>
              <w:spacing w:line="288" w:lineRule="auto"/>
              <w:ind w:left="317" w:hanging="279"/>
              <w:jc w:val="both"/>
              <w:rPr>
                <w:rFonts w:ascii="Arial" w:hAnsi="Arial" w:cs="Arial"/>
                <w:bCs/>
                <w:sz w:val="18"/>
                <w:szCs w:val="18"/>
                <w:lang w:val="es-ES_tradnl"/>
              </w:rPr>
            </w:pPr>
            <w:r w:rsidRPr="00330070">
              <w:rPr>
                <w:rFonts w:ascii="Arial" w:hAnsi="Arial" w:cs="Arial"/>
                <w:bCs/>
                <w:sz w:val="18"/>
                <w:szCs w:val="18"/>
                <w:lang w:val="es-ES_tradnl"/>
              </w:rPr>
              <w:t>Recibir la información de las áreas antes mencionadas para realizar el registro, medición y revelación contable correspondiente.</w:t>
            </w:r>
          </w:p>
          <w:p w14:paraId="6C3D0F78" w14:textId="77777777" w:rsidR="00C37D47" w:rsidRPr="00330070" w:rsidRDefault="00C37D47" w:rsidP="00343ECE">
            <w:pPr>
              <w:numPr>
                <w:ilvl w:val="0"/>
                <w:numId w:val="29"/>
              </w:numPr>
              <w:spacing w:line="288" w:lineRule="auto"/>
              <w:ind w:left="317" w:hanging="279"/>
              <w:jc w:val="both"/>
              <w:rPr>
                <w:rFonts w:ascii="Arial" w:hAnsi="Arial" w:cs="Arial"/>
                <w:bCs/>
                <w:sz w:val="18"/>
                <w:szCs w:val="18"/>
                <w:lang w:val="es-ES_tradnl"/>
              </w:rPr>
            </w:pPr>
            <w:r w:rsidRPr="00330070">
              <w:rPr>
                <w:rFonts w:ascii="Arial" w:hAnsi="Arial" w:cs="Arial"/>
                <w:bCs/>
                <w:sz w:val="18"/>
                <w:szCs w:val="18"/>
                <w:lang w:val="es-ES_tradnl"/>
              </w:rPr>
              <w:t>Consultar, verificar e imputar los recaudos en las cuentas de la DGCPTN a través del módulo de ingresos del SIIF.</w:t>
            </w:r>
          </w:p>
          <w:p w14:paraId="7D875E4F" w14:textId="77777777" w:rsidR="00C37D47" w:rsidRPr="00330070" w:rsidRDefault="00C37D47" w:rsidP="00343ECE">
            <w:pPr>
              <w:numPr>
                <w:ilvl w:val="0"/>
                <w:numId w:val="29"/>
              </w:numPr>
              <w:spacing w:line="288" w:lineRule="auto"/>
              <w:ind w:left="317" w:hanging="279"/>
              <w:jc w:val="both"/>
              <w:rPr>
                <w:rFonts w:ascii="Arial" w:hAnsi="Arial" w:cs="Arial"/>
                <w:bCs/>
                <w:sz w:val="18"/>
                <w:szCs w:val="18"/>
                <w:lang w:val="es-ES_tradnl"/>
              </w:rPr>
            </w:pPr>
            <w:r w:rsidRPr="00330070">
              <w:rPr>
                <w:rFonts w:ascii="Arial" w:hAnsi="Arial" w:cs="Arial"/>
                <w:bCs/>
                <w:sz w:val="18"/>
                <w:szCs w:val="18"/>
                <w:lang w:val="es-ES_tradnl"/>
              </w:rPr>
              <w:t>Conciliar y depurar las partidas de cuentas por cobrar, identificando los casos especiales como deudas de difícil cobro, evidencias de deterioro, entre otras.</w:t>
            </w:r>
          </w:p>
        </w:tc>
      </w:tr>
    </w:tbl>
    <w:p w14:paraId="7EB301FC" w14:textId="7388955C" w:rsidR="00C37D47" w:rsidRDefault="00C37D47" w:rsidP="00B70BB0">
      <w:pPr>
        <w:spacing w:line="288" w:lineRule="auto"/>
        <w:jc w:val="both"/>
        <w:rPr>
          <w:rFonts w:ascii="Arial" w:hAnsi="Arial" w:cs="Arial"/>
          <w:sz w:val="22"/>
          <w:szCs w:val="22"/>
          <w:lang w:val="es-ES_tradnl" w:eastAsia="es-CO"/>
        </w:rPr>
      </w:pPr>
    </w:p>
    <w:p w14:paraId="15081134" w14:textId="7310C74A" w:rsidR="0047370E" w:rsidRDefault="007D5405" w:rsidP="00CA76B9">
      <w:pPr>
        <w:pStyle w:val="Prrafodelista"/>
        <w:spacing w:line="288" w:lineRule="auto"/>
        <w:ind w:left="0"/>
        <w:jc w:val="both"/>
        <w:rPr>
          <w:rFonts w:ascii="Arial" w:hAnsi="Arial" w:cs="Arial"/>
          <w:sz w:val="22"/>
          <w:szCs w:val="22"/>
        </w:rPr>
      </w:pPr>
      <w:r>
        <w:rPr>
          <w:rFonts w:ascii="Arial" w:hAnsi="Arial" w:cs="Arial"/>
          <w:sz w:val="22"/>
          <w:szCs w:val="22"/>
        </w:rPr>
        <w:t xml:space="preserve">No </w:t>
      </w:r>
      <w:proofErr w:type="gramStart"/>
      <w:r>
        <w:rPr>
          <w:rFonts w:ascii="Arial" w:hAnsi="Arial" w:cs="Arial"/>
          <w:sz w:val="22"/>
          <w:szCs w:val="22"/>
        </w:rPr>
        <w:t>obstante</w:t>
      </w:r>
      <w:proofErr w:type="gramEnd"/>
      <w:r>
        <w:rPr>
          <w:rFonts w:ascii="Arial" w:hAnsi="Arial" w:cs="Arial"/>
          <w:sz w:val="22"/>
          <w:szCs w:val="22"/>
        </w:rPr>
        <w:t xml:space="preserve"> lo anterior, p</w:t>
      </w:r>
      <w:r w:rsidR="0047370E">
        <w:rPr>
          <w:rFonts w:ascii="Arial" w:hAnsi="Arial" w:cs="Arial"/>
          <w:sz w:val="22"/>
          <w:szCs w:val="22"/>
        </w:rPr>
        <w:t>ara el envío de la información, las Subdirecciones Jurídic</w:t>
      </w:r>
      <w:r w:rsidR="0016393C">
        <w:rPr>
          <w:rFonts w:ascii="Arial" w:hAnsi="Arial" w:cs="Arial"/>
          <w:sz w:val="22"/>
          <w:szCs w:val="22"/>
        </w:rPr>
        <w:t xml:space="preserve">a y Financiera han suscrito el </w:t>
      </w:r>
      <w:r w:rsidR="00600F67">
        <w:rPr>
          <w:rFonts w:ascii="Arial" w:hAnsi="Arial" w:cs="Arial"/>
          <w:sz w:val="22"/>
          <w:szCs w:val="22"/>
        </w:rPr>
        <w:t>“</w:t>
      </w:r>
      <w:r w:rsidR="0016393C" w:rsidRPr="007C2386">
        <w:rPr>
          <w:rFonts w:ascii="Arial" w:hAnsi="Arial" w:cs="Arial"/>
          <w:i/>
          <w:sz w:val="22"/>
          <w:szCs w:val="22"/>
        </w:rPr>
        <w:t>A</w:t>
      </w:r>
      <w:r w:rsidR="0047370E" w:rsidRPr="007C2386">
        <w:rPr>
          <w:rFonts w:ascii="Arial" w:hAnsi="Arial" w:cs="Arial"/>
          <w:i/>
          <w:sz w:val="22"/>
          <w:szCs w:val="22"/>
        </w:rPr>
        <w:t>cuerdo de servicio Apo.5.3-Apo.3.0_As076</w:t>
      </w:r>
      <w:r w:rsidR="00600F67">
        <w:rPr>
          <w:rFonts w:ascii="Arial" w:hAnsi="Arial" w:cs="Arial"/>
          <w:i/>
          <w:sz w:val="22"/>
          <w:szCs w:val="22"/>
        </w:rPr>
        <w:t>”</w:t>
      </w:r>
      <w:r w:rsidR="0047370E" w:rsidRPr="00A955CB">
        <w:rPr>
          <w:rFonts w:ascii="Arial" w:hAnsi="Arial" w:cs="Arial"/>
          <w:sz w:val="22"/>
          <w:szCs w:val="22"/>
        </w:rPr>
        <w:t xml:space="preserve"> mediante el que se establece la forma y plazos en los cuales el Grupo de Derechos de Petición, Consultas y Cartera de la Subdirección Jurídica, debe enviar al Grupo de Contabilidad de la </w:t>
      </w:r>
      <w:r w:rsidR="0047370E" w:rsidRPr="00A955CB">
        <w:rPr>
          <w:rFonts w:ascii="Arial" w:hAnsi="Arial" w:cs="Arial"/>
          <w:sz w:val="22"/>
          <w:szCs w:val="22"/>
        </w:rPr>
        <w:lastRenderedPageBreak/>
        <w:t xml:space="preserve">Subdirección financiera, los informes de procesos de cobro que gestiona por derechos a favor del Ministerio de Hacienda y Crédito Público (MHCP).  </w:t>
      </w:r>
    </w:p>
    <w:p w14:paraId="1ACC0B7A" w14:textId="11FA206A" w:rsidR="00333D47" w:rsidRDefault="00333D47" w:rsidP="00CA76B9">
      <w:pPr>
        <w:pStyle w:val="Prrafodelista"/>
        <w:spacing w:line="288" w:lineRule="auto"/>
        <w:ind w:left="0"/>
        <w:jc w:val="both"/>
        <w:rPr>
          <w:rFonts w:ascii="Arial" w:hAnsi="Arial" w:cs="Arial"/>
          <w:sz w:val="22"/>
          <w:szCs w:val="22"/>
        </w:rPr>
      </w:pPr>
    </w:p>
    <w:p w14:paraId="43BA4365" w14:textId="7A80BB59" w:rsidR="00333D47" w:rsidRDefault="00333D47" w:rsidP="00CA76B9">
      <w:pPr>
        <w:pStyle w:val="Prrafodelista"/>
        <w:spacing w:line="288" w:lineRule="auto"/>
        <w:ind w:left="0"/>
        <w:jc w:val="both"/>
        <w:rPr>
          <w:rFonts w:ascii="Arial" w:hAnsi="Arial" w:cs="Arial"/>
          <w:i/>
          <w:sz w:val="22"/>
          <w:szCs w:val="22"/>
        </w:rPr>
      </w:pPr>
      <w:r>
        <w:rPr>
          <w:rFonts w:ascii="Arial" w:hAnsi="Arial" w:cs="Arial"/>
          <w:sz w:val="22"/>
          <w:szCs w:val="22"/>
        </w:rPr>
        <w:t xml:space="preserve">Por su parte, para la evaluación y medición del deterioro de valor de las cuentas por cobrar se empleará el formato </w:t>
      </w:r>
      <w:r w:rsidR="00671190">
        <w:rPr>
          <w:rFonts w:ascii="Arial" w:hAnsi="Arial" w:cs="Arial"/>
          <w:sz w:val="22"/>
          <w:szCs w:val="22"/>
        </w:rPr>
        <w:t>denominado “</w:t>
      </w:r>
      <w:r w:rsidRPr="007C2386">
        <w:rPr>
          <w:rFonts w:ascii="Arial" w:hAnsi="Arial" w:cs="Arial"/>
          <w:i/>
          <w:sz w:val="22"/>
          <w:szCs w:val="22"/>
        </w:rPr>
        <w:t>Apo.3.Man.3.Fr.10 Formulario para la evaluación y medición del deterioro de valor de las cuentas por cobrar</w:t>
      </w:r>
      <w:r w:rsidR="00671190">
        <w:rPr>
          <w:rFonts w:ascii="Arial" w:hAnsi="Arial" w:cs="Arial"/>
          <w:i/>
          <w:sz w:val="22"/>
          <w:szCs w:val="22"/>
        </w:rPr>
        <w:t>”</w:t>
      </w:r>
      <w:r>
        <w:rPr>
          <w:rFonts w:ascii="Arial" w:hAnsi="Arial" w:cs="Arial"/>
          <w:i/>
          <w:sz w:val="22"/>
          <w:szCs w:val="22"/>
        </w:rPr>
        <w:t xml:space="preserve">, </w:t>
      </w:r>
      <w:r w:rsidRPr="007C2386">
        <w:rPr>
          <w:rFonts w:ascii="Arial" w:hAnsi="Arial" w:cs="Arial"/>
          <w:sz w:val="22"/>
          <w:szCs w:val="22"/>
        </w:rPr>
        <w:t>y</w:t>
      </w:r>
      <w:r>
        <w:rPr>
          <w:rFonts w:ascii="Arial" w:hAnsi="Arial" w:cs="Arial"/>
          <w:sz w:val="22"/>
          <w:szCs w:val="22"/>
        </w:rPr>
        <w:t xml:space="preserve"> para la conciliación se utilizará el formato </w:t>
      </w:r>
      <w:r w:rsidR="00671190">
        <w:rPr>
          <w:rFonts w:ascii="Arial" w:hAnsi="Arial" w:cs="Arial"/>
          <w:sz w:val="22"/>
          <w:szCs w:val="22"/>
        </w:rPr>
        <w:t>“</w:t>
      </w:r>
      <w:r w:rsidR="006E5929">
        <w:rPr>
          <w:rFonts w:ascii="Arial" w:hAnsi="Arial" w:cs="Arial"/>
          <w:i/>
          <w:sz w:val="22"/>
          <w:szCs w:val="22"/>
        </w:rPr>
        <w:t>Apo.3.Man.3.Fr.4</w:t>
      </w:r>
      <w:r w:rsidRPr="007C2386">
        <w:rPr>
          <w:rFonts w:ascii="Arial" w:hAnsi="Arial" w:cs="Arial"/>
          <w:i/>
          <w:sz w:val="22"/>
          <w:szCs w:val="22"/>
        </w:rPr>
        <w:t xml:space="preserve"> Conciliación de </w:t>
      </w:r>
      <w:r w:rsidR="006E5929">
        <w:rPr>
          <w:rFonts w:ascii="Arial" w:hAnsi="Arial" w:cs="Arial"/>
          <w:i/>
          <w:sz w:val="22"/>
          <w:szCs w:val="22"/>
        </w:rPr>
        <w:t>cartera</w:t>
      </w:r>
      <w:r w:rsidR="00671190">
        <w:rPr>
          <w:rFonts w:ascii="Arial" w:hAnsi="Arial" w:cs="Arial"/>
          <w:i/>
          <w:sz w:val="22"/>
          <w:szCs w:val="22"/>
        </w:rPr>
        <w:t>”</w:t>
      </w:r>
      <w:r>
        <w:rPr>
          <w:rFonts w:ascii="Arial" w:hAnsi="Arial" w:cs="Arial"/>
          <w:i/>
          <w:sz w:val="22"/>
          <w:szCs w:val="22"/>
        </w:rPr>
        <w:t xml:space="preserve">. </w:t>
      </w:r>
    </w:p>
    <w:p w14:paraId="08C334D4" w14:textId="3F8D6F81" w:rsidR="006E5929" w:rsidRDefault="006E5929" w:rsidP="00CA76B9">
      <w:pPr>
        <w:pStyle w:val="Prrafodelista"/>
        <w:spacing w:line="288" w:lineRule="auto"/>
        <w:ind w:left="0"/>
        <w:jc w:val="both"/>
        <w:rPr>
          <w:rFonts w:ascii="Arial" w:hAnsi="Arial" w:cs="Arial"/>
          <w:i/>
          <w:sz w:val="22"/>
          <w:szCs w:val="22"/>
        </w:rPr>
      </w:pPr>
    </w:p>
    <w:p w14:paraId="6CC095F4" w14:textId="4BC700E9" w:rsidR="006E5929" w:rsidRPr="00FB5181" w:rsidRDefault="006E5929" w:rsidP="00CA76B9">
      <w:pPr>
        <w:pStyle w:val="Prrafodelista"/>
        <w:spacing w:line="288" w:lineRule="auto"/>
        <w:ind w:left="0"/>
        <w:jc w:val="both"/>
        <w:rPr>
          <w:rFonts w:ascii="Arial" w:hAnsi="Arial" w:cs="Arial"/>
          <w:i/>
          <w:sz w:val="22"/>
          <w:szCs w:val="22"/>
        </w:rPr>
      </w:pPr>
      <w:r w:rsidRPr="00FB5181">
        <w:rPr>
          <w:rFonts w:ascii="Arial" w:hAnsi="Arial" w:cs="Arial"/>
          <w:sz w:val="22"/>
          <w:szCs w:val="22"/>
        </w:rPr>
        <w:t xml:space="preserve">Tratándose de </w:t>
      </w:r>
      <w:r>
        <w:rPr>
          <w:rFonts w:ascii="Arial" w:hAnsi="Arial" w:cs="Arial"/>
          <w:sz w:val="22"/>
          <w:szCs w:val="22"/>
        </w:rPr>
        <w:t xml:space="preserve">los bonos pensionales, la Oficina de Bonos Pensionales y la Subdirección Financiera </w:t>
      </w:r>
      <w:r w:rsidR="00A0383D">
        <w:rPr>
          <w:rFonts w:ascii="Arial" w:hAnsi="Arial" w:cs="Arial"/>
          <w:sz w:val="22"/>
          <w:szCs w:val="22"/>
        </w:rPr>
        <w:t>han suscrito</w:t>
      </w:r>
      <w:r>
        <w:rPr>
          <w:rFonts w:ascii="Arial" w:hAnsi="Arial" w:cs="Arial"/>
          <w:sz w:val="22"/>
          <w:szCs w:val="22"/>
        </w:rPr>
        <w:t xml:space="preserve"> el </w:t>
      </w:r>
      <w:r w:rsidR="00B14547">
        <w:rPr>
          <w:rFonts w:ascii="Arial" w:hAnsi="Arial" w:cs="Arial"/>
          <w:sz w:val="22"/>
          <w:szCs w:val="22"/>
        </w:rPr>
        <w:t>“</w:t>
      </w:r>
      <w:r w:rsidRPr="007C2386">
        <w:rPr>
          <w:rFonts w:ascii="Arial" w:hAnsi="Arial" w:cs="Arial"/>
          <w:i/>
          <w:sz w:val="22"/>
          <w:szCs w:val="22"/>
        </w:rPr>
        <w:t>Acuerdo de Servicio</w:t>
      </w:r>
      <w:r>
        <w:rPr>
          <w:rFonts w:ascii="Arial" w:hAnsi="Arial" w:cs="Arial"/>
          <w:sz w:val="22"/>
          <w:szCs w:val="22"/>
        </w:rPr>
        <w:t xml:space="preserve"> </w:t>
      </w:r>
      <w:r>
        <w:rPr>
          <w:rFonts w:ascii="Arial" w:hAnsi="Arial" w:cs="Arial"/>
          <w:i/>
          <w:sz w:val="22"/>
          <w:szCs w:val="22"/>
        </w:rPr>
        <w:t>Mis.3.9 – Apo.3.0_As098</w:t>
      </w:r>
      <w:r w:rsidR="00B14547">
        <w:rPr>
          <w:rFonts w:ascii="Arial" w:hAnsi="Arial" w:cs="Arial"/>
          <w:i/>
          <w:sz w:val="22"/>
          <w:szCs w:val="22"/>
        </w:rPr>
        <w:t>”</w:t>
      </w:r>
      <w:r>
        <w:rPr>
          <w:rFonts w:ascii="Arial" w:hAnsi="Arial" w:cs="Arial"/>
          <w:i/>
          <w:sz w:val="22"/>
          <w:szCs w:val="22"/>
        </w:rPr>
        <w:t xml:space="preserve">, </w:t>
      </w:r>
      <w:r>
        <w:rPr>
          <w:rFonts w:ascii="Arial" w:hAnsi="Arial" w:cs="Arial"/>
          <w:sz w:val="22"/>
          <w:szCs w:val="22"/>
        </w:rPr>
        <w:t>mediante el que se establece la entrega</w:t>
      </w:r>
      <w:r w:rsidR="001C4899">
        <w:rPr>
          <w:rFonts w:ascii="Arial" w:hAnsi="Arial" w:cs="Arial"/>
          <w:sz w:val="22"/>
          <w:szCs w:val="22"/>
        </w:rPr>
        <w:t xml:space="preserve">, al Grupo de Contabilidad, </w:t>
      </w:r>
      <w:r>
        <w:rPr>
          <w:rFonts w:ascii="Arial" w:hAnsi="Arial" w:cs="Arial"/>
          <w:sz w:val="22"/>
          <w:szCs w:val="22"/>
        </w:rPr>
        <w:t xml:space="preserve">de informes de los movimientos que se generen con motivo de la liquidación, emisión, pago, anulación y reintegro de las cuotas partes de bonos pensionales </w:t>
      </w:r>
      <w:r w:rsidRPr="002B5630">
        <w:rPr>
          <w:rFonts w:ascii="Arial" w:hAnsi="Arial" w:cs="Arial"/>
          <w:sz w:val="22"/>
          <w:szCs w:val="22"/>
        </w:rPr>
        <w:t>a cargo de la Naci</w:t>
      </w:r>
      <w:r w:rsidRPr="006E5929">
        <w:rPr>
          <w:rFonts w:ascii="Arial" w:hAnsi="Arial" w:cs="Arial"/>
          <w:sz w:val="22"/>
          <w:szCs w:val="22"/>
        </w:rPr>
        <w:t xml:space="preserve">ón. Asimismo, para la gestión de conciliación de los bonos pensionales se empleará el formato </w:t>
      </w:r>
      <w:r w:rsidR="00E30E4A">
        <w:rPr>
          <w:rFonts w:ascii="Arial" w:hAnsi="Arial" w:cs="Arial"/>
          <w:sz w:val="22"/>
          <w:szCs w:val="22"/>
        </w:rPr>
        <w:t>“</w:t>
      </w:r>
      <w:r w:rsidRPr="00FB5181">
        <w:rPr>
          <w:rFonts w:ascii="Arial" w:hAnsi="Arial" w:cs="Arial"/>
          <w:i/>
          <w:sz w:val="22"/>
          <w:szCs w:val="22"/>
        </w:rPr>
        <w:t>Apo.3.Man.3.Fr.9 Conciliación de Operaciones de Bonos Pensionales</w:t>
      </w:r>
      <w:r w:rsidR="00E30E4A">
        <w:rPr>
          <w:rFonts w:ascii="Arial" w:hAnsi="Arial" w:cs="Arial"/>
          <w:i/>
          <w:sz w:val="22"/>
          <w:szCs w:val="22"/>
        </w:rPr>
        <w:t>”</w:t>
      </w:r>
      <w:r w:rsidRPr="002B5630">
        <w:rPr>
          <w:rFonts w:ascii="Arial" w:hAnsi="Arial" w:cs="Arial"/>
          <w:i/>
          <w:sz w:val="22"/>
          <w:szCs w:val="22"/>
        </w:rPr>
        <w:t>.</w:t>
      </w:r>
      <w:r w:rsidRPr="00FB5181">
        <w:rPr>
          <w:rFonts w:ascii="Arial" w:hAnsi="Arial" w:cs="Arial"/>
          <w:i/>
          <w:sz w:val="22"/>
          <w:szCs w:val="22"/>
        </w:rPr>
        <w:t xml:space="preserve"> </w:t>
      </w:r>
    </w:p>
    <w:p w14:paraId="41A23308" w14:textId="0CD794D0" w:rsidR="00B70BB0" w:rsidRDefault="00B70BB0" w:rsidP="00CA76B9">
      <w:pPr>
        <w:pStyle w:val="Prrafodelista"/>
        <w:spacing w:line="288" w:lineRule="auto"/>
        <w:ind w:left="0"/>
        <w:jc w:val="both"/>
        <w:rPr>
          <w:rFonts w:ascii="Arial" w:hAnsi="Arial" w:cs="Arial"/>
          <w:b/>
          <w:sz w:val="22"/>
          <w:szCs w:val="22"/>
        </w:rPr>
      </w:pPr>
    </w:p>
    <w:p w14:paraId="4574ADFA" w14:textId="0D8C3988" w:rsidR="00A0383D" w:rsidRPr="007C2386" w:rsidRDefault="00A0383D" w:rsidP="00CA76B9">
      <w:pPr>
        <w:pStyle w:val="Prrafodelista"/>
        <w:spacing w:line="288" w:lineRule="auto"/>
        <w:ind w:left="0"/>
        <w:jc w:val="both"/>
        <w:rPr>
          <w:rFonts w:ascii="Arial" w:hAnsi="Arial" w:cs="Arial"/>
          <w:i/>
          <w:sz w:val="22"/>
          <w:szCs w:val="22"/>
        </w:rPr>
      </w:pPr>
      <w:r>
        <w:rPr>
          <w:rFonts w:ascii="Arial" w:hAnsi="Arial" w:cs="Arial"/>
          <w:sz w:val="22"/>
          <w:szCs w:val="22"/>
        </w:rPr>
        <w:t xml:space="preserve">Con relación a la información del portafolio FONPET, se ha suscrito el </w:t>
      </w:r>
      <w:r w:rsidR="00D96A06">
        <w:rPr>
          <w:rFonts w:ascii="Arial" w:hAnsi="Arial" w:cs="Arial"/>
          <w:sz w:val="22"/>
          <w:szCs w:val="22"/>
        </w:rPr>
        <w:t>“</w:t>
      </w:r>
      <w:r>
        <w:rPr>
          <w:rFonts w:ascii="Arial" w:hAnsi="Arial" w:cs="Arial"/>
          <w:i/>
          <w:sz w:val="22"/>
          <w:szCs w:val="22"/>
        </w:rPr>
        <w:t>Acuerdo de Servicio Mis.3.11_Apo.3.0_As061</w:t>
      </w:r>
      <w:r w:rsidR="00D96A06">
        <w:rPr>
          <w:rFonts w:ascii="Arial" w:hAnsi="Arial" w:cs="Arial"/>
          <w:i/>
          <w:sz w:val="22"/>
          <w:szCs w:val="22"/>
        </w:rPr>
        <w:t>”</w:t>
      </w:r>
      <w:r>
        <w:rPr>
          <w:rFonts w:ascii="Arial" w:hAnsi="Arial" w:cs="Arial"/>
          <w:i/>
          <w:sz w:val="22"/>
          <w:szCs w:val="22"/>
        </w:rPr>
        <w:t xml:space="preserve"> </w:t>
      </w:r>
      <w:r>
        <w:rPr>
          <w:rFonts w:ascii="Arial" w:hAnsi="Arial" w:cs="Arial"/>
          <w:sz w:val="22"/>
          <w:szCs w:val="22"/>
        </w:rPr>
        <w:t>entre la Dirección de Regulación Económica de la Seguridad Social y la Subdirección Financiera</w:t>
      </w:r>
      <w:r w:rsidR="000C6F4E">
        <w:rPr>
          <w:rFonts w:ascii="Arial" w:hAnsi="Arial" w:cs="Arial"/>
          <w:sz w:val="22"/>
          <w:szCs w:val="22"/>
        </w:rPr>
        <w:t>, el cual permite el suministro de la información de los movimientos del FONPET que afectan los Estados Contables del Ministerio de Hacienda y Crédito Público.</w:t>
      </w:r>
      <w:r>
        <w:rPr>
          <w:rFonts w:ascii="Arial" w:hAnsi="Arial" w:cs="Arial"/>
          <w:sz w:val="22"/>
          <w:szCs w:val="22"/>
        </w:rPr>
        <w:t xml:space="preserve"> </w:t>
      </w:r>
      <w:r w:rsidR="002F5086">
        <w:rPr>
          <w:rFonts w:ascii="Arial" w:hAnsi="Arial" w:cs="Arial"/>
          <w:sz w:val="22"/>
          <w:szCs w:val="22"/>
        </w:rPr>
        <w:t xml:space="preserve">Para la conciliación de la información se emplea el formato </w:t>
      </w:r>
      <w:r w:rsidR="00D96A06">
        <w:rPr>
          <w:rFonts w:ascii="Arial" w:hAnsi="Arial" w:cs="Arial"/>
          <w:sz w:val="22"/>
          <w:szCs w:val="22"/>
        </w:rPr>
        <w:t>“</w:t>
      </w:r>
      <w:r w:rsidR="002F5086" w:rsidRPr="007C2386">
        <w:rPr>
          <w:rFonts w:ascii="Arial" w:hAnsi="Arial" w:cs="Arial"/>
          <w:i/>
          <w:sz w:val="22"/>
          <w:szCs w:val="22"/>
        </w:rPr>
        <w:t>Apo.3.Man.3.Fr.7  Conciliación de operaciones del portafolio FONPET</w:t>
      </w:r>
      <w:r w:rsidR="00D96A06">
        <w:rPr>
          <w:rFonts w:ascii="Arial" w:hAnsi="Arial" w:cs="Arial"/>
          <w:i/>
          <w:sz w:val="22"/>
          <w:szCs w:val="22"/>
        </w:rPr>
        <w:t>”</w:t>
      </w:r>
      <w:r w:rsidR="00234B3F">
        <w:rPr>
          <w:rFonts w:ascii="Arial" w:hAnsi="Arial" w:cs="Arial"/>
          <w:i/>
          <w:sz w:val="22"/>
          <w:szCs w:val="22"/>
        </w:rPr>
        <w:t>.</w:t>
      </w:r>
      <w:r w:rsidRPr="002F5086">
        <w:rPr>
          <w:rFonts w:ascii="Arial" w:hAnsi="Arial" w:cs="Arial"/>
          <w:i/>
          <w:sz w:val="22"/>
          <w:szCs w:val="22"/>
        </w:rPr>
        <w:t xml:space="preserve">  </w:t>
      </w:r>
    </w:p>
    <w:p w14:paraId="0AC9EA7B" w14:textId="02D86A68" w:rsidR="00A0383D" w:rsidRDefault="00A0383D" w:rsidP="00CA76B9">
      <w:pPr>
        <w:pStyle w:val="Prrafodelista"/>
        <w:spacing w:line="288" w:lineRule="auto"/>
        <w:ind w:left="0"/>
        <w:rPr>
          <w:rFonts w:ascii="Arial" w:hAnsi="Arial" w:cs="Arial"/>
          <w:b/>
          <w:sz w:val="22"/>
          <w:szCs w:val="22"/>
        </w:rPr>
      </w:pPr>
    </w:p>
    <w:p w14:paraId="24E8D485" w14:textId="1B41051D" w:rsidR="008A625C" w:rsidRDefault="008A625C" w:rsidP="00CA76B9">
      <w:pPr>
        <w:pStyle w:val="Ttulo3"/>
        <w:numPr>
          <w:ilvl w:val="2"/>
          <w:numId w:val="1"/>
        </w:numPr>
        <w:spacing w:line="288" w:lineRule="auto"/>
        <w:rPr>
          <w:rFonts w:ascii="Arial" w:hAnsi="Arial" w:cs="Arial"/>
          <w:b/>
          <w:sz w:val="22"/>
          <w:szCs w:val="22"/>
        </w:rPr>
      </w:pPr>
      <w:bookmarkStart w:id="276" w:name="_Toc59377868"/>
      <w:r>
        <w:rPr>
          <w:rFonts w:ascii="Arial" w:hAnsi="Arial" w:cs="Arial"/>
          <w:b/>
          <w:sz w:val="22"/>
          <w:szCs w:val="22"/>
        </w:rPr>
        <w:t xml:space="preserve">Préstamos </w:t>
      </w:r>
      <w:r w:rsidRPr="00CB3572">
        <w:rPr>
          <w:rFonts w:ascii="Arial" w:hAnsi="Arial" w:cs="Arial"/>
          <w:b/>
          <w:sz w:val="22"/>
          <w:szCs w:val="22"/>
        </w:rPr>
        <w:t>por Cobrar</w:t>
      </w:r>
      <w:bookmarkEnd w:id="276"/>
    </w:p>
    <w:p w14:paraId="132DBE4C" w14:textId="77777777" w:rsidR="008A625C" w:rsidRDefault="008A625C" w:rsidP="00CA76B9">
      <w:pPr>
        <w:pStyle w:val="Prrafodelista"/>
        <w:spacing w:line="288" w:lineRule="auto"/>
        <w:ind w:left="0"/>
        <w:rPr>
          <w:rFonts w:ascii="Arial" w:hAnsi="Arial" w:cs="Arial"/>
          <w:b/>
          <w:sz w:val="22"/>
          <w:szCs w:val="22"/>
        </w:rPr>
      </w:pPr>
    </w:p>
    <w:p w14:paraId="5CEA2420" w14:textId="3E6742C6" w:rsidR="008A625C" w:rsidRDefault="008A625C"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préstamos por cobrar: </w:t>
      </w:r>
    </w:p>
    <w:p w14:paraId="1D78DA83" w14:textId="1A797CC6" w:rsidR="008A625C" w:rsidRDefault="008A625C" w:rsidP="008A625C">
      <w:pPr>
        <w:spacing w:line="288" w:lineRule="auto"/>
        <w:jc w:val="both"/>
        <w:rPr>
          <w:rFonts w:ascii="Arial" w:hAnsi="Arial" w:cs="Arial"/>
          <w:sz w:val="22"/>
          <w:szCs w:val="22"/>
          <w:lang w:val="es-ES_tradnl" w:eastAsia="es-CO"/>
        </w:rPr>
      </w:pPr>
    </w:p>
    <w:tbl>
      <w:tblPr>
        <w:tblW w:w="0" w:type="auto"/>
        <w:jc w:val="center"/>
        <w:tblBorders>
          <w:bottom w:val="single" w:sz="12" w:space="0" w:color="000000"/>
        </w:tblBorders>
        <w:tblLook w:val="0420" w:firstRow="1" w:lastRow="0" w:firstColumn="0" w:lastColumn="0" w:noHBand="0" w:noVBand="1"/>
      </w:tblPr>
      <w:tblGrid>
        <w:gridCol w:w="3318"/>
        <w:gridCol w:w="5522"/>
      </w:tblGrid>
      <w:tr w:rsidR="008A625C" w:rsidRPr="001A68E7" w14:paraId="7E8C123D" w14:textId="77777777" w:rsidTr="00EF3D59">
        <w:trPr>
          <w:tblHeader/>
          <w:jc w:val="center"/>
        </w:trPr>
        <w:tc>
          <w:tcPr>
            <w:tcW w:w="3369" w:type="dxa"/>
            <w:tcBorders>
              <w:bottom w:val="single" w:sz="12" w:space="0" w:color="3366CC"/>
            </w:tcBorders>
            <w:shd w:val="clear" w:color="2F5395" w:fill="3366CC"/>
            <w:vAlign w:val="center"/>
          </w:tcPr>
          <w:p w14:paraId="59F5C668" w14:textId="77777777" w:rsidR="008A625C" w:rsidRPr="001A68E7" w:rsidRDefault="008A625C" w:rsidP="00EF3D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5611" w:type="dxa"/>
            <w:tcBorders>
              <w:bottom w:val="single" w:sz="12" w:space="0" w:color="3366CC"/>
            </w:tcBorders>
            <w:shd w:val="clear" w:color="2F5395" w:fill="3366CC"/>
            <w:vAlign w:val="center"/>
          </w:tcPr>
          <w:p w14:paraId="44C96DF4" w14:textId="77777777" w:rsidR="008A625C" w:rsidRPr="001A68E7" w:rsidRDefault="008A625C" w:rsidP="00EF3D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8A625C" w:rsidRPr="001A68E7" w14:paraId="5DBEFCD1" w14:textId="77777777" w:rsidTr="00EF3D59">
        <w:trPr>
          <w:trHeight w:val="474"/>
          <w:jc w:val="center"/>
        </w:trPr>
        <w:tc>
          <w:tcPr>
            <w:tcW w:w="3369" w:type="dxa"/>
            <w:tcBorders>
              <w:top w:val="single" w:sz="12" w:space="0" w:color="3366CC"/>
              <w:bottom w:val="single" w:sz="12" w:space="0" w:color="3366CC"/>
            </w:tcBorders>
            <w:shd w:val="pct20" w:color="FFFFFF" w:fill="FFFFFF"/>
            <w:vAlign w:val="center"/>
          </w:tcPr>
          <w:p w14:paraId="5EA49DE0" w14:textId="77777777" w:rsidR="008A625C" w:rsidRPr="001A68E7" w:rsidRDefault="008A625C" w:rsidP="00EF3D59">
            <w:p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Área, áreas o entidades encargadas de gestionar los préstamos por cobrar</w:t>
            </w:r>
          </w:p>
        </w:tc>
        <w:tc>
          <w:tcPr>
            <w:tcW w:w="5611" w:type="dxa"/>
            <w:tcBorders>
              <w:top w:val="single" w:sz="12" w:space="0" w:color="3366CC"/>
              <w:bottom w:val="single" w:sz="12" w:space="0" w:color="3366CC"/>
            </w:tcBorders>
            <w:shd w:val="pct20" w:color="FFFFFF" w:fill="FFFFFF"/>
            <w:vAlign w:val="center"/>
          </w:tcPr>
          <w:p w14:paraId="6C4993FB" w14:textId="77777777" w:rsidR="008A625C" w:rsidRPr="001A68E7" w:rsidRDefault="008A625C" w:rsidP="00343ECE">
            <w:pPr>
              <w:numPr>
                <w:ilvl w:val="0"/>
                <w:numId w:val="39"/>
              </w:numPr>
              <w:spacing w:line="288" w:lineRule="auto"/>
              <w:jc w:val="both"/>
              <w:rPr>
                <w:rFonts w:ascii="Arial" w:hAnsi="Arial" w:cs="Arial"/>
                <w:bCs/>
                <w:sz w:val="18"/>
                <w:szCs w:val="18"/>
                <w:lang w:val="es-ES_tradnl" w:eastAsia="es-CO"/>
              </w:rPr>
            </w:pPr>
            <w:r w:rsidRPr="001A68E7">
              <w:rPr>
                <w:rFonts w:ascii="Arial" w:hAnsi="Arial" w:cs="Arial"/>
                <w:bCs/>
                <w:sz w:val="18"/>
                <w:szCs w:val="18"/>
                <w:lang w:val="es-ES_tradnl" w:eastAsia="es-CO"/>
              </w:rPr>
              <w:t>Enviar al Grupo de Contabilidad en el mes que corresponda y cuando a ello hubiere lugar, la información relacionada con los préstamos otorgados por el Ministerio de Hacienda y Crédito Público – Gestión General.</w:t>
            </w:r>
          </w:p>
        </w:tc>
      </w:tr>
      <w:tr w:rsidR="008A625C" w:rsidRPr="001A68E7" w14:paraId="730E77A9" w14:textId="77777777" w:rsidTr="00EF3D59">
        <w:trPr>
          <w:jc w:val="center"/>
        </w:trPr>
        <w:tc>
          <w:tcPr>
            <w:tcW w:w="3369" w:type="dxa"/>
            <w:tcBorders>
              <w:top w:val="single" w:sz="12" w:space="0" w:color="3366CC"/>
              <w:bottom w:val="single" w:sz="12" w:space="0" w:color="3366CC"/>
            </w:tcBorders>
            <w:shd w:val="pct20" w:color="FFFFFF" w:fill="FFFFFF"/>
            <w:vAlign w:val="center"/>
          </w:tcPr>
          <w:p w14:paraId="02F5C8DA" w14:textId="77777777" w:rsidR="008A625C" w:rsidRPr="001A68E7" w:rsidRDefault="008A625C" w:rsidP="00EF3D59">
            <w:pPr>
              <w:spacing w:line="288" w:lineRule="auto"/>
              <w:jc w:val="both"/>
              <w:rPr>
                <w:rFonts w:ascii="Arial" w:hAnsi="Arial" w:cs="Arial"/>
                <w:sz w:val="18"/>
                <w:szCs w:val="18"/>
                <w:lang w:val="es-ES_tradnl" w:eastAsia="es-CO"/>
              </w:rPr>
            </w:pPr>
            <w:r w:rsidRPr="001A68E7">
              <w:rPr>
                <w:rFonts w:ascii="Arial" w:hAnsi="Arial" w:cs="Arial"/>
                <w:bCs/>
                <w:kern w:val="32"/>
                <w:sz w:val="18"/>
                <w:szCs w:val="18"/>
                <w:lang w:val="es-ES_tradnl"/>
              </w:rPr>
              <w:t>Grupo de Contabilidad</w:t>
            </w:r>
          </w:p>
        </w:tc>
        <w:tc>
          <w:tcPr>
            <w:tcW w:w="5611" w:type="dxa"/>
            <w:tcBorders>
              <w:top w:val="single" w:sz="12" w:space="0" w:color="3366CC"/>
              <w:bottom w:val="single" w:sz="12" w:space="0" w:color="3366CC"/>
            </w:tcBorders>
            <w:shd w:val="pct20" w:color="FFFFFF" w:fill="FFFFFF"/>
            <w:vAlign w:val="center"/>
          </w:tcPr>
          <w:p w14:paraId="2A270E64" w14:textId="77777777" w:rsidR="008A625C" w:rsidRPr="001A68E7" w:rsidRDefault="008A625C" w:rsidP="00343ECE">
            <w:pPr>
              <w:numPr>
                <w:ilvl w:val="0"/>
                <w:numId w:val="39"/>
              </w:numPr>
              <w:spacing w:line="288" w:lineRule="auto"/>
              <w:jc w:val="both"/>
              <w:rPr>
                <w:rFonts w:ascii="Arial" w:hAnsi="Arial" w:cs="Arial"/>
                <w:bCs/>
                <w:sz w:val="18"/>
                <w:szCs w:val="18"/>
                <w:lang w:val="es-ES_tradnl" w:eastAsia="es-CO"/>
              </w:rPr>
            </w:pPr>
            <w:r w:rsidRPr="001A68E7">
              <w:rPr>
                <w:rFonts w:ascii="Arial" w:hAnsi="Arial" w:cs="Arial"/>
                <w:bCs/>
                <w:sz w:val="18"/>
                <w:szCs w:val="18"/>
                <w:lang w:val="es-ES_tradnl" w:eastAsia="es-CO"/>
              </w:rPr>
              <w:t xml:space="preserve">Recibir la información suministrada por el área, áreas o entidades que gestionan los préstamos por cobrar del MHCP, para su correspondiente registro y revelación en los Estados Financieros del Ministerio de Hacienda y Crédito Público – Gestión General. </w:t>
            </w:r>
          </w:p>
          <w:p w14:paraId="375FD8D7" w14:textId="77777777" w:rsidR="008A625C" w:rsidRPr="001A68E7" w:rsidRDefault="008A625C" w:rsidP="00343ECE">
            <w:pPr>
              <w:numPr>
                <w:ilvl w:val="0"/>
                <w:numId w:val="39"/>
              </w:numPr>
              <w:spacing w:line="288" w:lineRule="auto"/>
              <w:jc w:val="both"/>
              <w:rPr>
                <w:rFonts w:ascii="Arial" w:hAnsi="Arial" w:cs="Arial"/>
                <w:bCs/>
                <w:sz w:val="18"/>
                <w:szCs w:val="18"/>
                <w:lang w:val="es-ES_tradnl" w:eastAsia="es-CO"/>
              </w:rPr>
            </w:pPr>
            <w:r w:rsidRPr="001A68E7">
              <w:rPr>
                <w:rFonts w:ascii="Arial" w:hAnsi="Arial" w:cs="Arial"/>
                <w:bCs/>
                <w:sz w:val="18"/>
                <w:szCs w:val="18"/>
                <w:lang w:val="es-ES_tradnl" w:eastAsia="es-CO"/>
              </w:rPr>
              <w:t>Llevar a cabo el proceso de conciliación de los préstamos por cobrar</w:t>
            </w:r>
          </w:p>
        </w:tc>
      </w:tr>
    </w:tbl>
    <w:p w14:paraId="41B47F69" w14:textId="4488C3EC" w:rsidR="008A625C" w:rsidRDefault="008A625C" w:rsidP="008A625C">
      <w:pPr>
        <w:spacing w:line="288" w:lineRule="auto"/>
        <w:jc w:val="both"/>
        <w:rPr>
          <w:rFonts w:ascii="Arial" w:hAnsi="Arial" w:cs="Arial"/>
          <w:sz w:val="22"/>
          <w:szCs w:val="22"/>
          <w:lang w:val="es-ES_tradnl" w:eastAsia="es-CO"/>
        </w:rPr>
      </w:pPr>
    </w:p>
    <w:p w14:paraId="566B5A9A" w14:textId="77777777" w:rsidR="008A625C" w:rsidRPr="007C2386" w:rsidRDefault="008A625C"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lastRenderedPageBreak/>
        <w:t xml:space="preserve">Conforme lo anterior, y según se presenten las operaciones, las áreas correspondientes deben enviar la información al Grupo de Contabilidad para su reconocimiento, medición y revelación.   </w:t>
      </w:r>
    </w:p>
    <w:p w14:paraId="4376D440" w14:textId="77777777" w:rsidR="008A625C" w:rsidRDefault="008A625C" w:rsidP="00CA76B9">
      <w:pPr>
        <w:pStyle w:val="Prrafodelista"/>
        <w:spacing w:line="288" w:lineRule="auto"/>
        <w:ind w:left="0"/>
        <w:rPr>
          <w:rFonts w:ascii="Arial" w:hAnsi="Arial" w:cs="Arial"/>
          <w:b/>
          <w:sz w:val="22"/>
          <w:szCs w:val="22"/>
        </w:rPr>
      </w:pPr>
    </w:p>
    <w:p w14:paraId="234A830D" w14:textId="560F2362" w:rsidR="00AF4209" w:rsidRDefault="00AF4209" w:rsidP="00CA76B9">
      <w:pPr>
        <w:pStyle w:val="Ttulo3"/>
        <w:numPr>
          <w:ilvl w:val="2"/>
          <w:numId w:val="1"/>
        </w:numPr>
        <w:spacing w:line="288" w:lineRule="auto"/>
        <w:rPr>
          <w:rFonts w:ascii="Arial" w:hAnsi="Arial" w:cs="Arial"/>
          <w:b/>
          <w:sz w:val="22"/>
          <w:szCs w:val="22"/>
        </w:rPr>
      </w:pPr>
      <w:bookmarkStart w:id="277" w:name="_Toc59377869"/>
      <w:r w:rsidRPr="00AF4209">
        <w:rPr>
          <w:rFonts w:ascii="Arial" w:hAnsi="Arial" w:cs="Arial"/>
          <w:b/>
          <w:sz w:val="22"/>
          <w:szCs w:val="22"/>
        </w:rPr>
        <w:t>Propiedades, Planta y Equipo</w:t>
      </w:r>
      <w:bookmarkEnd w:id="277"/>
    </w:p>
    <w:p w14:paraId="50888DC8" w14:textId="692D24A3" w:rsidR="00B70BB0" w:rsidRDefault="00B70BB0" w:rsidP="00CA76B9">
      <w:pPr>
        <w:spacing w:line="288" w:lineRule="auto"/>
        <w:rPr>
          <w:rFonts w:ascii="Arial" w:hAnsi="Arial" w:cs="Arial"/>
          <w:b/>
          <w:sz w:val="22"/>
          <w:szCs w:val="22"/>
        </w:rPr>
      </w:pPr>
    </w:p>
    <w:p w14:paraId="03E3762F" w14:textId="5DA1685F" w:rsidR="00B70BB0" w:rsidRDefault="00B70BB0"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propiedades, planta y equipo:</w:t>
      </w:r>
    </w:p>
    <w:p w14:paraId="142DDAA5" w14:textId="0152B39B" w:rsidR="007720C9" w:rsidRDefault="007720C9" w:rsidP="00B70BB0">
      <w:pPr>
        <w:spacing w:line="288" w:lineRule="auto"/>
        <w:jc w:val="both"/>
        <w:rPr>
          <w:rFonts w:ascii="Arial" w:hAnsi="Arial" w:cs="Arial"/>
          <w:sz w:val="22"/>
          <w:szCs w:val="22"/>
          <w:lang w:val="es-ES_tradnl" w:eastAsia="es-CO"/>
        </w:rPr>
      </w:pPr>
    </w:p>
    <w:tbl>
      <w:tblPr>
        <w:tblW w:w="0" w:type="auto"/>
        <w:jc w:val="center"/>
        <w:tblBorders>
          <w:bottom w:val="single" w:sz="12" w:space="0" w:color="000000"/>
        </w:tblBorders>
        <w:tblLook w:val="0420" w:firstRow="1" w:lastRow="0" w:firstColumn="0" w:lastColumn="0" w:noHBand="0" w:noVBand="1"/>
      </w:tblPr>
      <w:tblGrid>
        <w:gridCol w:w="2334"/>
        <w:gridCol w:w="6506"/>
      </w:tblGrid>
      <w:tr w:rsidR="00E2019C" w:rsidRPr="00C67577" w14:paraId="41DCBD35" w14:textId="77777777" w:rsidTr="0068237E">
        <w:trPr>
          <w:tblHeader/>
          <w:jc w:val="center"/>
        </w:trPr>
        <w:tc>
          <w:tcPr>
            <w:tcW w:w="2338" w:type="dxa"/>
            <w:tcBorders>
              <w:bottom w:val="single" w:sz="12" w:space="0" w:color="3366CC"/>
            </w:tcBorders>
            <w:shd w:val="clear" w:color="2F5395" w:fill="3366CC"/>
            <w:vAlign w:val="center"/>
          </w:tcPr>
          <w:p w14:paraId="6C48BADB" w14:textId="77777777" w:rsidR="00E2019C" w:rsidRPr="00C67577" w:rsidRDefault="00E2019C" w:rsidP="0068237E">
            <w:pPr>
              <w:spacing w:line="288" w:lineRule="auto"/>
              <w:jc w:val="center"/>
              <w:rPr>
                <w:rFonts w:ascii="Arial" w:hAnsi="Arial" w:cs="Arial"/>
                <w:b/>
                <w:bCs/>
                <w:iCs/>
                <w:color w:val="FFFFFF"/>
                <w:sz w:val="18"/>
                <w:szCs w:val="18"/>
                <w:lang w:val="es-CO" w:eastAsia="es-CO"/>
              </w:rPr>
            </w:pPr>
            <w:r w:rsidRPr="00C67577">
              <w:rPr>
                <w:rFonts w:ascii="Arial" w:hAnsi="Arial" w:cs="Arial"/>
                <w:b/>
                <w:bCs/>
                <w:iCs/>
                <w:color w:val="FFFFFF"/>
                <w:sz w:val="18"/>
                <w:szCs w:val="18"/>
                <w:lang w:val="es-CO" w:eastAsia="es-CO"/>
              </w:rPr>
              <w:t>ÁREA</w:t>
            </w:r>
          </w:p>
        </w:tc>
        <w:tc>
          <w:tcPr>
            <w:tcW w:w="6642" w:type="dxa"/>
            <w:tcBorders>
              <w:bottom w:val="single" w:sz="12" w:space="0" w:color="3366CC"/>
            </w:tcBorders>
            <w:shd w:val="clear" w:color="2F5395" w:fill="3366CC"/>
            <w:vAlign w:val="center"/>
          </w:tcPr>
          <w:p w14:paraId="3D3553CD" w14:textId="77777777" w:rsidR="00E2019C" w:rsidRPr="00C67577" w:rsidRDefault="00E2019C" w:rsidP="0068237E">
            <w:pPr>
              <w:spacing w:line="288" w:lineRule="auto"/>
              <w:jc w:val="center"/>
              <w:rPr>
                <w:rFonts w:ascii="Arial" w:hAnsi="Arial" w:cs="Arial"/>
                <w:b/>
                <w:bCs/>
                <w:iCs/>
                <w:color w:val="FFFFFF"/>
                <w:sz w:val="18"/>
                <w:szCs w:val="18"/>
                <w:lang w:val="es-CO" w:eastAsia="es-CO"/>
              </w:rPr>
            </w:pPr>
            <w:r w:rsidRPr="00C67577">
              <w:rPr>
                <w:rFonts w:ascii="Arial" w:hAnsi="Arial" w:cs="Arial"/>
                <w:b/>
                <w:bCs/>
                <w:iCs/>
                <w:color w:val="FFFFFF"/>
                <w:sz w:val="18"/>
                <w:szCs w:val="18"/>
                <w:lang w:val="es-CO" w:eastAsia="es-CO"/>
              </w:rPr>
              <w:t>ACTIVIDAD</w:t>
            </w:r>
          </w:p>
        </w:tc>
      </w:tr>
      <w:tr w:rsidR="00E2019C" w:rsidRPr="00C67577" w14:paraId="358FA61F" w14:textId="77777777" w:rsidTr="0068237E">
        <w:trPr>
          <w:trHeight w:val="474"/>
          <w:jc w:val="center"/>
        </w:trPr>
        <w:tc>
          <w:tcPr>
            <w:tcW w:w="2338" w:type="dxa"/>
            <w:tcBorders>
              <w:top w:val="single" w:sz="12" w:space="0" w:color="3366CC"/>
              <w:bottom w:val="single" w:sz="12" w:space="0" w:color="3366CC"/>
            </w:tcBorders>
            <w:shd w:val="pct20" w:color="FFFFFF" w:fill="FFFFFF"/>
            <w:vAlign w:val="center"/>
          </w:tcPr>
          <w:p w14:paraId="4C537D02" w14:textId="77777777" w:rsidR="00E2019C" w:rsidRPr="00C67577" w:rsidRDefault="00E2019C" w:rsidP="0068237E">
            <w:pPr>
              <w:spacing w:line="288" w:lineRule="auto"/>
              <w:jc w:val="center"/>
              <w:rPr>
                <w:rFonts w:ascii="Arial" w:hAnsi="Arial" w:cs="Arial"/>
                <w:sz w:val="18"/>
                <w:szCs w:val="18"/>
                <w:lang w:val="es-CO" w:eastAsia="es-CO"/>
              </w:rPr>
            </w:pPr>
            <w:r w:rsidRPr="00C67577">
              <w:rPr>
                <w:rFonts w:ascii="Arial" w:hAnsi="Arial" w:cs="Arial"/>
                <w:sz w:val="18"/>
                <w:szCs w:val="18"/>
                <w:lang w:val="es-CO" w:eastAsia="es-CO"/>
              </w:rPr>
              <w:t>Subdirección de Servicios</w:t>
            </w:r>
          </w:p>
        </w:tc>
        <w:tc>
          <w:tcPr>
            <w:tcW w:w="6642" w:type="dxa"/>
            <w:tcBorders>
              <w:top w:val="single" w:sz="12" w:space="0" w:color="3366CC"/>
              <w:bottom w:val="single" w:sz="12" w:space="0" w:color="3366CC"/>
            </w:tcBorders>
            <w:shd w:val="pct20" w:color="FFFFFF" w:fill="FFFFFF"/>
            <w:vAlign w:val="center"/>
          </w:tcPr>
          <w:p w14:paraId="39EF9F00"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De acuerdo con lo dispuesto en el artículo 24 del Decreto 4712 de 2008, “Por el cual se modifica la estructura del Ministerio de Hacienda y Crédito Público”, la Subdirección de Servicios es el área encargada de la administración, control y custodia de los bienes muebles e inmuebles del MHCP y en tal sentido, se han definido los Grupos y procedimientos que corresponden al manejo y administración de los bienes muebles e inmuebles de la Entidad. Conforme lo anterior, la Subdirección de Servicios realizará las siguientes actividades:</w:t>
            </w:r>
          </w:p>
          <w:p w14:paraId="38B3A4B5"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Garantizar que en los trámites para la adquisición de bienes se contemple que el proveedor suministre la información que permita determinar la vida económica</w:t>
            </w:r>
            <w:r w:rsidRPr="00C67577">
              <w:rPr>
                <w:rStyle w:val="Refdenotaalpie"/>
                <w:rFonts w:ascii="Arial" w:hAnsi="Arial" w:cs="Arial"/>
                <w:sz w:val="18"/>
                <w:szCs w:val="18"/>
                <w:lang w:val="es-CO" w:eastAsia="es-CO"/>
              </w:rPr>
              <w:footnoteReference w:id="23"/>
            </w:r>
            <w:r w:rsidRPr="00C67577">
              <w:rPr>
                <w:rFonts w:ascii="Arial" w:hAnsi="Arial" w:cs="Arial"/>
                <w:sz w:val="18"/>
                <w:szCs w:val="18"/>
                <w:lang w:val="es-CO" w:eastAsia="es-CO"/>
              </w:rPr>
              <w:t xml:space="preserve"> de los bienes, con el fin de contar con un referente para la asignación de la vida útil</w:t>
            </w:r>
            <w:r w:rsidRPr="00C67577">
              <w:rPr>
                <w:rStyle w:val="Refdenotaalpie"/>
                <w:rFonts w:ascii="Arial" w:hAnsi="Arial" w:cs="Arial"/>
                <w:sz w:val="18"/>
                <w:szCs w:val="18"/>
                <w:lang w:val="es-CO" w:eastAsia="es-CO"/>
              </w:rPr>
              <w:footnoteReference w:id="24"/>
            </w:r>
            <w:r w:rsidRPr="00C67577">
              <w:rPr>
                <w:rFonts w:ascii="Arial" w:hAnsi="Arial" w:cs="Arial"/>
                <w:sz w:val="18"/>
                <w:szCs w:val="18"/>
                <w:lang w:val="es-CO" w:eastAsia="es-CO"/>
              </w:rPr>
              <w:t xml:space="preserve">. </w:t>
            </w:r>
          </w:p>
          <w:p w14:paraId="5EC28832"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Suministrar al Grupo de Contabilidad la información relativa a las vidas útiles que se asignarán para la medición posterior de las Propiedades, Planta y Equipo a su cargo. Para esto se apoyará en la información proporcionada por: proveedores, personal o área que solicita la compra, políticas y procedimientos internos del MHCP, entre otros. </w:t>
            </w:r>
          </w:p>
          <w:p w14:paraId="67EFDB33"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Coordinar y enviar al Grupo de Contabilidad los resultados de la toma física de los inventarios, con una periodicidad mínima de 1 año y al cierre del periodo contable en el que se practique.</w:t>
            </w:r>
          </w:p>
          <w:p w14:paraId="77B92916"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Reportar de manera oportuna al Grupo de Contabilidad, los elementos que se deben dar de baja contablemente, luego de surtir los procesos administrativos que correspondan.</w:t>
            </w:r>
          </w:p>
          <w:p w14:paraId="156A30F9"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Informar los elementos que por su condición de regular o en mal estado, o por cualquier otra situación deben cambiar su  vida útil, informando así mismo, el tiempo estimado de uso del activo.</w:t>
            </w:r>
          </w:p>
          <w:p w14:paraId="25E57D3A"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Reportar las pérdidas o siniestros que se determinen en la toma física, o cuando ellas se produzcan.</w:t>
            </w:r>
          </w:p>
          <w:p w14:paraId="7001D975"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Diligenciar, al final de cada periodo, la evaluación de indicios de deterioro de valor de los activos. Para tal efecto, se  tendrán en cuenta las </w:t>
            </w:r>
            <w:r w:rsidRPr="00C67577">
              <w:rPr>
                <w:rFonts w:ascii="Arial" w:hAnsi="Arial" w:cs="Arial"/>
                <w:sz w:val="18"/>
                <w:szCs w:val="18"/>
                <w:lang w:val="es-CO" w:eastAsia="es-CO"/>
              </w:rPr>
              <w:lastRenderedPageBreak/>
              <w:t xml:space="preserve">disposiciones contenidas en las políticas de deterioro de valor de los activos generadores, o no generadores de efectivo, según corresponda. </w:t>
            </w:r>
          </w:p>
          <w:p w14:paraId="120050F9"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Informar  acerca de las compras o erogaciones que correspond</w:t>
            </w:r>
            <w:r>
              <w:rPr>
                <w:rFonts w:ascii="Arial" w:hAnsi="Arial" w:cs="Arial"/>
                <w:sz w:val="18"/>
                <w:szCs w:val="18"/>
                <w:lang w:val="es-CO" w:eastAsia="es-CO"/>
              </w:rPr>
              <w:t>a</w:t>
            </w:r>
            <w:r w:rsidRPr="00C67577">
              <w:rPr>
                <w:rFonts w:ascii="Arial" w:hAnsi="Arial" w:cs="Arial"/>
                <w:sz w:val="18"/>
                <w:szCs w:val="18"/>
                <w:lang w:val="es-CO" w:eastAsia="es-CO"/>
              </w:rPr>
              <w:t>n a mejoras o adiciones de los bienes muebles o inmuebles, respectivamente, con el fin de que el Grupo de Contabilidad las registre como mayor valor del elemento que corresponda.</w:t>
            </w:r>
          </w:p>
          <w:p w14:paraId="312F107D"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De acuerdo con las condiciones particulares de las operaciones y, tomando como referente lo señalado en los formatos de </w:t>
            </w:r>
            <w:r w:rsidRPr="00C67577">
              <w:rPr>
                <w:rFonts w:ascii="Arial" w:hAnsi="Arial" w:cs="Arial"/>
                <w:i/>
                <w:sz w:val="18"/>
                <w:szCs w:val="18"/>
                <w:lang w:val="es-CO" w:eastAsia="es-CO"/>
              </w:rPr>
              <w:t xml:space="preserve">Evaluación de criterios contables para la clasificación de bienes recibidos o entregados mediante contratos de comodato, </w:t>
            </w:r>
            <w:r w:rsidRPr="00C67577">
              <w:rPr>
                <w:rFonts w:ascii="Arial" w:hAnsi="Arial" w:cs="Arial"/>
                <w:sz w:val="18"/>
                <w:szCs w:val="18"/>
                <w:lang w:val="es-CO" w:eastAsia="es-CO"/>
              </w:rPr>
              <w:t>al suscribir convenios o contratos de comodato, el área encargada de gestionarlos , establecerá si el control de los bienes lo asume el MHCP, y en consecuencia determinará en el acto administrativo correspondiente, aspectos tales como la obligación de registrar los bienes en los inventarios de la Entidad (internamente se definirá si se registran como bienes de consumo o devolutivos), el valor de los bienes,  la vida económica, etc. En virtud de lo anterior, copia del acto administrativo correspondiente será suministrado al Grupo de Contabilidad para lo de su competencia.</w:t>
            </w:r>
          </w:p>
          <w:p w14:paraId="75984F71"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Suministrar al Grupo de Contabilidad la información relativa a los libros y publicaciones del Ministerio de Hacienda y Crédito Público, clasificados como elementos de consumo controlado, con el fin de realizar las respectivas revelaciones en los Estados Financieros.</w:t>
            </w:r>
          </w:p>
          <w:p w14:paraId="6F2C9F8E"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De acuerdo con el inventario elaborado en el que se detallen los bienes existentes, las adquisiciones realizadas, etc., la Subdirección de Servicios suministrará al Grupo de Contabilidad la información relativa a los bienes muebles convertidos en inmuebles por destinación, con el fin de realizar los registros y revelaciones correspondientes.  </w:t>
            </w:r>
          </w:p>
          <w:p w14:paraId="1DF1EE05"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Suministrar la información que permita el registro, medición y revelación de las construcciones en curso, así como de las Propiedades, Planta y Equipo en montaje, en tránsito o en mantenimiento.</w:t>
            </w:r>
          </w:p>
          <w:p w14:paraId="6544EACA"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Suministrar información que permita el registro, medición y revelación de los bienes inmuebles con uso futuro indeterminado, mientras se encuentren en tal condición. Asimismo, se deberá informar al Grupo de Contabilidad cuando se presenten cambios en la intención de la administración del MHCP acerca del uso que se les dará a dichos activos.</w:t>
            </w:r>
          </w:p>
          <w:p w14:paraId="1FF03155"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Suministrar información que permita el registro, medición y revelación de los bienes inmuebles.</w:t>
            </w:r>
          </w:p>
          <w:p w14:paraId="5CA15D93"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Enviar cualquier otra información que permita el registro, medición y revelación de los bienes del MCHP</w:t>
            </w:r>
          </w:p>
        </w:tc>
      </w:tr>
      <w:tr w:rsidR="00E2019C" w:rsidRPr="00C67577" w14:paraId="05926CDE" w14:textId="77777777" w:rsidTr="0068237E">
        <w:trPr>
          <w:jc w:val="center"/>
        </w:trPr>
        <w:tc>
          <w:tcPr>
            <w:tcW w:w="2338" w:type="dxa"/>
            <w:tcBorders>
              <w:top w:val="single" w:sz="12" w:space="0" w:color="3366CC"/>
              <w:bottom w:val="single" w:sz="12" w:space="0" w:color="3366CC"/>
            </w:tcBorders>
            <w:shd w:val="pct20" w:color="FFFFFF" w:fill="FFFFFF"/>
            <w:vAlign w:val="center"/>
          </w:tcPr>
          <w:p w14:paraId="62E4C54E" w14:textId="77777777" w:rsidR="00E2019C" w:rsidRPr="00C67577" w:rsidRDefault="00E2019C" w:rsidP="0068237E">
            <w:pPr>
              <w:spacing w:line="288" w:lineRule="auto"/>
              <w:jc w:val="center"/>
              <w:rPr>
                <w:rFonts w:ascii="Arial" w:hAnsi="Arial" w:cs="Arial"/>
                <w:bCs/>
                <w:kern w:val="32"/>
                <w:sz w:val="18"/>
                <w:szCs w:val="18"/>
                <w:lang w:val="es-CO"/>
              </w:rPr>
            </w:pPr>
            <w:r w:rsidRPr="00C67577">
              <w:rPr>
                <w:rFonts w:ascii="Arial" w:hAnsi="Arial" w:cs="Arial"/>
                <w:bCs/>
                <w:kern w:val="32"/>
                <w:sz w:val="18"/>
                <w:szCs w:val="18"/>
                <w:lang w:val="es-CO"/>
              </w:rPr>
              <w:lastRenderedPageBreak/>
              <w:t>Dirección de Tecnología/Subdirección de Administración de Recursos Tecnológicos</w:t>
            </w:r>
          </w:p>
        </w:tc>
        <w:tc>
          <w:tcPr>
            <w:tcW w:w="6642" w:type="dxa"/>
            <w:tcBorders>
              <w:top w:val="single" w:sz="12" w:space="0" w:color="3366CC"/>
              <w:bottom w:val="single" w:sz="12" w:space="0" w:color="3366CC"/>
            </w:tcBorders>
            <w:shd w:val="pct20" w:color="FFFFFF" w:fill="FFFFFF"/>
            <w:vAlign w:val="center"/>
          </w:tcPr>
          <w:p w14:paraId="7D723D90"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bookmarkStart w:id="278" w:name="_Hlk55997946"/>
            <w:r w:rsidRPr="00C67577">
              <w:rPr>
                <w:rFonts w:ascii="Arial" w:hAnsi="Arial" w:cs="Arial"/>
                <w:sz w:val="18"/>
                <w:szCs w:val="18"/>
                <w:lang w:val="es-CO" w:eastAsia="es-CO"/>
              </w:rPr>
              <w:t xml:space="preserve">De acuerdo con lo establecido en el artículo 26 del Decreto 4712 de 2008, la Dirección de Tecnología del MHCP, a través de la Subdirección de </w:t>
            </w:r>
            <w:r w:rsidRPr="00C67577">
              <w:rPr>
                <w:rFonts w:ascii="Arial" w:hAnsi="Arial" w:cs="Arial"/>
                <w:bCs/>
                <w:kern w:val="32"/>
                <w:sz w:val="18"/>
                <w:szCs w:val="18"/>
                <w:lang w:val="es-CO"/>
              </w:rPr>
              <w:t xml:space="preserve">Administración de Recursos Tecnológicos, </w:t>
            </w:r>
            <w:r w:rsidRPr="00C67577">
              <w:rPr>
                <w:rFonts w:ascii="Arial" w:hAnsi="Arial" w:cs="Arial"/>
                <w:sz w:val="18"/>
                <w:szCs w:val="18"/>
                <w:lang w:val="es-CO" w:eastAsia="es-CO"/>
              </w:rPr>
              <w:t xml:space="preserve">es la encargada de </w:t>
            </w:r>
            <w:r w:rsidRPr="00C67577">
              <w:rPr>
                <w:rFonts w:ascii="Arial" w:hAnsi="Arial" w:cs="Arial"/>
                <w:i/>
                <w:iCs/>
                <w:sz w:val="18"/>
                <w:szCs w:val="18"/>
                <w:lang w:val="es-CO" w:eastAsia="es-CO"/>
              </w:rPr>
              <w:t>“Controlar los inventarios de bienes</w:t>
            </w:r>
            <w:r w:rsidRPr="00C67577">
              <w:rPr>
                <w:rFonts w:ascii="Arial" w:hAnsi="Arial" w:cs="Arial"/>
                <w:sz w:val="18"/>
                <w:szCs w:val="18"/>
                <w:lang w:val="es-CO" w:eastAsia="es-CO"/>
              </w:rPr>
              <w:t xml:space="preserve"> tecnológicos”. Conforme lo anterior, se deberán realizar las siguientes actividades:</w:t>
            </w:r>
          </w:p>
          <w:bookmarkEnd w:id="278"/>
          <w:p w14:paraId="22B0C3A9"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Garantizar que en los trámites para la adquisición de bienes se contemple que el proveedor suministre la información que permita determinar la vida </w:t>
            </w:r>
            <w:r w:rsidRPr="00C67577">
              <w:rPr>
                <w:rFonts w:ascii="Arial" w:hAnsi="Arial" w:cs="Arial"/>
                <w:sz w:val="18"/>
                <w:szCs w:val="18"/>
                <w:lang w:val="es-CO" w:eastAsia="es-CO"/>
              </w:rPr>
              <w:lastRenderedPageBreak/>
              <w:t>económica</w:t>
            </w:r>
            <w:r w:rsidRPr="00C67577">
              <w:rPr>
                <w:rStyle w:val="Refdenotaalpie"/>
                <w:rFonts w:ascii="Arial" w:hAnsi="Arial" w:cs="Arial"/>
                <w:sz w:val="18"/>
                <w:szCs w:val="18"/>
                <w:lang w:val="es-CO" w:eastAsia="es-CO"/>
              </w:rPr>
              <w:footnoteReference w:id="25"/>
            </w:r>
            <w:r w:rsidRPr="00C67577">
              <w:rPr>
                <w:rFonts w:ascii="Arial" w:hAnsi="Arial" w:cs="Arial"/>
                <w:sz w:val="18"/>
                <w:szCs w:val="18"/>
                <w:lang w:val="es-CO" w:eastAsia="es-CO"/>
              </w:rPr>
              <w:t xml:space="preserve"> de los bienes, con el fin de contar con un referente para la asignación de la vida útil</w:t>
            </w:r>
            <w:r w:rsidRPr="00C67577">
              <w:rPr>
                <w:rStyle w:val="Refdenotaalpie"/>
                <w:rFonts w:ascii="Arial" w:hAnsi="Arial" w:cs="Arial"/>
                <w:sz w:val="18"/>
                <w:szCs w:val="18"/>
                <w:lang w:val="es-CO" w:eastAsia="es-CO"/>
              </w:rPr>
              <w:footnoteReference w:id="26"/>
            </w:r>
            <w:r w:rsidRPr="00C67577">
              <w:rPr>
                <w:rFonts w:ascii="Arial" w:hAnsi="Arial" w:cs="Arial"/>
                <w:sz w:val="18"/>
                <w:szCs w:val="18"/>
                <w:lang w:val="es-CO" w:eastAsia="es-CO"/>
              </w:rPr>
              <w:t xml:space="preserve">. </w:t>
            </w:r>
          </w:p>
          <w:p w14:paraId="724EF818"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Suministrar al Grupo de Contabilidad la información relativa a las vidas útiles que se asignarán para la medición posterior de las Propiedades, Planta y Equipo a su cargo. Para esto se apoyará en la información proporcionada por: proveedores, personal o área que solicita la compra, políticas y procedimientos internos del MHCP, entre otros. </w:t>
            </w:r>
          </w:p>
          <w:p w14:paraId="5A90986B"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Reportar de manera oportuna al Grupo de Contabilidad, los elementos que se deben dar de baja contablemente, luego de surtir los procesos administrativos que correspondan.</w:t>
            </w:r>
          </w:p>
          <w:p w14:paraId="783429B1"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Informar los elementos que por su condición de regular o en mal estado, o por cualquier otra situación deben cambiar su vida útil, informando así mismo, el tiempo estimado de uso del activo.</w:t>
            </w:r>
          </w:p>
          <w:p w14:paraId="04306FEE"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Diligenciar, al final de cada periodo, la evaluación de indicios de deterioro de valor de los activos. Para tal efecto, se tendrán en cuenta las disposiciones contenidas en las políticas de deterioro de valor de los activos generadores o no generadores de efectivo, según corresponda. </w:t>
            </w:r>
          </w:p>
          <w:p w14:paraId="51429E0E"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Informar acerca de las compras o erogaciones que corresponden a mejoras o adiciones de los bienes muebles o inmuebles, respectivamente, con el fin de que el Grupo de Contabilidad las registre como mayor valor del elemento que corresponda.</w:t>
            </w:r>
          </w:p>
          <w:p w14:paraId="03B65974"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Enviar cualquier otra información que permita el registro, medición y revelación de los bienes del MCHP</w:t>
            </w:r>
          </w:p>
        </w:tc>
      </w:tr>
      <w:tr w:rsidR="00E2019C" w:rsidRPr="00C67577" w14:paraId="664461C5" w14:textId="77777777" w:rsidTr="0068237E">
        <w:trPr>
          <w:jc w:val="center"/>
        </w:trPr>
        <w:tc>
          <w:tcPr>
            <w:tcW w:w="2338" w:type="dxa"/>
            <w:tcBorders>
              <w:top w:val="single" w:sz="12" w:space="0" w:color="3366CC"/>
              <w:bottom w:val="single" w:sz="12" w:space="0" w:color="3366CC"/>
            </w:tcBorders>
            <w:shd w:val="pct20" w:color="FFFFFF" w:fill="FFFFFF"/>
            <w:vAlign w:val="center"/>
          </w:tcPr>
          <w:p w14:paraId="5D673D30" w14:textId="77777777" w:rsidR="00E2019C" w:rsidRPr="00C67577" w:rsidRDefault="00E2019C" w:rsidP="0068237E">
            <w:pPr>
              <w:spacing w:line="288" w:lineRule="auto"/>
              <w:jc w:val="center"/>
              <w:rPr>
                <w:rFonts w:ascii="Arial" w:hAnsi="Arial" w:cs="Arial"/>
                <w:sz w:val="18"/>
                <w:szCs w:val="18"/>
                <w:lang w:val="es-CO" w:eastAsia="es-CO"/>
              </w:rPr>
            </w:pPr>
            <w:r w:rsidRPr="00C67577">
              <w:rPr>
                <w:rFonts w:ascii="Arial" w:hAnsi="Arial" w:cs="Arial"/>
                <w:bCs/>
                <w:kern w:val="32"/>
                <w:sz w:val="18"/>
                <w:szCs w:val="18"/>
                <w:lang w:val="es-CO"/>
              </w:rPr>
              <w:lastRenderedPageBreak/>
              <w:t>Grupo de Contabilidad</w:t>
            </w:r>
          </w:p>
        </w:tc>
        <w:tc>
          <w:tcPr>
            <w:tcW w:w="6642" w:type="dxa"/>
            <w:tcBorders>
              <w:top w:val="single" w:sz="12" w:space="0" w:color="3366CC"/>
              <w:bottom w:val="single" w:sz="12" w:space="0" w:color="3366CC"/>
            </w:tcBorders>
            <w:shd w:val="pct20" w:color="FFFFFF" w:fill="FFFFFF"/>
            <w:vAlign w:val="center"/>
          </w:tcPr>
          <w:p w14:paraId="5CA351A6"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Recibir la información de las diferentes áreas para su correspondiente registro y revelación en los Estados Financieros del Ministerio de Hacienda y Crédito Público – Gestión General </w:t>
            </w:r>
          </w:p>
          <w:p w14:paraId="008026C6"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Registrar en los Estados Financieros del Ministerio de Hacienda y Crédito Público – Gestión General, los movimientos del inventario de bienes muebles e inmuebles,  relacionados con adquisiciones, bajas, etc. </w:t>
            </w:r>
          </w:p>
          <w:p w14:paraId="4F5C28C2"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 xml:space="preserve">Reconocer mensualmente los cargos por concepto de depreciación, vida útil y valores residuales (si a ello hubiere lugar), y los demás conceptos que correspondan, en virtud de lo establecido en la regulación contable pública.  </w:t>
            </w:r>
          </w:p>
          <w:p w14:paraId="1D94887A" w14:textId="77777777" w:rsidR="00E2019C" w:rsidRPr="00C67577" w:rsidRDefault="00E2019C" w:rsidP="00343ECE">
            <w:pPr>
              <w:numPr>
                <w:ilvl w:val="0"/>
                <w:numId w:val="30"/>
              </w:numPr>
              <w:spacing w:line="288" w:lineRule="auto"/>
              <w:jc w:val="both"/>
              <w:rPr>
                <w:rFonts w:ascii="Arial" w:hAnsi="Arial" w:cs="Arial"/>
                <w:sz w:val="18"/>
                <w:szCs w:val="18"/>
                <w:lang w:val="es-CO" w:eastAsia="es-CO"/>
              </w:rPr>
            </w:pPr>
            <w:r w:rsidRPr="00C67577">
              <w:rPr>
                <w:rFonts w:ascii="Arial" w:hAnsi="Arial" w:cs="Arial"/>
                <w:sz w:val="18"/>
                <w:szCs w:val="18"/>
                <w:lang w:val="es-CO" w:eastAsia="es-CO"/>
              </w:rPr>
              <w:t>Llevar a cabo el proceso de conciliación de los bienes del MHCP</w:t>
            </w:r>
          </w:p>
        </w:tc>
      </w:tr>
    </w:tbl>
    <w:p w14:paraId="5CC102B8" w14:textId="73923CA3" w:rsidR="00E2019C" w:rsidRDefault="00E2019C" w:rsidP="00B70BB0">
      <w:pPr>
        <w:spacing w:line="288" w:lineRule="auto"/>
        <w:jc w:val="both"/>
        <w:rPr>
          <w:rFonts w:ascii="Arial" w:hAnsi="Arial" w:cs="Arial"/>
          <w:sz w:val="22"/>
          <w:szCs w:val="22"/>
          <w:lang w:val="es-ES_tradnl" w:eastAsia="es-CO"/>
        </w:rPr>
      </w:pPr>
    </w:p>
    <w:p w14:paraId="43A08783" w14:textId="3E33FBE9" w:rsidR="003C56F1" w:rsidRDefault="007701D9" w:rsidP="00CA76B9">
      <w:pPr>
        <w:spacing w:line="288" w:lineRule="auto"/>
        <w:jc w:val="both"/>
        <w:rPr>
          <w:rFonts w:ascii="Arial" w:hAnsi="Arial" w:cs="Arial"/>
          <w:sz w:val="22"/>
          <w:szCs w:val="22"/>
        </w:rPr>
      </w:pPr>
      <w:r>
        <w:rPr>
          <w:rFonts w:ascii="Arial" w:hAnsi="Arial" w:cs="Arial"/>
          <w:sz w:val="22"/>
          <w:szCs w:val="22"/>
        </w:rPr>
        <w:t xml:space="preserve">No </w:t>
      </w:r>
      <w:proofErr w:type="gramStart"/>
      <w:r>
        <w:rPr>
          <w:rFonts w:ascii="Arial" w:hAnsi="Arial" w:cs="Arial"/>
          <w:sz w:val="22"/>
          <w:szCs w:val="22"/>
        </w:rPr>
        <w:t>obstante</w:t>
      </w:r>
      <w:proofErr w:type="gramEnd"/>
      <w:r>
        <w:rPr>
          <w:rFonts w:ascii="Arial" w:hAnsi="Arial" w:cs="Arial"/>
          <w:sz w:val="22"/>
          <w:szCs w:val="22"/>
        </w:rPr>
        <w:t xml:space="preserve"> lo anterior</w:t>
      </w:r>
      <w:r w:rsidR="003C56F1" w:rsidRPr="007C2386">
        <w:rPr>
          <w:rFonts w:ascii="Arial" w:hAnsi="Arial" w:cs="Arial"/>
          <w:sz w:val="22"/>
          <w:szCs w:val="22"/>
        </w:rPr>
        <w:t>,</w:t>
      </w:r>
      <w:r>
        <w:rPr>
          <w:rFonts w:ascii="Arial" w:hAnsi="Arial" w:cs="Arial"/>
          <w:sz w:val="22"/>
          <w:szCs w:val="22"/>
        </w:rPr>
        <w:t xml:space="preserve"> para el envío de la información,</w:t>
      </w:r>
      <w:r w:rsidR="003C56F1" w:rsidRPr="007C2386">
        <w:rPr>
          <w:rFonts w:ascii="Arial" w:hAnsi="Arial" w:cs="Arial"/>
          <w:sz w:val="22"/>
          <w:szCs w:val="22"/>
        </w:rPr>
        <w:t xml:space="preserve"> las Subdirecciones de Servicios y Financiera han suscrito el </w:t>
      </w:r>
      <w:r w:rsidR="00B47A14">
        <w:rPr>
          <w:rFonts w:ascii="Arial" w:hAnsi="Arial" w:cs="Arial"/>
          <w:sz w:val="22"/>
          <w:szCs w:val="22"/>
        </w:rPr>
        <w:t>“</w:t>
      </w:r>
      <w:r w:rsidR="003C56F1" w:rsidRPr="007C2386">
        <w:rPr>
          <w:rFonts w:ascii="Arial" w:hAnsi="Arial" w:cs="Arial"/>
          <w:i/>
          <w:sz w:val="22"/>
          <w:szCs w:val="22"/>
        </w:rPr>
        <w:t>Acuerdo de Servicio Apo.4.2_Apo.3.0 As079</w:t>
      </w:r>
      <w:r w:rsidR="00B47A14">
        <w:rPr>
          <w:rFonts w:ascii="Arial" w:hAnsi="Arial" w:cs="Arial"/>
          <w:i/>
          <w:sz w:val="22"/>
          <w:szCs w:val="22"/>
        </w:rPr>
        <w:t>”</w:t>
      </w:r>
      <w:r w:rsidR="003C56F1" w:rsidRPr="007C2386">
        <w:rPr>
          <w:rFonts w:ascii="Arial" w:hAnsi="Arial" w:cs="Arial"/>
          <w:sz w:val="22"/>
          <w:szCs w:val="22"/>
        </w:rPr>
        <w:t xml:space="preserve"> mediante el cual se </w:t>
      </w:r>
      <w:r w:rsidR="004F519E">
        <w:rPr>
          <w:rFonts w:ascii="Arial" w:hAnsi="Arial" w:cs="Arial"/>
          <w:sz w:val="22"/>
          <w:szCs w:val="22"/>
        </w:rPr>
        <w:t xml:space="preserve">define el suministro </w:t>
      </w:r>
      <w:r w:rsidR="00F209F1">
        <w:rPr>
          <w:rFonts w:ascii="Arial" w:hAnsi="Arial" w:cs="Arial"/>
          <w:sz w:val="22"/>
          <w:szCs w:val="22"/>
        </w:rPr>
        <w:t xml:space="preserve">al Grupo de Contabilidad </w:t>
      </w:r>
      <w:r w:rsidR="004F519E">
        <w:rPr>
          <w:rFonts w:ascii="Arial" w:hAnsi="Arial" w:cs="Arial"/>
          <w:sz w:val="22"/>
          <w:szCs w:val="22"/>
        </w:rPr>
        <w:t xml:space="preserve">de </w:t>
      </w:r>
      <w:r w:rsidR="00F209F1">
        <w:rPr>
          <w:rFonts w:ascii="Arial" w:hAnsi="Arial" w:cs="Arial"/>
          <w:sz w:val="22"/>
          <w:szCs w:val="22"/>
        </w:rPr>
        <w:t>la i</w:t>
      </w:r>
      <w:r w:rsidR="003C56F1" w:rsidRPr="007C2386">
        <w:rPr>
          <w:rFonts w:ascii="Arial" w:hAnsi="Arial" w:cs="Arial"/>
          <w:sz w:val="22"/>
          <w:szCs w:val="22"/>
        </w:rPr>
        <w:t xml:space="preserve">nformación </w:t>
      </w:r>
      <w:r w:rsidR="00053ACD" w:rsidRPr="007C2386">
        <w:rPr>
          <w:rFonts w:ascii="Arial" w:hAnsi="Arial" w:cs="Arial"/>
          <w:sz w:val="22"/>
          <w:szCs w:val="22"/>
        </w:rPr>
        <w:t>sopor</w:t>
      </w:r>
      <w:r w:rsidR="00696585">
        <w:rPr>
          <w:rFonts w:ascii="Arial" w:hAnsi="Arial" w:cs="Arial"/>
          <w:sz w:val="22"/>
          <w:szCs w:val="22"/>
        </w:rPr>
        <w:t>te</w:t>
      </w:r>
      <w:r w:rsidR="00053ACD" w:rsidRPr="007C2386">
        <w:rPr>
          <w:rFonts w:ascii="Arial" w:hAnsi="Arial" w:cs="Arial"/>
          <w:sz w:val="22"/>
          <w:szCs w:val="22"/>
        </w:rPr>
        <w:t xml:space="preserve"> </w:t>
      </w:r>
      <w:r w:rsidR="003C56F1" w:rsidRPr="007C2386">
        <w:rPr>
          <w:rFonts w:ascii="Arial" w:hAnsi="Arial" w:cs="Arial"/>
          <w:sz w:val="22"/>
          <w:szCs w:val="22"/>
        </w:rPr>
        <w:t>para la contabilización de los movimientos de las Propiedades, Planta y Equipo del Ministerio de Hacienda y Crédito Público (MHCP)</w:t>
      </w:r>
      <w:r w:rsidR="00B05E6D">
        <w:rPr>
          <w:rFonts w:ascii="Arial" w:hAnsi="Arial" w:cs="Arial"/>
          <w:sz w:val="22"/>
          <w:szCs w:val="22"/>
        </w:rPr>
        <w:t xml:space="preserve">. </w:t>
      </w:r>
    </w:p>
    <w:p w14:paraId="31FC1D40" w14:textId="7BF2E077" w:rsidR="00A11343" w:rsidRDefault="00A11343" w:rsidP="00CA76B9">
      <w:pPr>
        <w:spacing w:line="288" w:lineRule="auto"/>
        <w:jc w:val="both"/>
        <w:rPr>
          <w:rFonts w:ascii="Arial" w:hAnsi="Arial" w:cs="Arial"/>
          <w:sz w:val="22"/>
          <w:szCs w:val="22"/>
        </w:rPr>
      </w:pPr>
    </w:p>
    <w:p w14:paraId="4462DBD0" w14:textId="1F02FD44" w:rsidR="00A11343" w:rsidRPr="007C2386" w:rsidRDefault="00A11343" w:rsidP="00CA76B9">
      <w:pPr>
        <w:spacing w:line="288" w:lineRule="auto"/>
        <w:jc w:val="both"/>
        <w:rPr>
          <w:rFonts w:ascii="Arial" w:hAnsi="Arial" w:cs="Arial"/>
          <w:sz w:val="22"/>
          <w:szCs w:val="22"/>
        </w:rPr>
      </w:pPr>
      <w:r>
        <w:rPr>
          <w:rFonts w:ascii="Arial" w:hAnsi="Arial" w:cs="Arial"/>
          <w:sz w:val="22"/>
          <w:szCs w:val="22"/>
        </w:rPr>
        <w:lastRenderedPageBreak/>
        <w:t xml:space="preserve">Por su parte, para </w:t>
      </w:r>
      <w:r w:rsidR="00CE16B8">
        <w:rPr>
          <w:rFonts w:ascii="Arial" w:hAnsi="Arial" w:cs="Arial"/>
          <w:sz w:val="22"/>
          <w:szCs w:val="22"/>
        </w:rPr>
        <w:t xml:space="preserve">realizar el análisis de indicios de deterioro se emplea el formato </w:t>
      </w:r>
      <w:r w:rsidR="00B47A14">
        <w:rPr>
          <w:rFonts w:ascii="Arial" w:hAnsi="Arial" w:cs="Arial"/>
          <w:sz w:val="22"/>
          <w:szCs w:val="22"/>
        </w:rPr>
        <w:t>“</w:t>
      </w:r>
      <w:r w:rsidR="00CE16B8" w:rsidRPr="007C2386">
        <w:rPr>
          <w:rFonts w:ascii="Arial" w:hAnsi="Arial" w:cs="Arial"/>
          <w:i/>
          <w:sz w:val="22"/>
          <w:szCs w:val="22"/>
        </w:rPr>
        <w:t xml:space="preserve">Apo.3.Man.3.Fr.13 Cuestionario </w:t>
      </w:r>
      <w:r w:rsidR="00CE16B8">
        <w:rPr>
          <w:rFonts w:ascii="Arial" w:hAnsi="Arial" w:cs="Arial"/>
          <w:i/>
          <w:sz w:val="22"/>
          <w:szCs w:val="22"/>
        </w:rPr>
        <w:t xml:space="preserve">de </w:t>
      </w:r>
      <w:r w:rsidR="00CE16B8" w:rsidRPr="007C2386">
        <w:rPr>
          <w:rFonts w:ascii="Arial" w:hAnsi="Arial" w:cs="Arial"/>
          <w:i/>
          <w:sz w:val="22"/>
          <w:szCs w:val="22"/>
        </w:rPr>
        <w:t xml:space="preserve">evaluación </w:t>
      </w:r>
      <w:r w:rsidR="00CE16B8">
        <w:rPr>
          <w:rFonts w:ascii="Arial" w:hAnsi="Arial" w:cs="Arial"/>
          <w:i/>
          <w:sz w:val="22"/>
          <w:szCs w:val="22"/>
        </w:rPr>
        <w:t xml:space="preserve">de </w:t>
      </w:r>
      <w:r w:rsidR="00CE16B8" w:rsidRPr="007C2386">
        <w:rPr>
          <w:rFonts w:ascii="Arial" w:hAnsi="Arial" w:cs="Arial"/>
          <w:i/>
          <w:sz w:val="22"/>
          <w:szCs w:val="22"/>
        </w:rPr>
        <w:t xml:space="preserve">indicios de deterioro </w:t>
      </w:r>
      <w:r w:rsidR="00CE16B8">
        <w:rPr>
          <w:rFonts w:ascii="Arial" w:hAnsi="Arial" w:cs="Arial"/>
          <w:i/>
          <w:sz w:val="22"/>
          <w:szCs w:val="22"/>
        </w:rPr>
        <w:t>– Propiedades, Planta y Equipo</w:t>
      </w:r>
      <w:r w:rsidR="00B47A14">
        <w:rPr>
          <w:rFonts w:ascii="Arial" w:hAnsi="Arial" w:cs="Arial"/>
          <w:i/>
          <w:sz w:val="22"/>
          <w:szCs w:val="22"/>
        </w:rPr>
        <w:t>”</w:t>
      </w:r>
      <w:r w:rsidR="00B05E6D">
        <w:rPr>
          <w:rFonts w:ascii="Arial" w:hAnsi="Arial" w:cs="Arial"/>
          <w:i/>
          <w:sz w:val="22"/>
          <w:szCs w:val="22"/>
        </w:rPr>
        <w:t xml:space="preserve">, </w:t>
      </w:r>
      <w:r w:rsidR="00B05E6D">
        <w:rPr>
          <w:rFonts w:ascii="Arial" w:hAnsi="Arial" w:cs="Arial"/>
          <w:sz w:val="22"/>
          <w:szCs w:val="22"/>
        </w:rPr>
        <w:t xml:space="preserve">y para la conciliación de información se utiliza el formato </w:t>
      </w:r>
      <w:r w:rsidR="00B47A14">
        <w:rPr>
          <w:rFonts w:ascii="Arial" w:hAnsi="Arial" w:cs="Arial"/>
          <w:sz w:val="22"/>
          <w:szCs w:val="22"/>
        </w:rPr>
        <w:t>“</w:t>
      </w:r>
      <w:r w:rsidR="00B05E6D" w:rsidRPr="007C2386">
        <w:rPr>
          <w:rFonts w:ascii="Arial" w:hAnsi="Arial" w:cs="Arial"/>
          <w:i/>
          <w:sz w:val="22"/>
          <w:szCs w:val="22"/>
        </w:rPr>
        <w:t>Apo.3.Man.3.Fr.34 Conciliación bienes muebles devolutivos MHCP</w:t>
      </w:r>
      <w:r w:rsidR="00B47A14">
        <w:rPr>
          <w:rFonts w:ascii="Arial" w:hAnsi="Arial" w:cs="Arial"/>
          <w:i/>
          <w:sz w:val="22"/>
          <w:szCs w:val="22"/>
        </w:rPr>
        <w:t>”</w:t>
      </w:r>
      <w:r w:rsidR="00B05E6D">
        <w:rPr>
          <w:rFonts w:ascii="Arial" w:hAnsi="Arial" w:cs="Arial"/>
          <w:i/>
          <w:sz w:val="22"/>
          <w:szCs w:val="22"/>
        </w:rPr>
        <w:t>.</w:t>
      </w:r>
    </w:p>
    <w:p w14:paraId="19C63755" w14:textId="1B3A5717" w:rsidR="00460870" w:rsidRDefault="00460870" w:rsidP="00CA76B9">
      <w:pPr>
        <w:spacing w:line="288" w:lineRule="auto"/>
        <w:jc w:val="both"/>
        <w:rPr>
          <w:rFonts w:ascii="Arial" w:hAnsi="Arial" w:cs="Arial"/>
          <w:i/>
          <w:sz w:val="22"/>
          <w:szCs w:val="22"/>
        </w:rPr>
      </w:pPr>
    </w:p>
    <w:p w14:paraId="0F2C0D74" w14:textId="0126F663" w:rsidR="00F64C40" w:rsidRDefault="00460870" w:rsidP="00CA76B9">
      <w:pPr>
        <w:spacing w:line="288" w:lineRule="auto"/>
        <w:jc w:val="both"/>
        <w:rPr>
          <w:rFonts w:ascii="Arial" w:hAnsi="Arial" w:cs="Arial"/>
          <w:i/>
          <w:sz w:val="22"/>
          <w:szCs w:val="22"/>
        </w:rPr>
      </w:pPr>
      <w:r w:rsidRPr="00B05E6D">
        <w:rPr>
          <w:rFonts w:ascii="Arial" w:hAnsi="Arial" w:cs="Arial"/>
          <w:sz w:val="22"/>
          <w:szCs w:val="22"/>
        </w:rPr>
        <w:t xml:space="preserve">La </w:t>
      </w:r>
      <w:r w:rsidRPr="007C2386">
        <w:rPr>
          <w:rFonts w:ascii="Arial" w:hAnsi="Arial" w:cs="Arial"/>
          <w:sz w:val="22"/>
          <w:szCs w:val="22"/>
        </w:rPr>
        <w:t>eval</w:t>
      </w:r>
      <w:r w:rsidRPr="00B05E6D">
        <w:rPr>
          <w:rFonts w:ascii="Arial" w:hAnsi="Arial" w:cs="Arial"/>
          <w:sz w:val="22"/>
          <w:szCs w:val="22"/>
        </w:rPr>
        <w:t xml:space="preserve">uación de los criterios contables para clasificar los bienes entregados y recibidos mediante contratos de comodato, se realiza mediante los formatos </w:t>
      </w:r>
      <w:r w:rsidR="005D2F60">
        <w:rPr>
          <w:rFonts w:ascii="Arial" w:hAnsi="Arial" w:cs="Arial"/>
          <w:sz w:val="22"/>
          <w:szCs w:val="22"/>
        </w:rPr>
        <w:t>“</w:t>
      </w:r>
      <w:r w:rsidR="00246413" w:rsidRPr="007C2386">
        <w:rPr>
          <w:rFonts w:ascii="Arial" w:hAnsi="Arial" w:cs="Arial"/>
          <w:i/>
          <w:sz w:val="22"/>
          <w:szCs w:val="22"/>
        </w:rPr>
        <w:t>Apo.3.Man.3.Fr.15 Evaluación de criterios contables para clasificación de bienes recibidos mediante contratos de comodato</w:t>
      </w:r>
      <w:r w:rsidR="005D2F60">
        <w:rPr>
          <w:rFonts w:ascii="Arial" w:hAnsi="Arial" w:cs="Arial"/>
          <w:i/>
          <w:sz w:val="22"/>
          <w:szCs w:val="22"/>
        </w:rPr>
        <w:t>”</w:t>
      </w:r>
      <w:r w:rsidRPr="007C2386">
        <w:rPr>
          <w:rFonts w:ascii="Arial" w:hAnsi="Arial" w:cs="Arial"/>
          <w:i/>
          <w:sz w:val="22"/>
          <w:szCs w:val="22"/>
        </w:rPr>
        <w:t xml:space="preserve"> </w:t>
      </w:r>
      <w:r w:rsidR="00246413" w:rsidRPr="00B05E6D">
        <w:rPr>
          <w:rFonts w:ascii="Arial" w:hAnsi="Arial" w:cs="Arial"/>
          <w:sz w:val="22"/>
          <w:szCs w:val="22"/>
        </w:rPr>
        <w:t xml:space="preserve">y </w:t>
      </w:r>
      <w:r w:rsidR="005D2F60">
        <w:rPr>
          <w:rFonts w:ascii="Arial" w:hAnsi="Arial" w:cs="Arial"/>
          <w:sz w:val="22"/>
          <w:szCs w:val="22"/>
        </w:rPr>
        <w:t>“</w:t>
      </w:r>
      <w:r w:rsidR="00246413" w:rsidRPr="007C2386">
        <w:rPr>
          <w:rFonts w:ascii="Arial" w:hAnsi="Arial" w:cs="Arial"/>
          <w:i/>
          <w:sz w:val="22"/>
          <w:szCs w:val="22"/>
        </w:rPr>
        <w:t>Apo.3.Man.3.Fr.16  Evaluación de criterios contables para clasificación de bienes entregados mediante contratos de comodato</w:t>
      </w:r>
      <w:r w:rsidR="005D2F60">
        <w:rPr>
          <w:rFonts w:ascii="Arial" w:hAnsi="Arial" w:cs="Arial"/>
          <w:i/>
          <w:sz w:val="22"/>
          <w:szCs w:val="22"/>
        </w:rPr>
        <w:t>”</w:t>
      </w:r>
      <w:r w:rsidR="00673094" w:rsidRPr="00B05E6D">
        <w:rPr>
          <w:rFonts w:ascii="Arial" w:hAnsi="Arial" w:cs="Arial"/>
          <w:i/>
          <w:sz w:val="22"/>
          <w:szCs w:val="22"/>
        </w:rPr>
        <w:t>.</w:t>
      </w:r>
      <w:r w:rsidR="00F64C40" w:rsidRPr="00F64C40">
        <w:rPr>
          <w:rFonts w:ascii="Arial" w:hAnsi="Arial" w:cs="Arial"/>
          <w:i/>
          <w:sz w:val="22"/>
          <w:szCs w:val="22"/>
        </w:rPr>
        <w:t xml:space="preserve"> </w:t>
      </w:r>
      <w:r w:rsidR="00F64C40" w:rsidRPr="007C2386">
        <w:rPr>
          <w:rFonts w:ascii="Arial" w:hAnsi="Arial" w:cs="Arial"/>
          <w:sz w:val="22"/>
          <w:szCs w:val="22"/>
        </w:rPr>
        <w:t>Asi</w:t>
      </w:r>
      <w:r w:rsidR="00F64C40">
        <w:rPr>
          <w:rFonts w:ascii="Arial" w:hAnsi="Arial" w:cs="Arial"/>
          <w:sz w:val="22"/>
          <w:szCs w:val="22"/>
        </w:rPr>
        <w:t xml:space="preserve">mismo, para controlar los contratos mediante los cuales se entregan y reciben bienes en comodato, </w:t>
      </w:r>
      <w:r w:rsidR="00A548B6">
        <w:rPr>
          <w:rFonts w:ascii="Arial" w:hAnsi="Arial" w:cs="Arial"/>
          <w:sz w:val="22"/>
          <w:szCs w:val="22"/>
        </w:rPr>
        <w:t xml:space="preserve">el Grupo de Contabilidad </w:t>
      </w:r>
      <w:r w:rsidR="00F64C40">
        <w:rPr>
          <w:rFonts w:ascii="Arial" w:hAnsi="Arial" w:cs="Arial"/>
          <w:sz w:val="22"/>
          <w:szCs w:val="22"/>
        </w:rPr>
        <w:t xml:space="preserve">debe diligenciar el formato </w:t>
      </w:r>
      <w:r w:rsidR="005D2F60">
        <w:rPr>
          <w:rFonts w:ascii="Arial" w:hAnsi="Arial" w:cs="Arial"/>
          <w:sz w:val="22"/>
          <w:szCs w:val="22"/>
        </w:rPr>
        <w:t>“</w:t>
      </w:r>
      <w:r w:rsidR="00F64C40" w:rsidRPr="007C2386">
        <w:rPr>
          <w:rFonts w:ascii="Arial" w:hAnsi="Arial" w:cs="Arial"/>
          <w:i/>
          <w:sz w:val="22"/>
          <w:szCs w:val="22"/>
        </w:rPr>
        <w:t>Apo.3.Man.3.Fr.36 Informe detallado y consolidado contratos de comodato</w:t>
      </w:r>
      <w:r w:rsidR="005D2F60">
        <w:rPr>
          <w:rFonts w:ascii="Arial" w:hAnsi="Arial" w:cs="Arial"/>
          <w:i/>
          <w:sz w:val="22"/>
          <w:szCs w:val="22"/>
        </w:rPr>
        <w:t>”</w:t>
      </w:r>
      <w:r w:rsidR="00A548B6">
        <w:rPr>
          <w:rFonts w:ascii="Arial" w:hAnsi="Arial" w:cs="Arial"/>
          <w:i/>
          <w:sz w:val="22"/>
          <w:szCs w:val="22"/>
        </w:rPr>
        <w:t xml:space="preserve">, </w:t>
      </w:r>
      <w:r w:rsidR="00A548B6" w:rsidRPr="00A548B6">
        <w:rPr>
          <w:rFonts w:ascii="Arial" w:hAnsi="Arial" w:cs="Arial"/>
          <w:sz w:val="22"/>
          <w:szCs w:val="22"/>
        </w:rPr>
        <w:t xml:space="preserve">a partir de la </w:t>
      </w:r>
      <w:r w:rsidR="00A548B6">
        <w:rPr>
          <w:rFonts w:ascii="Arial" w:hAnsi="Arial" w:cs="Arial"/>
          <w:sz w:val="22"/>
          <w:szCs w:val="22"/>
        </w:rPr>
        <w:t xml:space="preserve">información proporcionada por el Grupo de Contratación Directa mediante </w:t>
      </w:r>
      <w:r w:rsidR="005D2F60">
        <w:rPr>
          <w:rFonts w:ascii="Arial" w:hAnsi="Arial" w:cs="Arial"/>
          <w:sz w:val="22"/>
          <w:szCs w:val="22"/>
        </w:rPr>
        <w:t>“</w:t>
      </w:r>
      <w:r w:rsidR="00A548B6" w:rsidRPr="007C2386">
        <w:rPr>
          <w:rFonts w:ascii="Arial" w:hAnsi="Arial" w:cs="Arial"/>
          <w:i/>
          <w:sz w:val="22"/>
          <w:szCs w:val="22"/>
        </w:rPr>
        <w:t>Acuerdo de Servicio Apo4.1_APO3.0.AS126</w:t>
      </w:r>
      <w:r w:rsidR="005D2F60">
        <w:rPr>
          <w:rFonts w:ascii="Arial" w:hAnsi="Arial" w:cs="Arial"/>
          <w:i/>
          <w:sz w:val="22"/>
          <w:szCs w:val="22"/>
        </w:rPr>
        <w:t>”</w:t>
      </w:r>
      <w:r w:rsidR="008303E5">
        <w:rPr>
          <w:rFonts w:ascii="Arial" w:hAnsi="Arial" w:cs="Arial"/>
          <w:i/>
          <w:sz w:val="22"/>
          <w:szCs w:val="22"/>
        </w:rPr>
        <w:t>.</w:t>
      </w:r>
    </w:p>
    <w:p w14:paraId="282BCE2C" w14:textId="1E3FB5A0" w:rsidR="00460870" w:rsidRDefault="00460870" w:rsidP="00CA76B9">
      <w:pPr>
        <w:spacing w:line="288" w:lineRule="auto"/>
        <w:jc w:val="both"/>
        <w:rPr>
          <w:rFonts w:ascii="Arial" w:hAnsi="Arial" w:cs="Arial"/>
          <w:i/>
          <w:sz w:val="22"/>
          <w:szCs w:val="22"/>
        </w:rPr>
      </w:pPr>
    </w:p>
    <w:p w14:paraId="50003C6A" w14:textId="735EBCD9" w:rsidR="00E85970" w:rsidRPr="00D9541C" w:rsidRDefault="00E85970" w:rsidP="00CA76B9">
      <w:pPr>
        <w:spacing w:line="288" w:lineRule="auto"/>
        <w:jc w:val="both"/>
        <w:rPr>
          <w:rFonts w:ascii="Arial" w:hAnsi="Arial" w:cs="Arial"/>
          <w:b/>
          <w:bCs/>
          <w:i/>
          <w:iCs/>
          <w:color w:val="000000"/>
          <w:sz w:val="22"/>
          <w:szCs w:val="22"/>
          <w:highlight w:val="yellow"/>
          <w:lang w:val="es-CO" w:eastAsia="es-CO"/>
        </w:rPr>
      </w:pPr>
      <w:r w:rsidRPr="00D9541C">
        <w:rPr>
          <w:rFonts w:ascii="Arial" w:hAnsi="Arial" w:cs="Arial"/>
          <w:iCs/>
          <w:sz w:val="22"/>
          <w:szCs w:val="22"/>
        </w:rPr>
        <w:t>Finalmente, para la contabilización de los Movimientos de las Propiedades, Planta y Equipo y su conciliación con los Inventarios de Bienes del MHCP, se emplea el instructivo</w:t>
      </w:r>
      <w:r w:rsidR="00D9541C">
        <w:rPr>
          <w:rFonts w:ascii="Arial" w:hAnsi="Arial" w:cs="Arial"/>
          <w:iCs/>
          <w:sz w:val="22"/>
          <w:szCs w:val="22"/>
        </w:rPr>
        <w:t xml:space="preserve">                              </w:t>
      </w:r>
      <w:r w:rsidRPr="00D9541C">
        <w:rPr>
          <w:rFonts w:ascii="Arial" w:hAnsi="Arial" w:cs="Arial"/>
          <w:iCs/>
          <w:sz w:val="22"/>
          <w:szCs w:val="22"/>
        </w:rPr>
        <w:t>“</w:t>
      </w:r>
      <w:r w:rsidRPr="00D9541C">
        <w:rPr>
          <w:rFonts w:ascii="Arial" w:hAnsi="Arial" w:cs="Arial"/>
          <w:i/>
          <w:iCs/>
          <w:color w:val="000000"/>
          <w:sz w:val="22"/>
          <w:szCs w:val="22"/>
          <w:lang w:val="es-CO" w:eastAsia="es-CO"/>
        </w:rPr>
        <w:t>Apo.3.Pro.5.Ins.4.</w:t>
      </w:r>
      <w:r w:rsidRPr="00D9541C">
        <w:rPr>
          <w:rFonts w:ascii="Arial" w:hAnsi="Arial" w:cs="Arial"/>
          <w:b/>
          <w:bCs/>
          <w:i/>
          <w:iCs/>
          <w:color w:val="000000"/>
          <w:sz w:val="22"/>
          <w:szCs w:val="22"/>
          <w:lang w:val="es-CO" w:eastAsia="es-CO"/>
        </w:rPr>
        <w:t xml:space="preserve"> </w:t>
      </w:r>
      <w:r w:rsidRPr="00D9541C">
        <w:rPr>
          <w:rFonts w:ascii="Arial" w:hAnsi="Arial" w:cs="Arial"/>
          <w:i/>
          <w:iCs/>
          <w:color w:val="000000"/>
          <w:sz w:val="22"/>
          <w:szCs w:val="22"/>
          <w:lang w:val="es-CO" w:eastAsia="es-CO"/>
        </w:rPr>
        <w:t>Contabilización de los Movimientos de las Propiedades, Planta y Equipo y su conciliación con los Inventarios de Bienes del MHCP”.</w:t>
      </w:r>
    </w:p>
    <w:p w14:paraId="0D278622" w14:textId="3D05FE1A" w:rsidR="00E85970" w:rsidRPr="00E85970" w:rsidRDefault="00E85970" w:rsidP="00CA76B9">
      <w:pPr>
        <w:spacing w:line="288" w:lineRule="auto"/>
        <w:jc w:val="both"/>
        <w:rPr>
          <w:rFonts w:ascii="Arial" w:hAnsi="Arial" w:cs="Arial"/>
          <w:iCs/>
          <w:sz w:val="22"/>
          <w:szCs w:val="22"/>
        </w:rPr>
      </w:pPr>
    </w:p>
    <w:p w14:paraId="3E60D023" w14:textId="496726EC" w:rsidR="00AF4209" w:rsidRDefault="00AF4209" w:rsidP="00CA76B9">
      <w:pPr>
        <w:pStyle w:val="Ttulo3"/>
        <w:numPr>
          <w:ilvl w:val="2"/>
          <w:numId w:val="1"/>
        </w:numPr>
        <w:spacing w:line="288" w:lineRule="auto"/>
        <w:rPr>
          <w:rFonts w:ascii="Arial" w:hAnsi="Arial" w:cs="Arial"/>
          <w:b/>
          <w:sz w:val="22"/>
          <w:szCs w:val="22"/>
        </w:rPr>
      </w:pPr>
      <w:bookmarkStart w:id="279" w:name="_Toc59377870"/>
      <w:r>
        <w:rPr>
          <w:rFonts w:ascii="Arial" w:hAnsi="Arial" w:cs="Arial"/>
          <w:b/>
          <w:sz w:val="22"/>
          <w:szCs w:val="22"/>
        </w:rPr>
        <w:t>Activos intangibles</w:t>
      </w:r>
      <w:bookmarkEnd w:id="279"/>
    </w:p>
    <w:p w14:paraId="6BA93D01" w14:textId="60758BDB" w:rsidR="00B70BB0" w:rsidRDefault="00B70BB0" w:rsidP="00CA76B9">
      <w:pPr>
        <w:spacing w:line="288" w:lineRule="auto"/>
        <w:rPr>
          <w:rFonts w:ascii="Arial" w:hAnsi="Arial" w:cs="Arial"/>
          <w:b/>
          <w:sz w:val="22"/>
          <w:szCs w:val="22"/>
        </w:rPr>
      </w:pPr>
    </w:p>
    <w:p w14:paraId="0BB0143B" w14:textId="29A3C44C" w:rsidR="00B70BB0" w:rsidRDefault="00B70BB0"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activos intangibles:</w:t>
      </w:r>
    </w:p>
    <w:p w14:paraId="18833138" w14:textId="31453807" w:rsidR="00B70BB0" w:rsidRDefault="00B70BB0" w:rsidP="002C7D53">
      <w:pPr>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1620"/>
        <w:gridCol w:w="277"/>
        <w:gridCol w:w="6943"/>
      </w:tblGrid>
      <w:tr w:rsidR="007720C9" w:rsidRPr="001A68E7" w14:paraId="3FE1004E" w14:textId="77777777" w:rsidTr="00B26C22">
        <w:trPr>
          <w:tblHeader/>
          <w:jc w:val="center"/>
        </w:trPr>
        <w:tc>
          <w:tcPr>
            <w:tcW w:w="1913" w:type="dxa"/>
            <w:gridSpan w:val="2"/>
            <w:tcBorders>
              <w:bottom w:val="single" w:sz="12" w:space="0" w:color="3366CC"/>
            </w:tcBorders>
            <w:shd w:val="clear" w:color="2F5395" w:fill="3366CC"/>
            <w:vAlign w:val="center"/>
          </w:tcPr>
          <w:p w14:paraId="2C3E890D" w14:textId="77777777" w:rsidR="007720C9" w:rsidRPr="001A68E7" w:rsidRDefault="007720C9"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7067" w:type="dxa"/>
            <w:tcBorders>
              <w:bottom w:val="single" w:sz="12" w:space="0" w:color="3366CC"/>
            </w:tcBorders>
            <w:shd w:val="clear" w:color="2F5395" w:fill="3366CC"/>
            <w:vAlign w:val="center"/>
          </w:tcPr>
          <w:p w14:paraId="761C89D7" w14:textId="77777777" w:rsidR="007720C9" w:rsidRPr="001A68E7" w:rsidRDefault="007720C9"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7720C9" w:rsidRPr="001A68E7" w14:paraId="717C37BC" w14:textId="77777777" w:rsidTr="00B26C22">
        <w:trPr>
          <w:trHeight w:val="474"/>
          <w:jc w:val="center"/>
        </w:trPr>
        <w:tc>
          <w:tcPr>
            <w:tcW w:w="1630" w:type="dxa"/>
            <w:tcBorders>
              <w:top w:val="single" w:sz="12" w:space="0" w:color="3366CC"/>
              <w:bottom w:val="single" w:sz="12" w:space="0" w:color="3366CC"/>
            </w:tcBorders>
            <w:shd w:val="pct20" w:color="FFFFFF" w:fill="FFFFFF"/>
            <w:vAlign w:val="center"/>
          </w:tcPr>
          <w:p w14:paraId="35D58C46" w14:textId="77777777" w:rsidR="007720C9" w:rsidRPr="001A68E7" w:rsidRDefault="007720C9" w:rsidP="00B26C22">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Dirección de Tecnología</w:t>
            </w:r>
          </w:p>
        </w:tc>
        <w:tc>
          <w:tcPr>
            <w:tcW w:w="7350" w:type="dxa"/>
            <w:gridSpan w:val="2"/>
            <w:tcBorders>
              <w:top w:val="single" w:sz="12" w:space="0" w:color="3366CC"/>
              <w:bottom w:val="single" w:sz="12" w:space="0" w:color="3366CC"/>
            </w:tcBorders>
            <w:shd w:val="pct20" w:color="FFFFFF" w:fill="FFFFFF"/>
            <w:vAlign w:val="center"/>
          </w:tcPr>
          <w:p w14:paraId="5C732E66"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Identificar si los activos intangibles corresponden a bienes adquiridos o desarrollados internamente</w:t>
            </w:r>
          </w:p>
          <w:p w14:paraId="49C7D825"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Elaborar el inventario de los elementos que cumplan el criterio de activo intangible, independiente de su cuantía, e incluyendo tanto licencias adquiridas como software desarrollado. </w:t>
            </w:r>
          </w:p>
          <w:p w14:paraId="12BBDC29"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como mínimo al cierre del período contable, el inventario consolidado de activos intangibles del MHCP.</w:t>
            </w:r>
          </w:p>
          <w:p w14:paraId="4BF9C6C4"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Establecer la vida útil de los activos intangibles, entre finita o indefinida, e informar al Grupo de Contabilidad. </w:t>
            </w:r>
          </w:p>
          <w:p w14:paraId="484B3E0C"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Identificar las erogaciones que correspondan a adiciones o mejoras de los activos intangibles, e informar al Grupo de Contabilidad. Asimismo, llevar a cabo el análisis que permita establecer los posibles cambios en la vida útil de los activos, generados con motivo de las adiciones o mejoras realizadas</w:t>
            </w:r>
          </w:p>
          <w:p w14:paraId="09981AF8"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Informar al Grupo de Contabilidad acerca de la adquisición y/o desarrollo interno de activos intangibles.</w:t>
            </w:r>
          </w:p>
          <w:p w14:paraId="2B4F4FF2"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lastRenderedPageBreak/>
              <w:t>Si un activo intangible es generado internamente, identificar los desembolsos generados en la fase de investigación y en la fase de desarrollo.</w:t>
            </w:r>
          </w:p>
          <w:p w14:paraId="1CBAC511" w14:textId="77777777" w:rsidR="007720C9" w:rsidRPr="001A68E7" w:rsidRDefault="007720C9" w:rsidP="00343ECE">
            <w:pPr>
              <w:numPr>
                <w:ilvl w:val="0"/>
                <w:numId w:val="31"/>
              </w:numPr>
              <w:spacing w:line="288" w:lineRule="auto"/>
              <w:jc w:val="both"/>
              <w:rPr>
                <w:rFonts w:ascii="Arial" w:hAnsi="Arial" w:cs="Arial"/>
                <w:i/>
                <w:sz w:val="18"/>
                <w:szCs w:val="18"/>
                <w:lang w:val="es-ES_tradnl" w:eastAsia="es-CO"/>
              </w:rPr>
            </w:pPr>
            <w:r w:rsidRPr="001A68E7">
              <w:rPr>
                <w:rFonts w:ascii="Arial" w:hAnsi="Arial" w:cs="Arial"/>
                <w:sz w:val="18"/>
                <w:szCs w:val="18"/>
                <w:lang w:val="es-ES_tradnl" w:eastAsia="es-CO"/>
              </w:rPr>
              <w:t xml:space="preserve">Diligenciar, al final de cada periodo, la evaluación de indicios de deterioro de valor de los activos. Para tal efecto, tendrá en cuenta las disposiciones contenidas en las políticas de deterioro de valor de los activos generadores o no generadores de efectivo, según corresponda. </w:t>
            </w:r>
          </w:p>
          <w:p w14:paraId="4426E1F6"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Enviar al Grupo de Contabilidad en el mes que corresponda, y cuando a ello hubiere lugar, las variaciones consolidadas que se presenten en el inventario de activos intangibles. Dichas variaciones se refieren a nuevas adquisiciones, retiros, adiciones o mejoras, etc. </w:t>
            </w:r>
          </w:p>
          <w:p w14:paraId="22B76A78"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los intangibles del MCHP</w:t>
            </w:r>
          </w:p>
        </w:tc>
      </w:tr>
      <w:tr w:rsidR="007720C9" w:rsidRPr="001A68E7" w14:paraId="2C9102E8" w14:textId="77777777" w:rsidTr="00B26C22">
        <w:trPr>
          <w:jc w:val="center"/>
        </w:trPr>
        <w:tc>
          <w:tcPr>
            <w:tcW w:w="1630" w:type="dxa"/>
            <w:tcBorders>
              <w:top w:val="single" w:sz="12" w:space="0" w:color="3366CC"/>
              <w:bottom w:val="single" w:sz="12" w:space="0" w:color="3366CC"/>
            </w:tcBorders>
            <w:shd w:val="pct20" w:color="FFFFFF" w:fill="FFFFFF"/>
            <w:vAlign w:val="center"/>
          </w:tcPr>
          <w:p w14:paraId="457325B3" w14:textId="77777777" w:rsidR="007720C9" w:rsidRPr="001A68E7" w:rsidRDefault="007720C9" w:rsidP="00B26C22">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lastRenderedPageBreak/>
              <w:t>Grupo de Contabilidad</w:t>
            </w:r>
          </w:p>
        </w:tc>
        <w:tc>
          <w:tcPr>
            <w:tcW w:w="7350" w:type="dxa"/>
            <w:gridSpan w:val="2"/>
            <w:tcBorders>
              <w:top w:val="single" w:sz="12" w:space="0" w:color="3366CC"/>
              <w:bottom w:val="single" w:sz="12" w:space="0" w:color="3366CC"/>
            </w:tcBorders>
            <w:shd w:val="pct20" w:color="FFFFFF" w:fill="FFFFFF"/>
            <w:vAlign w:val="center"/>
          </w:tcPr>
          <w:p w14:paraId="6D7A2E59"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Recibir la información para su correspondiente registro y revelación en los Estados Financieros del Ministerio de Hacienda y Crédito Público – Gestión General </w:t>
            </w:r>
          </w:p>
          <w:p w14:paraId="035102DF"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Registrar, en los Estados Financieros del Ministerio de Hacienda y Crédito Público – Gestión General, los movimientos del inventario de activos intangibles y relacionados con adquisiciones, bajas, etc. </w:t>
            </w:r>
          </w:p>
          <w:p w14:paraId="55E7E646"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Reconocer mensualmente los cargos por amortización, en virtud de lo señalado por la Dirección de Tecnología en cuanto a la vida útil de los activos intangibles. </w:t>
            </w:r>
          </w:p>
          <w:p w14:paraId="3C79ED4A" w14:textId="77777777" w:rsidR="007720C9" w:rsidRPr="001A68E7" w:rsidRDefault="007720C9" w:rsidP="00343ECE">
            <w:pPr>
              <w:numPr>
                <w:ilvl w:val="0"/>
                <w:numId w:val="31"/>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los activos intangibles.  </w:t>
            </w:r>
          </w:p>
        </w:tc>
      </w:tr>
    </w:tbl>
    <w:p w14:paraId="47832A14" w14:textId="41646753" w:rsidR="007720C9" w:rsidRDefault="007720C9" w:rsidP="002C7D53">
      <w:pPr>
        <w:rPr>
          <w:rFonts w:ascii="Arial" w:hAnsi="Arial" w:cs="Arial"/>
          <w:b/>
          <w:sz w:val="22"/>
          <w:szCs w:val="22"/>
        </w:rPr>
      </w:pPr>
    </w:p>
    <w:p w14:paraId="3DEDFAE2" w14:textId="082AA084" w:rsidR="00CC095D" w:rsidRPr="00982753" w:rsidRDefault="00CC095D" w:rsidP="00CA76B9">
      <w:pPr>
        <w:spacing w:line="288" w:lineRule="auto"/>
        <w:jc w:val="both"/>
        <w:rPr>
          <w:rFonts w:ascii="Arial" w:hAnsi="Arial" w:cs="Arial"/>
          <w:sz w:val="22"/>
          <w:szCs w:val="22"/>
        </w:rPr>
      </w:pPr>
      <w:r w:rsidRPr="002C7D53">
        <w:rPr>
          <w:rFonts w:ascii="Arial" w:hAnsi="Arial" w:cs="Arial"/>
          <w:sz w:val="22"/>
          <w:szCs w:val="22"/>
        </w:rPr>
        <w:t xml:space="preserve">No </w:t>
      </w:r>
      <w:r>
        <w:rPr>
          <w:rFonts w:ascii="Arial" w:hAnsi="Arial" w:cs="Arial"/>
          <w:sz w:val="22"/>
          <w:szCs w:val="22"/>
        </w:rPr>
        <w:t xml:space="preserve">obstante, el control que debe mantener la Dirección de Tecnología con relación a los activos intangibles (licencias y software) del Ministerio de Hacienda y Crédito Público, el Grupo de Contabilidad de la Subdirección Financiera efectúa </w:t>
      </w:r>
      <w:r w:rsidRPr="00982753">
        <w:rPr>
          <w:rFonts w:ascii="Arial" w:hAnsi="Arial" w:cs="Arial"/>
          <w:sz w:val="22"/>
          <w:szCs w:val="22"/>
        </w:rPr>
        <w:t>el seguimiento</w:t>
      </w:r>
      <w:r>
        <w:rPr>
          <w:rFonts w:ascii="Arial" w:hAnsi="Arial" w:cs="Arial"/>
          <w:sz w:val="22"/>
          <w:szCs w:val="22"/>
        </w:rPr>
        <w:t xml:space="preserve"> mensual</w:t>
      </w:r>
      <w:r w:rsidRPr="00982753">
        <w:rPr>
          <w:rFonts w:ascii="Arial" w:hAnsi="Arial" w:cs="Arial"/>
          <w:sz w:val="22"/>
          <w:szCs w:val="22"/>
        </w:rPr>
        <w:t xml:space="preserve"> a la adquisición</w:t>
      </w:r>
      <w:r>
        <w:rPr>
          <w:rFonts w:ascii="Arial" w:hAnsi="Arial" w:cs="Arial"/>
          <w:sz w:val="22"/>
          <w:szCs w:val="22"/>
        </w:rPr>
        <w:t xml:space="preserve">, y/o </w:t>
      </w:r>
      <w:r w:rsidRPr="00982753">
        <w:rPr>
          <w:rFonts w:ascii="Arial" w:hAnsi="Arial" w:cs="Arial"/>
          <w:sz w:val="22"/>
          <w:szCs w:val="22"/>
        </w:rPr>
        <w:t>renovación</w:t>
      </w:r>
      <w:r>
        <w:rPr>
          <w:rFonts w:ascii="Arial" w:hAnsi="Arial" w:cs="Arial"/>
          <w:sz w:val="22"/>
          <w:szCs w:val="22"/>
        </w:rPr>
        <w:t xml:space="preserve"> y/o desarrollo de licencias y s</w:t>
      </w:r>
      <w:r w:rsidRPr="00982753">
        <w:rPr>
          <w:rFonts w:ascii="Arial" w:hAnsi="Arial" w:cs="Arial"/>
          <w:sz w:val="22"/>
          <w:szCs w:val="22"/>
        </w:rPr>
        <w:t>oftware</w:t>
      </w:r>
      <w:r>
        <w:rPr>
          <w:rFonts w:ascii="Arial" w:hAnsi="Arial" w:cs="Arial"/>
          <w:sz w:val="22"/>
          <w:szCs w:val="22"/>
        </w:rPr>
        <w:t xml:space="preserve">. </w:t>
      </w:r>
    </w:p>
    <w:p w14:paraId="43DCAC26" w14:textId="4150830A" w:rsidR="00CC095D" w:rsidRDefault="00CC095D" w:rsidP="00CA76B9">
      <w:pPr>
        <w:spacing w:line="288" w:lineRule="auto"/>
        <w:jc w:val="both"/>
        <w:rPr>
          <w:rFonts w:ascii="Arial" w:hAnsi="Arial" w:cs="Arial"/>
          <w:sz w:val="22"/>
          <w:szCs w:val="22"/>
        </w:rPr>
      </w:pPr>
      <w:r>
        <w:rPr>
          <w:rFonts w:ascii="Arial" w:hAnsi="Arial" w:cs="Arial"/>
          <w:sz w:val="22"/>
          <w:szCs w:val="22"/>
        </w:rPr>
        <w:t xml:space="preserve"> </w:t>
      </w:r>
    </w:p>
    <w:p w14:paraId="1A28E357" w14:textId="3E7DA96F" w:rsidR="00595BD1" w:rsidRDefault="009C475E" w:rsidP="00CA76B9">
      <w:pPr>
        <w:spacing w:line="288" w:lineRule="auto"/>
        <w:jc w:val="both"/>
        <w:rPr>
          <w:rFonts w:ascii="Arial" w:hAnsi="Arial" w:cs="Arial"/>
          <w:sz w:val="22"/>
          <w:szCs w:val="22"/>
        </w:rPr>
      </w:pPr>
      <w:r>
        <w:rPr>
          <w:rFonts w:ascii="Arial" w:hAnsi="Arial" w:cs="Arial"/>
          <w:sz w:val="22"/>
          <w:szCs w:val="22"/>
        </w:rPr>
        <w:t>De este modo, a</w:t>
      </w:r>
      <w:r w:rsidRPr="00982753">
        <w:rPr>
          <w:rFonts w:ascii="Arial" w:hAnsi="Arial" w:cs="Arial"/>
          <w:sz w:val="22"/>
          <w:szCs w:val="22"/>
        </w:rPr>
        <w:t xml:space="preserve"> partir de la información</w:t>
      </w:r>
      <w:r>
        <w:rPr>
          <w:rFonts w:ascii="Arial" w:hAnsi="Arial" w:cs="Arial"/>
          <w:sz w:val="22"/>
          <w:szCs w:val="22"/>
        </w:rPr>
        <w:t xml:space="preserve"> generada con motivo del registro de obligaciones en el </w:t>
      </w:r>
      <w:r w:rsidRPr="00982753">
        <w:rPr>
          <w:rFonts w:ascii="Arial" w:hAnsi="Arial" w:cs="Arial"/>
          <w:sz w:val="22"/>
          <w:szCs w:val="22"/>
        </w:rPr>
        <w:t>SIIF</w:t>
      </w:r>
      <w:r w:rsidRPr="00982753">
        <w:rPr>
          <w:rStyle w:val="Refdenotaalpie"/>
          <w:rFonts w:ascii="Arial" w:hAnsi="Arial" w:cs="Arial"/>
          <w:sz w:val="22"/>
          <w:szCs w:val="22"/>
        </w:rPr>
        <w:footnoteReference w:id="27"/>
      </w:r>
      <w:r>
        <w:rPr>
          <w:rFonts w:ascii="Arial" w:hAnsi="Arial" w:cs="Arial"/>
          <w:sz w:val="22"/>
          <w:szCs w:val="22"/>
        </w:rPr>
        <w:t xml:space="preserve"> Nación</w:t>
      </w:r>
      <w:r w:rsidRPr="00982753">
        <w:rPr>
          <w:rFonts w:ascii="Arial" w:hAnsi="Arial" w:cs="Arial"/>
          <w:sz w:val="22"/>
          <w:szCs w:val="22"/>
        </w:rPr>
        <w:t>, se actualiza</w:t>
      </w:r>
      <w:r w:rsidR="008051D3">
        <w:rPr>
          <w:rFonts w:ascii="Arial" w:hAnsi="Arial" w:cs="Arial"/>
          <w:sz w:val="22"/>
          <w:szCs w:val="22"/>
        </w:rPr>
        <w:t xml:space="preserve">n los formatos denominados </w:t>
      </w:r>
      <w:r w:rsidR="008051D3" w:rsidRPr="00BF45E8">
        <w:rPr>
          <w:rFonts w:ascii="Arial" w:hAnsi="Arial" w:cs="Arial"/>
          <w:i/>
          <w:sz w:val="22"/>
          <w:szCs w:val="22"/>
        </w:rPr>
        <w:t>“Apo.3.Man.3.Fr.2</w:t>
      </w:r>
      <w:r w:rsidR="008051D3">
        <w:rPr>
          <w:rFonts w:ascii="Arial" w:hAnsi="Arial" w:cs="Arial"/>
          <w:i/>
          <w:sz w:val="22"/>
          <w:szCs w:val="22"/>
        </w:rPr>
        <w:t xml:space="preserve"> - </w:t>
      </w:r>
      <w:r w:rsidR="008051D3" w:rsidRPr="00084F27">
        <w:rPr>
          <w:rFonts w:ascii="Arial" w:hAnsi="Arial" w:cs="Arial"/>
          <w:i/>
          <w:sz w:val="22"/>
          <w:szCs w:val="22"/>
        </w:rPr>
        <w:t>Inventario Intangibles (Licencias)</w:t>
      </w:r>
      <w:r w:rsidR="008051D3">
        <w:rPr>
          <w:rFonts w:ascii="Arial" w:hAnsi="Arial" w:cs="Arial"/>
          <w:i/>
          <w:sz w:val="22"/>
          <w:szCs w:val="22"/>
        </w:rPr>
        <w:t xml:space="preserve">” </w:t>
      </w:r>
      <w:r w:rsidR="008051D3" w:rsidRPr="00BF45E8">
        <w:rPr>
          <w:rFonts w:ascii="Arial" w:hAnsi="Arial" w:cs="Arial"/>
          <w:sz w:val="22"/>
          <w:szCs w:val="22"/>
        </w:rPr>
        <w:t xml:space="preserve">y </w:t>
      </w:r>
      <w:r w:rsidR="008051D3" w:rsidRPr="00BF45E8">
        <w:rPr>
          <w:rFonts w:ascii="Arial" w:hAnsi="Arial" w:cs="Arial"/>
          <w:i/>
          <w:sz w:val="22"/>
          <w:szCs w:val="22"/>
        </w:rPr>
        <w:t>“Apo.3.Man.3.Fr.3 - Inventario Intangibles (Software)”</w:t>
      </w:r>
      <w:r w:rsidR="008051D3">
        <w:rPr>
          <w:rFonts w:ascii="Arial" w:hAnsi="Arial" w:cs="Arial"/>
          <w:i/>
          <w:sz w:val="22"/>
          <w:szCs w:val="22"/>
        </w:rPr>
        <w:t>,</w:t>
      </w:r>
      <w:r w:rsidR="008051D3">
        <w:rPr>
          <w:rFonts w:ascii="Arial" w:hAnsi="Arial" w:cs="Arial"/>
          <w:sz w:val="22"/>
          <w:szCs w:val="22"/>
        </w:rPr>
        <w:t xml:space="preserve"> los </w:t>
      </w:r>
      <w:r w:rsidRPr="00982753">
        <w:rPr>
          <w:rFonts w:ascii="Arial" w:hAnsi="Arial" w:cs="Arial"/>
          <w:sz w:val="22"/>
          <w:szCs w:val="22"/>
        </w:rPr>
        <w:t>cual</w:t>
      </w:r>
      <w:r w:rsidR="008051D3">
        <w:rPr>
          <w:rFonts w:ascii="Arial" w:hAnsi="Arial" w:cs="Arial"/>
          <w:sz w:val="22"/>
          <w:szCs w:val="22"/>
        </w:rPr>
        <w:t>es</w:t>
      </w:r>
      <w:r w:rsidRPr="00982753">
        <w:rPr>
          <w:rFonts w:ascii="Arial" w:hAnsi="Arial" w:cs="Arial"/>
          <w:sz w:val="22"/>
          <w:szCs w:val="22"/>
        </w:rPr>
        <w:t xml:space="preserve"> revela</w:t>
      </w:r>
      <w:r w:rsidR="008051D3">
        <w:rPr>
          <w:rFonts w:ascii="Arial" w:hAnsi="Arial" w:cs="Arial"/>
          <w:sz w:val="22"/>
          <w:szCs w:val="22"/>
        </w:rPr>
        <w:t>n</w:t>
      </w:r>
      <w:r w:rsidRPr="00982753">
        <w:rPr>
          <w:rFonts w:ascii="Arial" w:hAnsi="Arial" w:cs="Arial"/>
          <w:sz w:val="22"/>
          <w:szCs w:val="22"/>
        </w:rPr>
        <w:t xml:space="preserve">, de manera consolidada, el total de licencias y software que posee el MCHP. </w:t>
      </w:r>
      <w:r w:rsidR="00E77A1F">
        <w:rPr>
          <w:rFonts w:ascii="Arial" w:hAnsi="Arial" w:cs="Arial"/>
          <w:sz w:val="22"/>
          <w:szCs w:val="22"/>
        </w:rPr>
        <w:t>En los casos que se requier</w:t>
      </w:r>
      <w:r w:rsidR="00D528CF">
        <w:rPr>
          <w:rFonts w:ascii="Arial" w:hAnsi="Arial" w:cs="Arial"/>
          <w:sz w:val="22"/>
          <w:szCs w:val="22"/>
        </w:rPr>
        <w:t>a</w:t>
      </w:r>
      <w:r w:rsidR="00E77A1F">
        <w:rPr>
          <w:rFonts w:ascii="Arial" w:hAnsi="Arial" w:cs="Arial"/>
          <w:sz w:val="22"/>
          <w:szCs w:val="22"/>
        </w:rPr>
        <w:t xml:space="preserve">, se efectuarán </w:t>
      </w:r>
      <w:r w:rsidR="00586210">
        <w:rPr>
          <w:rFonts w:ascii="Arial" w:hAnsi="Arial" w:cs="Arial"/>
          <w:sz w:val="22"/>
          <w:szCs w:val="22"/>
        </w:rPr>
        <w:t xml:space="preserve">los ajustes contables manuales que correspondan, por errada afectación contable al elaborar las obligaciones en SIIF.  </w:t>
      </w:r>
    </w:p>
    <w:p w14:paraId="2CC9BFFF" w14:textId="0A2FD8F5" w:rsidR="008E70E1" w:rsidRDefault="008E70E1" w:rsidP="00CA76B9">
      <w:pPr>
        <w:spacing w:line="288" w:lineRule="auto"/>
        <w:jc w:val="both"/>
        <w:rPr>
          <w:rFonts w:ascii="Arial" w:hAnsi="Arial" w:cs="Arial"/>
          <w:sz w:val="22"/>
          <w:szCs w:val="22"/>
        </w:rPr>
      </w:pPr>
    </w:p>
    <w:p w14:paraId="339B440D" w14:textId="16FBA442" w:rsidR="00FB2E00" w:rsidRPr="00203472" w:rsidRDefault="00D528CF" w:rsidP="00CA76B9">
      <w:pPr>
        <w:spacing w:line="288" w:lineRule="auto"/>
        <w:jc w:val="both"/>
        <w:rPr>
          <w:rFonts w:ascii="Arial" w:hAnsi="Arial" w:cs="Arial"/>
          <w:i/>
          <w:iCs/>
          <w:sz w:val="22"/>
          <w:szCs w:val="22"/>
        </w:rPr>
      </w:pPr>
      <w:r>
        <w:rPr>
          <w:rFonts w:ascii="Arial" w:hAnsi="Arial" w:cs="Arial"/>
          <w:sz w:val="22"/>
          <w:szCs w:val="22"/>
        </w:rPr>
        <w:t>Con base en dicha información, y de acuerdo con  los inventarios de licencias y software suministrados</w:t>
      </w:r>
      <w:r w:rsidR="004B0FB5">
        <w:rPr>
          <w:rFonts w:ascii="Arial" w:hAnsi="Arial" w:cs="Arial"/>
          <w:sz w:val="22"/>
          <w:szCs w:val="22"/>
        </w:rPr>
        <w:t xml:space="preserve"> por la </w:t>
      </w:r>
      <w:r w:rsidR="00707B74">
        <w:rPr>
          <w:rFonts w:ascii="Arial" w:hAnsi="Arial" w:cs="Arial"/>
          <w:sz w:val="22"/>
          <w:szCs w:val="22"/>
        </w:rPr>
        <w:t>Dirección de Tecnología</w:t>
      </w:r>
      <w:r w:rsidR="004B0FB5">
        <w:rPr>
          <w:rFonts w:ascii="Arial" w:hAnsi="Arial" w:cs="Arial"/>
          <w:sz w:val="22"/>
          <w:szCs w:val="22"/>
        </w:rPr>
        <w:t>, trimestralmente se l</w:t>
      </w:r>
      <w:r w:rsidR="00707B74">
        <w:rPr>
          <w:rFonts w:ascii="Arial" w:hAnsi="Arial" w:cs="Arial"/>
          <w:sz w:val="22"/>
          <w:szCs w:val="22"/>
        </w:rPr>
        <w:t>levará a cabo</w:t>
      </w:r>
      <w:r w:rsidR="004B0FB5">
        <w:rPr>
          <w:rFonts w:ascii="Arial" w:hAnsi="Arial" w:cs="Arial"/>
          <w:sz w:val="22"/>
          <w:szCs w:val="22"/>
        </w:rPr>
        <w:t xml:space="preserve"> </w:t>
      </w:r>
      <w:r w:rsidR="00707B74">
        <w:rPr>
          <w:rFonts w:ascii="Arial" w:hAnsi="Arial" w:cs="Arial"/>
          <w:sz w:val="22"/>
          <w:szCs w:val="22"/>
        </w:rPr>
        <w:t xml:space="preserve">el </w:t>
      </w:r>
      <w:r w:rsidR="0045522C" w:rsidRPr="00203472">
        <w:rPr>
          <w:rFonts w:ascii="Arial" w:hAnsi="Arial" w:cs="Arial"/>
          <w:sz w:val="22"/>
          <w:szCs w:val="22"/>
        </w:rPr>
        <w:t>proceso de conciliación</w:t>
      </w:r>
      <w:r w:rsidR="004B0FB5">
        <w:rPr>
          <w:rFonts w:ascii="Arial" w:hAnsi="Arial" w:cs="Arial"/>
          <w:sz w:val="22"/>
          <w:szCs w:val="22"/>
        </w:rPr>
        <w:t>,</w:t>
      </w:r>
      <w:r w:rsidR="0045522C" w:rsidRPr="00203472">
        <w:rPr>
          <w:rFonts w:ascii="Arial" w:hAnsi="Arial" w:cs="Arial"/>
          <w:sz w:val="22"/>
          <w:szCs w:val="22"/>
        </w:rPr>
        <w:t xml:space="preserve"> empleando los formatos </w:t>
      </w:r>
      <w:r w:rsidR="0045522C" w:rsidRPr="00D528CF">
        <w:rPr>
          <w:rFonts w:ascii="Arial" w:hAnsi="Arial" w:cs="Arial"/>
          <w:sz w:val="22"/>
          <w:szCs w:val="22"/>
        </w:rPr>
        <w:t xml:space="preserve">denominados </w:t>
      </w:r>
      <w:r w:rsidR="00203472" w:rsidRPr="00203472">
        <w:rPr>
          <w:rFonts w:ascii="Arial" w:hAnsi="Arial" w:cs="Arial"/>
          <w:i/>
          <w:iCs/>
          <w:sz w:val="22"/>
          <w:szCs w:val="22"/>
        </w:rPr>
        <w:t>“Apo.3 Man.3 Fr.37 Conciliación Activos Intangibles (Software)”</w:t>
      </w:r>
      <w:r w:rsidR="00203472">
        <w:rPr>
          <w:rFonts w:ascii="Arial" w:hAnsi="Arial" w:cs="Arial"/>
          <w:sz w:val="22"/>
          <w:szCs w:val="22"/>
        </w:rPr>
        <w:t xml:space="preserve"> y </w:t>
      </w:r>
      <w:r w:rsidR="00203472" w:rsidRPr="00203472">
        <w:rPr>
          <w:rFonts w:ascii="Arial" w:hAnsi="Arial" w:cs="Arial"/>
          <w:i/>
          <w:iCs/>
          <w:sz w:val="22"/>
          <w:szCs w:val="22"/>
        </w:rPr>
        <w:t>“Apo.3 Man.3 Fr.38 Conciliación Activos Intangibles (Licencias)”</w:t>
      </w:r>
      <w:r w:rsidR="00203472" w:rsidRPr="00203472">
        <w:rPr>
          <w:rFonts w:ascii="Arial" w:hAnsi="Arial" w:cs="Arial"/>
          <w:i/>
          <w:iCs/>
          <w:sz w:val="22"/>
          <w:szCs w:val="22"/>
          <w:highlight w:val="yellow"/>
        </w:rPr>
        <w:t xml:space="preserve"> </w:t>
      </w:r>
    </w:p>
    <w:p w14:paraId="47E1C16E" w14:textId="77777777" w:rsidR="00FB2E00" w:rsidRPr="00FB6817" w:rsidRDefault="00FB2E00" w:rsidP="00CA76B9">
      <w:pPr>
        <w:pStyle w:val="Prrafodelista"/>
        <w:spacing w:line="288" w:lineRule="auto"/>
        <w:ind w:left="0"/>
        <w:jc w:val="both"/>
        <w:rPr>
          <w:rFonts w:ascii="Arial" w:hAnsi="Arial" w:cs="Arial"/>
          <w:i/>
          <w:sz w:val="22"/>
          <w:szCs w:val="22"/>
        </w:rPr>
      </w:pPr>
    </w:p>
    <w:p w14:paraId="4E2B414A" w14:textId="749B97D4" w:rsidR="00264D33" w:rsidRDefault="00876A13" w:rsidP="00CA76B9">
      <w:pPr>
        <w:pStyle w:val="Prrafodelista"/>
        <w:spacing w:line="288" w:lineRule="auto"/>
        <w:ind w:left="0"/>
        <w:jc w:val="both"/>
        <w:rPr>
          <w:rFonts w:ascii="Arial" w:hAnsi="Arial" w:cs="Arial"/>
          <w:sz w:val="22"/>
          <w:szCs w:val="22"/>
        </w:rPr>
      </w:pPr>
      <w:r w:rsidRPr="00FB6817">
        <w:rPr>
          <w:rFonts w:ascii="Arial" w:hAnsi="Arial" w:cs="Arial"/>
          <w:sz w:val="22"/>
          <w:szCs w:val="22"/>
        </w:rPr>
        <w:t>Para el efecto, el Grupo de Contabilidad de la Subdirección Financiera env</w:t>
      </w:r>
      <w:r w:rsidR="00FB2E00" w:rsidRPr="00FB6817">
        <w:rPr>
          <w:rFonts w:ascii="Arial" w:hAnsi="Arial" w:cs="Arial"/>
          <w:sz w:val="22"/>
          <w:szCs w:val="22"/>
        </w:rPr>
        <w:t>iará</w:t>
      </w:r>
      <w:r w:rsidR="00FB2E00">
        <w:rPr>
          <w:rFonts w:ascii="Arial" w:hAnsi="Arial" w:cs="Arial"/>
          <w:sz w:val="22"/>
          <w:szCs w:val="22"/>
        </w:rPr>
        <w:t xml:space="preserve"> para verificación </w:t>
      </w:r>
      <w:r w:rsidR="00205807">
        <w:rPr>
          <w:rFonts w:ascii="Arial" w:hAnsi="Arial" w:cs="Arial"/>
          <w:sz w:val="22"/>
          <w:szCs w:val="22"/>
        </w:rPr>
        <w:t>de</w:t>
      </w:r>
      <w:r>
        <w:rPr>
          <w:rFonts w:ascii="Arial" w:hAnsi="Arial" w:cs="Arial"/>
          <w:sz w:val="22"/>
          <w:szCs w:val="22"/>
        </w:rPr>
        <w:t xml:space="preserve"> la Dirección de Tecnología los formatos</w:t>
      </w:r>
      <w:r w:rsidR="00824C8E">
        <w:rPr>
          <w:rFonts w:ascii="Arial" w:hAnsi="Arial" w:cs="Arial"/>
          <w:sz w:val="22"/>
          <w:szCs w:val="22"/>
        </w:rPr>
        <w:t xml:space="preserve"> de conciliación diligenciados</w:t>
      </w:r>
      <w:r w:rsidR="00FB2E00">
        <w:rPr>
          <w:rFonts w:ascii="Arial" w:hAnsi="Arial" w:cs="Arial"/>
          <w:sz w:val="22"/>
          <w:szCs w:val="22"/>
        </w:rPr>
        <w:t xml:space="preserve">, </w:t>
      </w:r>
      <w:r w:rsidR="00FB2E00">
        <w:rPr>
          <w:rFonts w:ascii="Arial" w:hAnsi="Arial" w:cs="Arial"/>
          <w:sz w:val="22"/>
          <w:szCs w:val="22"/>
        </w:rPr>
        <w:lastRenderedPageBreak/>
        <w:t xml:space="preserve">incluyendo el listado de los activos intangibles </w:t>
      </w:r>
      <w:r w:rsidR="00264D33">
        <w:rPr>
          <w:rFonts w:ascii="Arial" w:hAnsi="Arial" w:cs="Arial"/>
          <w:sz w:val="22"/>
          <w:szCs w:val="22"/>
        </w:rPr>
        <w:t xml:space="preserve">del MHCP </w:t>
      </w:r>
      <w:r w:rsidR="00FB2E00">
        <w:rPr>
          <w:rFonts w:ascii="Arial" w:hAnsi="Arial" w:cs="Arial"/>
          <w:sz w:val="22"/>
          <w:szCs w:val="22"/>
        </w:rPr>
        <w:t>y su correspondiente afectación contable</w:t>
      </w:r>
      <w:r>
        <w:rPr>
          <w:rFonts w:ascii="Arial" w:hAnsi="Arial" w:cs="Arial"/>
          <w:sz w:val="22"/>
          <w:szCs w:val="22"/>
        </w:rPr>
        <w:t xml:space="preserve">. </w:t>
      </w:r>
      <w:r w:rsidR="009C669C">
        <w:rPr>
          <w:rFonts w:ascii="Arial" w:hAnsi="Arial" w:cs="Arial"/>
          <w:sz w:val="22"/>
          <w:szCs w:val="22"/>
        </w:rPr>
        <w:t xml:space="preserve">Si una vez verificada la información </w:t>
      </w:r>
      <w:r w:rsidR="009B1068" w:rsidRPr="00982753">
        <w:rPr>
          <w:rFonts w:ascii="Arial" w:hAnsi="Arial" w:cs="Arial"/>
          <w:sz w:val="22"/>
          <w:szCs w:val="22"/>
        </w:rPr>
        <w:t xml:space="preserve">se </w:t>
      </w:r>
      <w:r w:rsidR="009B1068">
        <w:rPr>
          <w:rFonts w:ascii="Arial" w:hAnsi="Arial" w:cs="Arial"/>
          <w:sz w:val="22"/>
          <w:szCs w:val="22"/>
        </w:rPr>
        <w:t xml:space="preserve">observan </w:t>
      </w:r>
      <w:r w:rsidR="009B1068" w:rsidRPr="00982753">
        <w:rPr>
          <w:rFonts w:ascii="Arial" w:hAnsi="Arial" w:cs="Arial"/>
          <w:sz w:val="22"/>
          <w:szCs w:val="22"/>
        </w:rPr>
        <w:t>diferencias, se procede a</w:t>
      </w:r>
      <w:r w:rsidR="009B1068">
        <w:rPr>
          <w:rFonts w:ascii="Arial" w:hAnsi="Arial" w:cs="Arial"/>
          <w:sz w:val="22"/>
          <w:szCs w:val="22"/>
        </w:rPr>
        <w:t xml:space="preserve"> efectuar la gestión tendiente a aclarar</w:t>
      </w:r>
      <w:r w:rsidR="00264D33">
        <w:rPr>
          <w:rFonts w:ascii="Arial" w:hAnsi="Arial" w:cs="Arial"/>
          <w:sz w:val="22"/>
          <w:szCs w:val="22"/>
        </w:rPr>
        <w:t>la</w:t>
      </w:r>
      <w:r w:rsidR="009B1068">
        <w:rPr>
          <w:rFonts w:ascii="Arial" w:hAnsi="Arial" w:cs="Arial"/>
          <w:sz w:val="22"/>
          <w:szCs w:val="22"/>
        </w:rPr>
        <w:t>, ajustar</w:t>
      </w:r>
      <w:r w:rsidR="00264D33">
        <w:rPr>
          <w:rFonts w:ascii="Arial" w:hAnsi="Arial" w:cs="Arial"/>
          <w:sz w:val="22"/>
          <w:szCs w:val="22"/>
        </w:rPr>
        <w:t>la</w:t>
      </w:r>
      <w:r w:rsidR="009B1068">
        <w:rPr>
          <w:rFonts w:ascii="Arial" w:hAnsi="Arial" w:cs="Arial"/>
          <w:sz w:val="22"/>
          <w:szCs w:val="22"/>
        </w:rPr>
        <w:t xml:space="preserve"> o modificar</w:t>
      </w:r>
      <w:r w:rsidR="00264D33">
        <w:rPr>
          <w:rFonts w:ascii="Arial" w:hAnsi="Arial" w:cs="Arial"/>
          <w:sz w:val="22"/>
          <w:szCs w:val="22"/>
        </w:rPr>
        <w:t>la.</w:t>
      </w:r>
      <w:r w:rsidR="009B1068">
        <w:rPr>
          <w:rFonts w:ascii="Arial" w:hAnsi="Arial" w:cs="Arial"/>
          <w:sz w:val="22"/>
          <w:szCs w:val="22"/>
        </w:rPr>
        <w:t xml:space="preserve"> </w:t>
      </w:r>
    </w:p>
    <w:p w14:paraId="616B06D1" w14:textId="77777777" w:rsidR="009B1068" w:rsidRDefault="009B1068" w:rsidP="00CA76B9">
      <w:pPr>
        <w:pStyle w:val="Prrafodelista"/>
        <w:spacing w:line="288" w:lineRule="auto"/>
        <w:ind w:left="0"/>
        <w:jc w:val="both"/>
        <w:rPr>
          <w:rFonts w:ascii="Arial" w:hAnsi="Arial" w:cs="Arial"/>
          <w:sz w:val="22"/>
          <w:szCs w:val="22"/>
        </w:rPr>
      </w:pPr>
    </w:p>
    <w:p w14:paraId="7CC69132" w14:textId="03F41E74" w:rsidR="00AF4209" w:rsidRDefault="00824C8E" w:rsidP="00CA76B9">
      <w:pPr>
        <w:spacing w:line="288" w:lineRule="auto"/>
        <w:jc w:val="both"/>
        <w:rPr>
          <w:rFonts w:ascii="Arial" w:hAnsi="Arial" w:cs="Arial"/>
          <w:i/>
          <w:sz w:val="22"/>
          <w:szCs w:val="22"/>
        </w:rPr>
      </w:pPr>
      <w:r w:rsidRPr="007C2386">
        <w:rPr>
          <w:rFonts w:ascii="Arial" w:hAnsi="Arial" w:cs="Arial"/>
          <w:sz w:val="22"/>
          <w:szCs w:val="22"/>
        </w:rPr>
        <w:t>Con</w:t>
      </w:r>
      <w:r>
        <w:rPr>
          <w:rFonts w:ascii="Arial" w:hAnsi="Arial" w:cs="Arial"/>
          <w:sz w:val="22"/>
          <w:szCs w:val="22"/>
        </w:rPr>
        <w:t xml:space="preserve"> respecto a la </w:t>
      </w:r>
      <w:r w:rsidR="00BA29F6">
        <w:rPr>
          <w:rFonts w:ascii="Arial" w:hAnsi="Arial" w:cs="Arial"/>
          <w:sz w:val="22"/>
          <w:szCs w:val="22"/>
        </w:rPr>
        <w:t>amortización de los activos intangibles del Ministerio de Hacienda y Crédito Público</w:t>
      </w:r>
      <w:r w:rsidR="004A52CC">
        <w:rPr>
          <w:rFonts w:ascii="Arial" w:hAnsi="Arial" w:cs="Arial"/>
          <w:sz w:val="22"/>
          <w:szCs w:val="22"/>
        </w:rPr>
        <w:t xml:space="preserve">, el Grupo de Contabilidad de la Subdirección Financiera </w:t>
      </w:r>
      <w:r w:rsidR="00BA29F6">
        <w:rPr>
          <w:rFonts w:ascii="Arial" w:hAnsi="Arial" w:cs="Arial"/>
          <w:sz w:val="22"/>
          <w:szCs w:val="22"/>
        </w:rPr>
        <w:t xml:space="preserve">empleará el formato denominado </w:t>
      </w:r>
      <w:r w:rsidR="00BA29F6" w:rsidRPr="007C2386">
        <w:rPr>
          <w:rFonts w:ascii="Arial" w:hAnsi="Arial" w:cs="Arial"/>
          <w:i/>
          <w:sz w:val="22"/>
          <w:szCs w:val="22"/>
        </w:rPr>
        <w:t>“Apo.3.Man.3.Fr.1. Ficha técnica Control de Amortización de Activos Intangibles”</w:t>
      </w:r>
      <w:r w:rsidR="00EB54AE">
        <w:rPr>
          <w:rFonts w:ascii="Arial" w:hAnsi="Arial" w:cs="Arial"/>
          <w:i/>
          <w:sz w:val="22"/>
          <w:szCs w:val="22"/>
        </w:rPr>
        <w:t xml:space="preserve">. </w:t>
      </w:r>
    </w:p>
    <w:p w14:paraId="015DA7F9" w14:textId="4497CE49" w:rsidR="00EB54AE" w:rsidRDefault="00EB54AE" w:rsidP="00CA76B9">
      <w:pPr>
        <w:pStyle w:val="Prrafodelista"/>
        <w:spacing w:line="288" w:lineRule="auto"/>
        <w:ind w:left="0"/>
        <w:jc w:val="both"/>
        <w:rPr>
          <w:rFonts w:ascii="Arial" w:hAnsi="Arial" w:cs="Arial"/>
          <w:i/>
          <w:sz w:val="22"/>
          <w:szCs w:val="22"/>
        </w:rPr>
      </w:pPr>
    </w:p>
    <w:p w14:paraId="0ED1AC6D" w14:textId="435A10B1" w:rsidR="00EB54AE" w:rsidRPr="007C2386" w:rsidRDefault="004A52CC" w:rsidP="00CA76B9">
      <w:pPr>
        <w:pStyle w:val="Prrafodelista"/>
        <w:spacing w:line="288" w:lineRule="auto"/>
        <w:ind w:left="0"/>
        <w:jc w:val="both"/>
        <w:rPr>
          <w:rFonts w:ascii="Arial" w:hAnsi="Arial" w:cs="Arial"/>
          <w:i/>
          <w:sz w:val="22"/>
          <w:szCs w:val="22"/>
        </w:rPr>
      </w:pPr>
      <w:r>
        <w:rPr>
          <w:rFonts w:ascii="Arial" w:hAnsi="Arial" w:cs="Arial"/>
          <w:sz w:val="22"/>
          <w:szCs w:val="22"/>
        </w:rPr>
        <w:t>P</w:t>
      </w:r>
      <w:r w:rsidR="00EB54AE">
        <w:rPr>
          <w:rFonts w:ascii="Arial" w:hAnsi="Arial" w:cs="Arial"/>
          <w:sz w:val="22"/>
          <w:szCs w:val="22"/>
        </w:rPr>
        <w:t xml:space="preserve">ara la evaluación de indicios de deterioro, se </w:t>
      </w:r>
      <w:r w:rsidR="00683980">
        <w:rPr>
          <w:rFonts w:ascii="Arial" w:hAnsi="Arial" w:cs="Arial"/>
          <w:sz w:val="22"/>
          <w:szCs w:val="22"/>
        </w:rPr>
        <w:t xml:space="preserve">utilizarán </w:t>
      </w:r>
      <w:r w:rsidR="00EB54AE">
        <w:rPr>
          <w:rFonts w:ascii="Arial" w:hAnsi="Arial" w:cs="Arial"/>
          <w:sz w:val="22"/>
          <w:szCs w:val="22"/>
        </w:rPr>
        <w:t>los formatos denominados “</w:t>
      </w:r>
      <w:r w:rsidR="00EB54AE">
        <w:rPr>
          <w:rFonts w:ascii="Arial" w:hAnsi="Arial" w:cs="Arial"/>
          <w:i/>
          <w:sz w:val="22"/>
          <w:szCs w:val="22"/>
        </w:rPr>
        <w:t xml:space="preserve">Apo.3. Man.3. Fr.11 – Cuestionario de evaluación de indicios de deterioro – Activos intangibles (Software)” </w:t>
      </w:r>
      <w:r w:rsidR="00EB54AE" w:rsidRPr="007C2386">
        <w:rPr>
          <w:rFonts w:ascii="Arial" w:hAnsi="Arial" w:cs="Arial"/>
          <w:sz w:val="22"/>
          <w:szCs w:val="22"/>
        </w:rPr>
        <w:t>y</w:t>
      </w:r>
      <w:r w:rsidR="00EB54AE">
        <w:rPr>
          <w:rFonts w:ascii="Arial" w:hAnsi="Arial" w:cs="Arial"/>
          <w:sz w:val="22"/>
          <w:szCs w:val="22"/>
        </w:rPr>
        <w:t xml:space="preserve"> </w:t>
      </w:r>
      <w:r w:rsidR="00EB54AE" w:rsidRPr="007C2386">
        <w:rPr>
          <w:rFonts w:ascii="Arial" w:hAnsi="Arial" w:cs="Arial"/>
          <w:i/>
          <w:sz w:val="22"/>
          <w:szCs w:val="22"/>
        </w:rPr>
        <w:t>“</w:t>
      </w:r>
      <w:r w:rsidR="00EB54AE">
        <w:rPr>
          <w:rFonts w:ascii="Arial" w:hAnsi="Arial" w:cs="Arial"/>
          <w:i/>
          <w:sz w:val="22"/>
          <w:szCs w:val="22"/>
        </w:rPr>
        <w:t>Apo.3. Man.3. Fr.12 – Cuestionario de evaluación de indicios de deterioro – Activos intangibles (Licencias)”</w:t>
      </w:r>
    </w:p>
    <w:p w14:paraId="556C12CF" w14:textId="57AE3ED3" w:rsidR="00BA29F6" w:rsidRDefault="00BA29F6" w:rsidP="00CA76B9">
      <w:pPr>
        <w:pStyle w:val="Prrafodelista"/>
        <w:spacing w:line="288" w:lineRule="auto"/>
        <w:ind w:left="0"/>
        <w:rPr>
          <w:rFonts w:ascii="Arial" w:hAnsi="Arial" w:cs="Arial"/>
          <w:b/>
          <w:sz w:val="22"/>
          <w:szCs w:val="22"/>
        </w:rPr>
      </w:pPr>
    </w:p>
    <w:p w14:paraId="2F2B9228" w14:textId="2DCB8961" w:rsidR="00532830" w:rsidRPr="007C2386" w:rsidRDefault="00532830" w:rsidP="00CA76B9">
      <w:pPr>
        <w:spacing w:line="288" w:lineRule="auto"/>
        <w:jc w:val="both"/>
        <w:rPr>
          <w:rFonts w:ascii="Arial" w:hAnsi="Arial" w:cs="Arial"/>
          <w:i/>
          <w:sz w:val="22"/>
          <w:szCs w:val="22"/>
        </w:rPr>
      </w:pPr>
      <w:r w:rsidRPr="007C2386">
        <w:rPr>
          <w:rFonts w:ascii="Arial" w:hAnsi="Arial" w:cs="Arial"/>
          <w:sz w:val="22"/>
          <w:szCs w:val="22"/>
        </w:rPr>
        <w:t xml:space="preserve">Con </w:t>
      </w:r>
      <w:r>
        <w:rPr>
          <w:rFonts w:ascii="Arial" w:hAnsi="Arial" w:cs="Arial"/>
          <w:sz w:val="22"/>
          <w:szCs w:val="22"/>
        </w:rPr>
        <w:t xml:space="preserve">relación al software generado internamente, y dado que el Ministerio de Hacienda y Crédito Público ha vinculado personas naturales para su desarrollo, anualmente se </w:t>
      </w:r>
      <w:r w:rsidR="00AD188F">
        <w:rPr>
          <w:rFonts w:ascii="Arial" w:hAnsi="Arial" w:cs="Arial"/>
          <w:sz w:val="22"/>
          <w:szCs w:val="22"/>
        </w:rPr>
        <w:t>efectuará</w:t>
      </w:r>
      <w:r>
        <w:rPr>
          <w:rFonts w:ascii="Arial" w:hAnsi="Arial" w:cs="Arial"/>
          <w:sz w:val="22"/>
          <w:szCs w:val="22"/>
        </w:rPr>
        <w:t xml:space="preserve"> la distribución de las erogaciones, según la participación del personal en las etapas de investigación o desarrollo, para lo cual se empleará el formato denominado    </w:t>
      </w:r>
      <w:r w:rsidRPr="007C2386">
        <w:rPr>
          <w:rFonts w:ascii="Arial" w:hAnsi="Arial" w:cs="Arial"/>
          <w:i/>
          <w:sz w:val="22"/>
          <w:szCs w:val="22"/>
        </w:rPr>
        <w:t>Apo.3.Man.3.Fr.35 Distribución de erogaciones realizadas a contratistas vinculados al desarrollo de activos intangibles generados internamente</w:t>
      </w:r>
      <w:r>
        <w:rPr>
          <w:rFonts w:ascii="Arial" w:hAnsi="Arial" w:cs="Arial"/>
          <w:i/>
          <w:sz w:val="22"/>
          <w:szCs w:val="22"/>
        </w:rPr>
        <w:t>.</w:t>
      </w:r>
    </w:p>
    <w:p w14:paraId="0B5C04FF" w14:textId="77777777" w:rsidR="00532830" w:rsidRPr="008A625C" w:rsidRDefault="00532830" w:rsidP="00CA76B9">
      <w:pPr>
        <w:pStyle w:val="Prrafodelista"/>
        <w:spacing w:line="288" w:lineRule="auto"/>
        <w:ind w:left="0"/>
        <w:rPr>
          <w:rFonts w:ascii="Arial" w:hAnsi="Arial" w:cs="Arial"/>
          <w:b/>
          <w:sz w:val="22"/>
          <w:szCs w:val="22"/>
        </w:rPr>
      </w:pPr>
    </w:p>
    <w:p w14:paraId="10B657CD" w14:textId="5D1A1DB3" w:rsidR="00E41BEC" w:rsidRPr="008A625C" w:rsidRDefault="00E41BEC" w:rsidP="00CA76B9">
      <w:pPr>
        <w:pStyle w:val="Ttulo3"/>
        <w:numPr>
          <w:ilvl w:val="2"/>
          <w:numId w:val="1"/>
        </w:numPr>
        <w:spacing w:line="288" w:lineRule="auto"/>
        <w:rPr>
          <w:rFonts w:ascii="Arial" w:hAnsi="Arial" w:cs="Arial"/>
          <w:b/>
          <w:sz w:val="22"/>
          <w:szCs w:val="22"/>
          <w:lang w:val="es-ES_tradnl"/>
        </w:rPr>
      </w:pPr>
      <w:bookmarkStart w:id="280" w:name="_Toc520127332"/>
      <w:bookmarkStart w:id="281" w:name="_Toc529890423"/>
      <w:bookmarkStart w:id="282" w:name="_Toc59377871"/>
      <w:r w:rsidRPr="008A625C">
        <w:rPr>
          <w:rFonts w:ascii="Arial" w:hAnsi="Arial" w:cs="Arial"/>
          <w:b/>
          <w:sz w:val="22"/>
          <w:szCs w:val="22"/>
          <w:lang w:val="es-ES_tradnl"/>
        </w:rPr>
        <w:t>Anticipos y bienes y servicios pagados por anticipado</w:t>
      </w:r>
      <w:bookmarkEnd w:id="280"/>
      <w:bookmarkEnd w:id="281"/>
      <w:bookmarkEnd w:id="282"/>
    </w:p>
    <w:p w14:paraId="213335A2" w14:textId="77777777" w:rsidR="00A25AC3" w:rsidRPr="008A625C" w:rsidRDefault="00A25AC3" w:rsidP="00CA76B9">
      <w:pPr>
        <w:spacing w:line="288" w:lineRule="auto"/>
        <w:ind w:left="720"/>
        <w:rPr>
          <w:b/>
          <w:lang w:val="es-ES_tradnl"/>
        </w:rPr>
      </w:pPr>
    </w:p>
    <w:p w14:paraId="00E5042C" w14:textId="67B61533" w:rsidR="00B70BB0" w:rsidRDefault="00B70BB0"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anticipos y bienes y servicios pagados por anticipado:</w:t>
      </w:r>
    </w:p>
    <w:p w14:paraId="046E3291" w14:textId="0BB86420" w:rsidR="00B70BB0" w:rsidRDefault="00B70BB0" w:rsidP="007C2386">
      <w:pPr>
        <w:rPr>
          <w:lang w:val="es-ES_tradnl"/>
        </w:rPr>
      </w:pPr>
    </w:p>
    <w:tbl>
      <w:tblPr>
        <w:tblW w:w="0" w:type="auto"/>
        <w:jc w:val="center"/>
        <w:tblBorders>
          <w:bottom w:val="single" w:sz="12" w:space="0" w:color="000000"/>
        </w:tblBorders>
        <w:tblLook w:val="0420" w:firstRow="1" w:lastRow="0" w:firstColumn="0" w:lastColumn="0" w:noHBand="0" w:noVBand="1"/>
      </w:tblPr>
      <w:tblGrid>
        <w:gridCol w:w="2589"/>
        <w:gridCol w:w="6251"/>
      </w:tblGrid>
      <w:tr w:rsidR="007720C9" w:rsidRPr="001A68E7" w14:paraId="3C3593A4" w14:textId="77777777" w:rsidTr="00BF4014">
        <w:trPr>
          <w:tblHeader/>
          <w:jc w:val="center"/>
        </w:trPr>
        <w:tc>
          <w:tcPr>
            <w:tcW w:w="2589" w:type="dxa"/>
            <w:tcBorders>
              <w:bottom w:val="single" w:sz="12" w:space="0" w:color="3366CC"/>
            </w:tcBorders>
            <w:shd w:val="clear" w:color="2F5395" w:fill="3366CC"/>
            <w:vAlign w:val="center"/>
          </w:tcPr>
          <w:p w14:paraId="2B80C06D" w14:textId="77777777" w:rsidR="007720C9" w:rsidRPr="001A68E7" w:rsidRDefault="007720C9"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251" w:type="dxa"/>
            <w:tcBorders>
              <w:bottom w:val="single" w:sz="12" w:space="0" w:color="3366CC"/>
            </w:tcBorders>
            <w:shd w:val="clear" w:color="2F5395" w:fill="3366CC"/>
            <w:vAlign w:val="center"/>
          </w:tcPr>
          <w:p w14:paraId="0562D943" w14:textId="77777777" w:rsidR="007720C9" w:rsidRPr="001A68E7" w:rsidRDefault="007720C9"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7720C9" w:rsidRPr="001A68E7" w14:paraId="5076D3E9" w14:textId="77777777" w:rsidTr="00BF4014">
        <w:trPr>
          <w:jc w:val="center"/>
        </w:trPr>
        <w:tc>
          <w:tcPr>
            <w:tcW w:w="2589" w:type="dxa"/>
            <w:tcBorders>
              <w:top w:val="single" w:sz="12" w:space="0" w:color="3366CC"/>
              <w:bottom w:val="single" w:sz="12" w:space="0" w:color="3366CC"/>
            </w:tcBorders>
            <w:shd w:val="pct20" w:color="FFFFFF" w:fill="FFFFFF"/>
            <w:vAlign w:val="center"/>
          </w:tcPr>
          <w:p w14:paraId="6E6DCC2C" w14:textId="77777777" w:rsidR="007720C9" w:rsidRPr="001A68E7" w:rsidRDefault="007720C9" w:rsidP="00B26C22">
            <w:pPr>
              <w:spacing w:line="288" w:lineRule="auto"/>
              <w:jc w:val="center"/>
              <w:rPr>
                <w:rFonts w:ascii="Arial" w:hAnsi="Arial" w:cs="Arial"/>
                <w:bCs/>
                <w:kern w:val="32"/>
                <w:sz w:val="18"/>
                <w:szCs w:val="18"/>
                <w:lang w:val="es-ES_tradnl"/>
              </w:rPr>
            </w:pPr>
            <w:r w:rsidRPr="001A68E7">
              <w:rPr>
                <w:rFonts w:ascii="Arial" w:hAnsi="Arial" w:cs="Arial"/>
                <w:sz w:val="18"/>
                <w:szCs w:val="18"/>
                <w:lang w:val="es-ES_tradnl" w:eastAsia="es-CO"/>
              </w:rPr>
              <w:t xml:space="preserve">Área o áreas involucradas en el suministro de información  </w:t>
            </w:r>
          </w:p>
        </w:tc>
        <w:tc>
          <w:tcPr>
            <w:tcW w:w="6251" w:type="dxa"/>
            <w:tcBorders>
              <w:top w:val="single" w:sz="12" w:space="0" w:color="3366CC"/>
              <w:bottom w:val="single" w:sz="12" w:space="0" w:color="3366CC"/>
            </w:tcBorders>
            <w:shd w:val="pct20" w:color="FFFFFF" w:fill="FFFFFF"/>
            <w:vAlign w:val="center"/>
          </w:tcPr>
          <w:p w14:paraId="053EACC6" w14:textId="77777777" w:rsidR="007720C9" w:rsidRPr="001A68E7" w:rsidRDefault="007720C9"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anticipos y bienes y servicios pagados por anticipado del Ministerio de Hacienda y Crédito Público – Gestión General. </w:t>
            </w:r>
          </w:p>
        </w:tc>
      </w:tr>
      <w:tr w:rsidR="00BF4014" w:rsidRPr="001A68E7" w14:paraId="30D1706E" w14:textId="77777777" w:rsidTr="00BF4014">
        <w:trPr>
          <w:jc w:val="center"/>
        </w:trPr>
        <w:tc>
          <w:tcPr>
            <w:tcW w:w="2589" w:type="dxa"/>
            <w:tcBorders>
              <w:top w:val="single" w:sz="12" w:space="0" w:color="3366CC"/>
              <w:bottom w:val="single" w:sz="12" w:space="0" w:color="3366CC"/>
            </w:tcBorders>
            <w:shd w:val="pct20" w:color="FFFFFF" w:fill="FFFFFF"/>
            <w:vAlign w:val="center"/>
          </w:tcPr>
          <w:p w14:paraId="79AC8362" w14:textId="56043B00" w:rsidR="00BF4014" w:rsidRPr="00310C95" w:rsidRDefault="00BF4014" w:rsidP="00BF4014">
            <w:pPr>
              <w:spacing w:line="288" w:lineRule="auto"/>
              <w:jc w:val="center"/>
              <w:rPr>
                <w:rFonts w:ascii="Arial" w:hAnsi="Arial" w:cs="Arial"/>
                <w:bCs/>
                <w:kern w:val="32"/>
                <w:sz w:val="18"/>
                <w:szCs w:val="18"/>
                <w:lang w:val="es-ES_tradnl"/>
              </w:rPr>
            </w:pPr>
            <w:r>
              <w:rPr>
                <w:rFonts w:ascii="Arial" w:hAnsi="Arial" w:cs="Arial"/>
                <w:bCs/>
                <w:kern w:val="32"/>
                <w:sz w:val="18"/>
                <w:szCs w:val="18"/>
                <w:lang w:val="es-ES_tradnl"/>
              </w:rPr>
              <w:t>Subdirección de Gestión del Talento Humano</w:t>
            </w:r>
          </w:p>
        </w:tc>
        <w:tc>
          <w:tcPr>
            <w:tcW w:w="6251" w:type="dxa"/>
            <w:tcBorders>
              <w:top w:val="single" w:sz="12" w:space="0" w:color="3366CC"/>
              <w:bottom w:val="single" w:sz="12" w:space="0" w:color="3366CC"/>
            </w:tcBorders>
            <w:shd w:val="pct20" w:color="FFFFFF" w:fill="FFFFFF"/>
            <w:vAlign w:val="center"/>
          </w:tcPr>
          <w:p w14:paraId="6A393C76" w14:textId="06762031" w:rsidR="00BF4014" w:rsidRPr="00310C95" w:rsidRDefault="00BF4014" w:rsidP="00343ECE">
            <w:pPr>
              <w:numPr>
                <w:ilvl w:val="0"/>
                <w:numId w:val="32"/>
              </w:numPr>
              <w:spacing w:line="288" w:lineRule="auto"/>
              <w:jc w:val="both"/>
              <w:rPr>
                <w:rFonts w:ascii="Arial" w:hAnsi="Arial" w:cs="Arial"/>
                <w:sz w:val="18"/>
                <w:szCs w:val="18"/>
                <w:lang w:val="es-ES_tradnl" w:eastAsia="es-CO"/>
              </w:rPr>
            </w:pPr>
            <w:r w:rsidRPr="00C23C64">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C23C64">
              <w:rPr>
                <w:rFonts w:ascii="Arial" w:hAnsi="Arial" w:cs="Arial"/>
                <w:sz w:val="18"/>
                <w:szCs w:val="18"/>
                <w:lang w:val="es-ES_tradnl" w:eastAsia="es-CO"/>
              </w:rPr>
              <w:t>y revelación de los bienes y servicios pagados por anticipado del Ministerio de Hacienda y Crédito Público – Gestión General</w:t>
            </w:r>
            <w:r>
              <w:rPr>
                <w:rFonts w:ascii="Arial" w:hAnsi="Arial" w:cs="Arial"/>
                <w:sz w:val="18"/>
                <w:szCs w:val="18"/>
                <w:lang w:val="es-ES_tradnl" w:eastAsia="es-CO"/>
              </w:rPr>
              <w:t>, generados con ocasión de la suscripción de convenios con el ICETEX.</w:t>
            </w:r>
          </w:p>
        </w:tc>
      </w:tr>
      <w:tr w:rsidR="007720C9" w:rsidRPr="001A68E7" w14:paraId="65EC363B" w14:textId="77777777" w:rsidTr="00BF4014">
        <w:trPr>
          <w:jc w:val="center"/>
        </w:trPr>
        <w:tc>
          <w:tcPr>
            <w:tcW w:w="2589" w:type="dxa"/>
            <w:tcBorders>
              <w:top w:val="single" w:sz="12" w:space="0" w:color="3366CC"/>
              <w:bottom w:val="single" w:sz="12" w:space="0" w:color="3366CC"/>
            </w:tcBorders>
            <w:shd w:val="pct20" w:color="FFFFFF" w:fill="FFFFFF"/>
            <w:vAlign w:val="center"/>
          </w:tcPr>
          <w:p w14:paraId="6DD30593" w14:textId="77777777" w:rsidR="007720C9" w:rsidRPr="001A68E7" w:rsidRDefault="007720C9" w:rsidP="00B26C22">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t>Subdirección de Servicios</w:t>
            </w:r>
          </w:p>
        </w:tc>
        <w:tc>
          <w:tcPr>
            <w:tcW w:w="6251" w:type="dxa"/>
            <w:tcBorders>
              <w:top w:val="single" w:sz="12" w:space="0" w:color="3366CC"/>
              <w:bottom w:val="single" w:sz="12" w:space="0" w:color="3366CC"/>
            </w:tcBorders>
            <w:shd w:val="pct20" w:color="FFFFFF" w:fill="FFFFFF"/>
            <w:vAlign w:val="center"/>
          </w:tcPr>
          <w:p w14:paraId="5389BB88" w14:textId="77777777" w:rsidR="007720C9" w:rsidRPr="001A68E7" w:rsidRDefault="007720C9"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las pólizas de seguros y los conceptos reconocidos por las correspondientes aseguradoras, tales como indemnizaciones, bonos de buena experiencia por baja siniestralidad, etc. </w:t>
            </w:r>
          </w:p>
        </w:tc>
      </w:tr>
      <w:tr w:rsidR="007720C9" w:rsidRPr="001A68E7" w14:paraId="2A6A6746" w14:textId="77777777" w:rsidTr="00BF4014">
        <w:trPr>
          <w:jc w:val="center"/>
        </w:trPr>
        <w:tc>
          <w:tcPr>
            <w:tcW w:w="2589" w:type="dxa"/>
            <w:tcBorders>
              <w:top w:val="single" w:sz="12" w:space="0" w:color="3366CC"/>
              <w:bottom w:val="single" w:sz="12" w:space="0" w:color="3366CC"/>
            </w:tcBorders>
            <w:shd w:val="pct20" w:color="FFFFFF" w:fill="FFFFFF"/>
            <w:vAlign w:val="center"/>
          </w:tcPr>
          <w:p w14:paraId="31E96FDE" w14:textId="77777777" w:rsidR="007720C9" w:rsidRPr="001A68E7" w:rsidRDefault="007720C9" w:rsidP="00B26C22">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251" w:type="dxa"/>
            <w:tcBorders>
              <w:top w:val="single" w:sz="12" w:space="0" w:color="3366CC"/>
              <w:bottom w:val="single" w:sz="12" w:space="0" w:color="3366CC"/>
            </w:tcBorders>
            <w:shd w:val="pct20" w:color="FFFFFF" w:fill="FFFFFF"/>
            <w:vAlign w:val="center"/>
          </w:tcPr>
          <w:p w14:paraId="637569D8" w14:textId="77777777" w:rsidR="007720C9" w:rsidRPr="001A68E7" w:rsidRDefault="007720C9"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Recibir la información que permita el </w:t>
            </w:r>
            <w:r>
              <w:rPr>
                <w:rFonts w:ascii="Arial" w:hAnsi="Arial" w:cs="Arial"/>
                <w:sz w:val="18"/>
                <w:szCs w:val="18"/>
                <w:lang w:val="es-ES_tradnl" w:eastAsia="es-CO"/>
              </w:rPr>
              <w:t>r</w:t>
            </w:r>
            <w:r w:rsidRPr="001A68E7">
              <w:rPr>
                <w:rFonts w:ascii="Arial" w:hAnsi="Arial" w:cs="Arial"/>
                <w:sz w:val="18"/>
                <w:szCs w:val="18"/>
                <w:lang w:val="es-ES_tradnl" w:eastAsia="es-CO"/>
              </w:rPr>
              <w:t>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en los Estados Financieros del Ministerio de Hacienda y Crédito Público – </w:t>
            </w:r>
            <w:r w:rsidRPr="001A68E7">
              <w:rPr>
                <w:rFonts w:ascii="Arial" w:hAnsi="Arial" w:cs="Arial"/>
                <w:sz w:val="18"/>
                <w:szCs w:val="18"/>
                <w:lang w:val="es-ES_tradnl" w:eastAsia="es-CO"/>
              </w:rPr>
              <w:lastRenderedPageBreak/>
              <w:t xml:space="preserve">Gestión General, de los anticipos y bienes y servicios pagados por anticipado de la Entidad </w:t>
            </w:r>
          </w:p>
        </w:tc>
      </w:tr>
    </w:tbl>
    <w:p w14:paraId="3BE5DA68" w14:textId="77777777" w:rsidR="007720C9" w:rsidRPr="007C2386" w:rsidRDefault="007720C9" w:rsidP="007C2386">
      <w:pPr>
        <w:rPr>
          <w:rFonts w:ascii="Arial" w:hAnsi="Arial" w:cs="Arial"/>
          <w:sz w:val="22"/>
          <w:szCs w:val="22"/>
          <w:lang w:val="es-ES_tradnl" w:eastAsia="es-CO"/>
        </w:rPr>
      </w:pPr>
    </w:p>
    <w:p w14:paraId="33A69A4C" w14:textId="51BC1AFE" w:rsidR="00B70BB0" w:rsidRPr="007C2386" w:rsidRDefault="00C05473"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w:t>
      </w:r>
      <w:r w:rsidR="00406658">
        <w:rPr>
          <w:rFonts w:ascii="Arial" w:hAnsi="Arial" w:cs="Arial"/>
          <w:sz w:val="22"/>
          <w:szCs w:val="22"/>
          <w:lang w:val="es-ES_tradnl" w:eastAsia="es-CO"/>
        </w:rPr>
        <w:t xml:space="preserve">y según se presenten las </w:t>
      </w:r>
      <w:r w:rsidR="00D43BDC">
        <w:rPr>
          <w:rFonts w:ascii="Arial" w:hAnsi="Arial" w:cs="Arial"/>
          <w:sz w:val="22"/>
          <w:szCs w:val="22"/>
          <w:lang w:val="es-ES_tradnl" w:eastAsia="es-CO"/>
        </w:rPr>
        <w:t>operaciones, las</w:t>
      </w:r>
      <w:r>
        <w:rPr>
          <w:rFonts w:ascii="Arial" w:hAnsi="Arial" w:cs="Arial"/>
          <w:sz w:val="22"/>
          <w:szCs w:val="22"/>
          <w:lang w:val="es-ES_tradnl" w:eastAsia="es-CO"/>
        </w:rPr>
        <w:t xml:space="preserve"> áreas correspondientes deben enviar la información al Grupo de Contabilidad</w:t>
      </w:r>
      <w:r w:rsidR="00D43BDC">
        <w:rPr>
          <w:rFonts w:ascii="Arial" w:hAnsi="Arial" w:cs="Arial"/>
          <w:sz w:val="22"/>
          <w:szCs w:val="22"/>
          <w:lang w:val="es-ES_tradnl" w:eastAsia="es-CO"/>
        </w:rPr>
        <w:t xml:space="preserve"> para su reconocimiento, medición y revelación</w:t>
      </w:r>
      <w:r>
        <w:rPr>
          <w:rFonts w:ascii="Arial" w:hAnsi="Arial" w:cs="Arial"/>
          <w:sz w:val="22"/>
          <w:szCs w:val="22"/>
          <w:lang w:val="es-ES_tradnl" w:eastAsia="es-CO"/>
        </w:rPr>
        <w:t xml:space="preserve">.   </w:t>
      </w:r>
    </w:p>
    <w:p w14:paraId="6B5A4EE6" w14:textId="4DFDA220" w:rsidR="00C05473" w:rsidRPr="008A625C" w:rsidRDefault="00C05473" w:rsidP="00CA76B9">
      <w:pPr>
        <w:spacing w:line="288" w:lineRule="auto"/>
        <w:rPr>
          <w:b/>
          <w:lang w:val="es-ES_tradnl"/>
        </w:rPr>
      </w:pPr>
    </w:p>
    <w:p w14:paraId="3B93C55D" w14:textId="23682C47" w:rsidR="00F511B3" w:rsidRDefault="00F511B3" w:rsidP="00CA76B9">
      <w:pPr>
        <w:pStyle w:val="Ttulo3"/>
        <w:numPr>
          <w:ilvl w:val="2"/>
          <w:numId w:val="1"/>
        </w:numPr>
        <w:spacing w:line="288" w:lineRule="auto"/>
        <w:rPr>
          <w:rFonts w:ascii="Arial" w:hAnsi="Arial" w:cs="Arial"/>
          <w:b/>
          <w:sz w:val="22"/>
          <w:szCs w:val="22"/>
          <w:lang w:val="es-ES_tradnl"/>
        </w:rPr>
      </w:pPr>
      <w:bookmarkStart w:id="283" w:name="_Toc529890433"/>
      <w:bookmarkStart w:id="284" w:name="_Toc59377872"/>
      <w:r w:rsidRPr="008A625C">
        <w:rPr>
          <w:rFonts w:ascii="Arial" w:hAnsi="Arial" w:cs="Arial"/>
          <w:b/>
          <w:sz w:val="22"/>
          <w:szCs w:val="22"/>
          <w:lang w:val="es-ES_tradnl"/>
        </w:rPr>
        <w:t>Recursos entregados en administración y derechos en fideicomiso</w:t>
      </w:r>
      <w:bookmarkEnd w:id="283"/>
      <w:bookmarkEnd w:id="284"/>
      <w:r w:rsidRPr="008A625C">
        <w:rPr>
          <w:rFonts w:ascii="Arial" w:hAnsi="Arial" w:cs="Arial"/>
          <w:b/>
          <w:sz w:val="22"/>
          <w:szCs w:val="22"/>
          <w:lang w:val="es-ES_tradnl"/>
        </w:rPr>
        <w:t xml:space="preserve"> </w:t>
      </w:r>
    </w:p>
    <w:p w14:paraId="2F075468" w14:textId="77777777" w:rsidR="00F511B3" w:rsidRDefault="00F511B3" w:rsidP="00CA76B9">
      <w:pPr>
        <w:spacing w:line="288" w:lineRule="auto"/>
        <w:rPr>
          <w:lang w:val="es-ES_tradnl"/>
        </w:rPr>
      </w:pPr>
    </w:p>
    <w:p w14:paraId="4E8D1F23" w14:textId="6753113C" w:rsidR="00BF4014" w:rsidRPr="00C11413" w:rsidRDefault="00F511B3" w:rsidP="00CA76B9">
      <w:pPr>
        <w:pStyle w:val="Prrafodelista"/>
        <w:spacing w:line="288" w:lineRule="auto"/>
        <w:ind w:left="0"/>
        <w:jc w:val="both"/>
        <w:rPr>
          <w:rFonts w:ascii="Arial" w:hAnsi="Arial" w:cs="Arial"/>
          <w:i/>
          <w:sz w:val="22"/>
          <w:szCs w:val="22"/>
          <w:lang w:val="es-ES_tradnl"/>
        </w:rPr>
      </w:pPr>
      <w:r>
        <w:rPr>
          <w:rFonts w:ascii="Arial" w:hAnsi="Arial" w:cs="Arial"/>
          <w:sz w:val="22"/>
          <w:szCs w:val="22"/>
          <w:lang w:val="es-ES_tradnl"/>
        </w:rPr>
        <w:t xml:space="preserve">De acuerdo con lo señalado en el Manual de Políticas Contables, </w:t>
      </w:r>
      <w:bookmarkStart w:id="285" w:name="_Hlk57122617"/>
      <w:r w:rsidR="00BF4014">
        <w:rPr>
          <w:rFonts w:ascii="Arial" w:hAnsi="Arial" w:cs="Arial"/>
          <w:sz w:val="22"/>
          <w:szCs w:val="22"/>
          <w:lang w:val="es-ES_tradnl"/>
        </w:rPr>
        <w:t>los recursos entregados en administración o en fideicomiso por parte del Ministerio de Hacienda y Crédito Público se registrarán de conformidad con lo establecido por la Contaduría General de la Nación en el “</w:t>
      </w:r>
      <w:r w:rsidR="00BF4014" w:rsidRPr="00864367">
        <w:rPr>
          <w:rFonts w:ascii="Arial" w:hAnsi="Arial" w:cs="Arial"/>
          <w:b/>
          <w:bCs/>
          <w:i/>
          <w:iCs/>
          <w:sz w:val="22"/>
          <w:szCs w:val="22"/>
          <w:lang w:val="es-ES_tradnl"/>
        </w:rPr>
        <w:t>Procedimiento contable para el registro de los recursos entregados en administración del Marco Normativo para Entidades de Gobierno</w:t>
      </w:r>
      <w:r w:rsidR="00BF4014">
        <w:rPr>
          <w:rFonts w:ascii="Arial" w:hAnsi="Arial" w:cs="Arial"/>
          <w:b/>
          <w:bCs/>
          <w:i/>
          <w:iCs/>
          <w:sz w:val="22"/>
          <w:szCs w:val="22"/>
          <w:lang w:val="es-ES_tradnl"/>
        </w:rPr>
        <w:t>”</w:t>
      </w:r>
      <w:r w:rsidR="00BF4014">
        <w:rPr>
          <w:rFonts w:ascii="Arial" w:hAnsi="Arial" w:cs="Arial"/>
          <w:sz w:val="22"/>
          <w:szCs w:val="22"/>
          <w:lang w:val="es-ES_tradnl"/>
        </w:rPr>
        <w:t xml:space="preserve">. </w:t>
      </w:r>
    </w:p>
    <w:bookmarkEnd w:id="285"/>
    <w:p w14:paraId="16417919" w14:textId="7F560088" w:rsidR="00F511B3" w:rsidRDefault="00F511B3" w:rsidP="00CA76B9">
      <w:pPr>
        <w:spacing w:line="288" w:lineRule="auto"/>
        <w:rPr>
          <w:lang w:val="es-ES_tradnl"/>
        </w:rPr>
      </w:pPr>
    </w:p>
    <w:p w14:paraId="278021D0" w14:textId="619EE7CD" w:rsidR="007F5D1F" w:rsidRPr="007C2386" w:rsidRDefault="007F5D1F" w:rsidP="00CA76B9">
      <w:pPr>
        <w:spacing w:line="288" w:lineRule="auto"/>
        <w:jc w:val="both"/>
        <w:rPr>
          <w:rFonts w:ascii="Arial" w:hAnsi="Arial" w:cs="Arial"/>
          <w:sz w:val="22"/>
          <w:szCs w:val="22"/>
          <w:lang w:val="es-ES_tradnl"/>
        </w:rPr>
      </w:pPr>
      <w:r w:rsidRPr="007F5D1F">
        <w:rPr>
          <w:rFonts w:ascii="Arial" w:hAnsi="Arial" w:cs="Arial"/>
          <w:sz w:val="22"/>
          <w:szCs w:val="22"/>
          <w:lang w:val="es-ES_tradnl"/>
        </w:rPr>
        <w:t>Para</w:t>
      </w:r>
      <w:r>
        <w:rPr>
          <w:rFonts w:ascii="Arial" w:hAnsi="Arial" w:cs="Arial"/>
          <w:sz w:val="22"/>
          <w:szCs w:val="22"/>
          <w:lang w:val="es-ES_tradnl"/>
        </w:rPr>
        <w:t xml:space="preserve"> el suministro de la información, las Subdirecciones de Operaciones y </w:t>
      </w:r>
      <w:r w:rsidR="00BF4014">
        <w:rPr>
          <w:rFonts w:ascii="Arial" w:hAnsi="Arial" w:cs="Arial"/>
          <w:sz w:val="22"/>
          <w:szCs w:val="22"/>
          <w:lang w:val="es-ES_tradnl"/>
        </w:rPr>
        <w:t>F</w:t>
      </w:r>
      <w:r>
        <w:rPr>
          <w:rFonts w:ascii="Arial" w:hAnsi="Arial" w:cs="Arial"/>
          <w:sz w:val="22"/>
          <w:szCs w:val="22"/>
          <w:lang w:val="es-ES_tradnl"/>
        </w:rPr>
        <w:t xml:space="preserve">inanciera </w:t>
      </w:r>
      <w:r w:rsidR="00BF4014">
        <w:rPr>
          <w:rFonts w:ascii="Arial" w:hAnsi="Arial" w:cs="Arial"/>
          <w:sz w:val="22"/>
          <w:szCs w:val="22"/>
          <w:lang w:val="es-ES_tradnl"/>
        </w:rPr>
        <w:t xml:space="preserve">del Ministerio de Hacienda y Crédito Público </w:t>
      </w:r>
      <w:r>
        <w:rPr>
          <w:rFonts w:ascii="Arial" w:hAnsi="Arial" w:cs="Arial"/>
          <w:sz w:val="22"/>
          <w:szCs w:val="22"/>
          <w:lang w:val="es-ES_tradnl"/>
        </w:rPr>
        <w:t xml:space="preserve">suscribieron el </w:t>
      </w:r>
      <w:r w:rsidR="0084393E">
        <w:rPr>
          <w:rFonts w:ascii="Arial" w:hAnsi="Arial" w:cs="Arial"/>
          <w:sz w:val="22"/>
          <w:szCs w:val="22"/>
          <w:lang w:val="es-ES_tradnl"/>
        </w:rPr>
        <w:t>“</w:t>
      </w:r>
      <w:r w:rsidRPr="007C2386">
        <w:rPr>
          <w:rFonts w:ascii="Arial" w:hAnsi="Arial" w:cs="Arial"/>
          <w:i/>
          <w:sz w:val="22"/>
          <w:szCs w:val="22"/>
          <w:lang w:val="es-ES_tradnl"/>
        </w:rPr>
        <w:t>Acuerdo de servicio Mis. 3.5_Apo.3.0 As071</w:t>
      </w:r>
      <w:r w:rsidR="0084393E">
        <w:rPr>
          <w:rFonts w:ascii="Arial" w:hAnsi="Arial" w:cs="Arial"/>
          <w:i/>
          <w:sz w:val="22"/>
          <w:szCs w:val="22"/>
          <w:lang w:val="es-ES_tradnl"/>
        </w:rPr>
        <w:t>”</w:t>
      </w:r>
      <w:r w:rsidRPr="007C2386">
        <w:rPr>
          <w:rFonts w:ascii="Arial" w:hAnsi="Arial" w:cs="Arial"/>
          <w:sz w:val="22"/>
          <w:szCs w:val="22"/>
          <w:lang w:val="es-ES_tradnl"/>
        </w:rPr>
        <w:t xml:space="preserve">, mediante el cual se define el envío </w:t>
      </w:r>
      <w:r w:rsidR="00EC2CB4">
        <w:rPr>
          <w:rFonts w:ascii="Arial" w:hAnsi="Arial" w:cs="Arial"/>
          <w:sz w:val="22"/>
          <w:szCs w:val="22"/>
          <w:lang w:val="es-ES_tradnl"/>
        </w:rPr>
        <w:t xml:space="preserve">al Grupo de Contabilidad </w:t>
      </w:r>
      <w:r w:rsidRPr="007C2386">
        <w:rPr>
          <w:rFonts w:ascii="Arial" w:hAnsi="Arial" w:cs="Arial"/>
          <w:sz w:val="22"/>
          <w:szCs w:val="22"/>
          <w:lang w:val="es-ES_tradnl"/>
        </w:rPr>
        <w:t>de información relativa a los movimientos de los fondos administrados por la Dirección General de Crédito Público y del Tesoro Nacional (DGCPTN), al Ministerio de Hacienda y Crédito Público (MHCP)</w:t>
      </w:r>
      <w:r w:rsidR="00BF4014">
        <w:rPr>
          <w:rFonts w:ascii="Arial" w:hAnsi="Arial" w:cs="Arial"/>
          <w:sz w:val="22"/>
          <w:szCs w:val="22"/>
          <w:lang w:val="es-ES_tradnl"/>
        </w:rPr>
        <w:t xml:space="preserve"> – Gestión General</w:t>
      </w:r>
      <w:r w:rsidR="00687D2D">
        <w:rPr>
          <w:rFonts w:ascii="Arial" w:hAnsi="Arial" w:cs="Arial"/>
          <w:sz w:val="22"/>
          <w:szCs w:val="22"/>
          <w:lang w:val="es-ES_tradnl"/>
        </w:rPr>
        <w:t>.</w:t>
      </w:r>
    </w:p>
    <w:p w14:paraId="69DD2DE2" w14:textId="6C80722E" w:rsidR="00F511B3" w:rsidRPr="008A625C" w:rsidRDefault="007F5D1F" w:rsidP="00CA76B9">
      <w:pPr>
        <w:spacing w:line="288" w:lineRule="auto"/>
        <w:rPr>
          <w:b/>
          <w:lang w:val="es-ES_tradnl"/>
        </w:rPr>
      </w:pPr>
      <w:r w:rsidRPr="008A625C">
        <w:rPr>
          <w:rFonts w:ascii="Arial" w:hAnsi="Arial" w:cs="Arial"/>
          <w:b/>
          <w:sz w:val="22"/>
          <w:szCs w:val="22"/>
          <w:lang w:val="es-ES_tradnl"/>
        </w:rPr>
        <w:t xml:space="preserve"> </w:t>
      </w:r>
    </w:p>
    <w:p w14:paraId="5C7F8908" w14:textId="14FD592E" w:rsidR="00E41BEC" w:rsidRPr="008A625C" w:rsidRDefault="00E41BEC" w:rsidP="00CA76B9">
      <w:pPr>
        <w:pStyle w:val="Ttulo3"/>
        <w:numPr>
          <w:ilvl w:val="2"/>
          <w:numId w:val="1"/>
        </w:numPr>
        <w:spacing w:line="288" w:lineRule="auto"/>
        <w:rPr>
          <w:rFonts w:ascii="Arial" w:hAnsi="Arial" w:cs="Arial"/>
          <w:b/>
          <w:sz w:val="22"/>
          <w:szCs w:val="22"/>
          <w:lang w:val="es-ES_tradnl"/>
        </w:rPr>
      </w:pPr>
      <w:bookmarkStart w:id="286" w:name="_Toc529890434"/>
      <w:bookmarkStart w:id="287" w:name="_Toc59377873"/>
      <w:r w:rsidRPr="008A625C">
        <w:rPr>
          <w:rFonts w:ascii="Arial" w:hAnsi="Arial" w:cs="Arial"/>
          <w:b/>
          <w:sz w:val="22"/>
          <w:szCs w:val="22"/>
          <w:lang w:val="es-ES_tradnl"/>
        </w:rPr>
        <w:t>Deterioro de Valor de los activos Generadores de Efectivo</w:t>
      </w:r>
      <w:bookmarkEnd w:id="286"/>
      <w:bookmarkEnd w:id="287"/>
    </w:p>
    <w:p w14:paraId="141BF84C" w14:textId="65EE2199" w:rsidR="00AA7C1F" w:rsidRDefault="00AA7C1F" w:rsidP="00CA76B9">
      <w:pPr>
        <w:spacing w:line="288" w:lineRule="auto"/>
        <w:rPr>
          <w:lang w:val="es-ES_tradnl"/>
        </w:rPr>
      </w:pPr>
    </w:p>
    <w:p w14:paraId="42756002" w14:textId="7815EE17" w:rsidR="00B70BB0" w:rsidRDefault="00B70BB0"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deterioro de valor de los activos generadores de efectivo:</w:t>
      </w:r>
    </w:p>
    <w:p w14:paraId="7C5BD84C" w14:textId="2AC23778" w:rsidR="007720C9" w:rsidRDefault="007720C9" w:rsidP="00B70BB0">
      <w:pPr>
        <w:spacing w:line="288" w:lineRule="auto"/>
        <w:jc w:val="both"/>
        <w:rPr>
          <w:rFonts w:ascii="Arial" w:hAnsi="Arial" w:cs="Arial"/>
          <w:sz w:val="22"/>
          <w:szCs w:val="22"/>
          <w:lang w:val="es-ES_tradnl" w:eastAsia="es-CO"/>
        </w:rPr>
      </w:pPr>
    </w:p>
    <w:tbl>
      <w:tblPr>
        <w:tblW w:w="0" w:type="auto"/>
        <w:jc w:val="center"/>
        <w:tblBorders>
          <w:bottom w:val="single" w:sz="12" w:space="0" w:color="000000"/>
        </w:tblBorders>
        <w:tblLook w:val="0420" w:firstRow="1" w:lastRow="0" w:firstColumn="0" w:lastColumn="0" w:noHBand="0" w:noVBand="1"/>
      </w:tblPr>
      <w:tblGrid>
        <w:gridCol w:w="1763"/>
        <w:gridCol w:w="7077"/>
      </w:tblGrid>
      <w:tr w:rsidR="00B82A52" w:rsidRPr="001A68E7" w14:paraId="37B04103" w14:textId="77777777" w:rsidTr="0068237E">
        <w:trPr>
          <w:tblHeader/>
          <w:jc w:val="center"/>
        </w:trPr>
        <w:tc>
          <w:tcPr>
            <w:tcW w:w="1771" w:type="dxa"/>
            <w:tcBorders>
              <w:bottom w:val="single" w:sz="12" w:space="0" w:color="3366CC"/>
            </w:tcBorders>
            <w:shd w:val="clear" w:color="2F5395" w:fill="3366CC"/>
            <w:vAlign w:val="center"/>
          </w:tcPr>
          <w:p w14:paraId="3FD9BF42" w14:textId="77777777" w:rsidR="00B82A52" w:rsidRPr="001A68E7" w:rsidRDefault="00B82A52"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7209" w:type="dxa"/>
            <w:tcBorders>
              <w:bottom w:val="single" w:sz="12" w:space="0" w:color="3366CC"/>
            </w:tcBorders>
            <w:shd w:val="clear" w:color="2F5395" w:fill="3366CC"/>
            <w:vAlign w:val="center"/>
          </w:tcPr>
          <w:p w14:paraId="1F8B2251" w14:textId="77777777" w:rsidR="00B82A52" w:rsidRPr="001A68E7" w:rsidRDefault="00B82A52"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B82A52" w:rsidRPr="001A68E7" w14:paraId="13091825" w14:textId="77777777" w:rsidTr="0068237E">
        <w:trPr>
          <w:trHeight w:val="474"/>
          <w:jc w:val="center"/>
        </w:trPr>
        <w:tc>
          <w:tcPr>
            <w:tcW w:w="1771" w:type="dxa"/>
            <w:tcBorders>
              <w:top w:val="single" w:sz="12" w:space="0" w:color="3366CC"/>
              <w:bottom w:val="single" w:sz="12" w:space="0" w:color="3366CC"/>
            </w:tcBorders>
            <w:shd w:val="pct20" w:color="FFFFFF" w:fill="FFFFFF"/>
            <w:vAlign w:val="center"/>
          </w:tcPr>
          <w:p w14:paraId="7FBAE3C8" w14:textId="77777777" w:rsidR="00B82A52" w:rsidRPr="001A68E7" w:rsidRDefault="00B82A52" w:rsidP="0068237E">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t>Dirección de Tecnología</w:t>
            </w:r>
          </w:p>
        </w:tc>
        <w:tc>
          <w:tcPr>
            <w:tcW w:w="7209" w:type="dxa"/>
            <w:tcBorders>
              <w:top w:val="single" w:sz="12" w:space="0" w:color="3366CC"/>
              <w:bottom w:val="single" w:sz="12" w:space="0" w:color="3366CC"/>
            </w:tcBorders>
            <w:shd w:val="pct20" w:color="FFFFFF" w:fill="FFFFFF"/>
            <w:vAlign w:val="center"/>
          </w:tcPr>
          <w:p w14:paraId="3FC16BBD"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Identificar los activos intangibles generadores de efectivo, que serán objeto de análisis de indicios de deterioro y de cálculo de deterioro. </w:t>
            </w:r>
          </w:p>
          <w:p w14:paraId="7A4F03B4"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Realizar las evaluaciones de indicios de deterioro de valor para los activos intangibles generadores de efectivo con vida útil finita, cuando a ello hubiere lugar. </w:t>
            </w:r>
          </w:p>
          <w:p w14:paraId="444E0C9F"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el cálculo de deterioro de valor de los activos intangibles generadores de efectivo con vida útil finita, cuya evaluación haya arrojado indicios de deterioro de valor. Para esto se deberá determinar el valor recuperable, y estimar el valor del deterioro comparando el valor recuperable con el importe en libros del activo.</w:t>
            </w:r>
          </w:p>
          <w:p w14:paraId="01470FE6"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Realizar anualmente el cálculo de deterioro de valor de los activos intangibles generadores de efectivo con vida útil indefinida y de los activos intangibles que aún no estén disponibles para su uso </w:t>
            </w:r>
          </w:p>
          <w:p w14:paraId="1E399FC2"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Informar a</w:t>
            </w:r>
            <w:r>
              <w:rPr>
                <w:rFonts w:ascii="Arial" w:hAnsi="Arial" w:cs="Arial"/>
                <w:sz w:val="18"/>
                <w:szCs w:val="18"/>
                <w:lang w:val="es-ES_tradnl" w:eastAsia="es-CO"/>
              </w:rPr>
              <w:t>l Grupo de Contabilidad</w:t>
            </w:r>
            <w:r w:rsidRPr="001A68E7">
              <w:rPr>
                <w:rFonts w:ascii="Arial" w:hAnsi="Arial" w:cs="Arial"/>
                <w:sz w:val="18"/>
                <w:szCs w:val="18"/>
                <w:lang w:val="es-ES_tradnl" w:eastAsia="es-CO"/>
              </w:rPr>
              <w:t xml:space="preserve">, cuando a ello hubiere lugar, acerca de los activos intangibles generadores de efectivo en los que se evidencia indicios de deterioro, así como de los cálculos efectuados para la determinación del deterioro. </w:t>
            </w:r>
          </w:p>
          <w:p w14:paraId="23B2879B"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lastRenderedPageBreak/>
              <w:t xml:space="preserve">Conservar documentos e informes que sustentan las evaluaciones de existencia de deterioro de los activos generadores de efectivo y </w:t>
            </w:r>
            <w:r>
              <w:rPr>
                <w:rFonts w:ascii="Arial" w:hAnsi="Arial" w:cs="Arial"/>
                <w:sz w:val="18"/>
                <w:szCs w:val="18"/>
                <w:lang w:val="es-ES_tradnl" w:eastAsia="es-CO"/>
              </w:rPr>
              <w:t xml:space="preserve">los </w:t>
            </w:r>
            <w:r w:rsidRPr="001A68E7">
              <w:rPr>
                <w:rFonts w:ascii="Arial" w:hAnsi="Arial" w:cs="Arial"/>
                <w:sz w:val="18"/>
                <w:szCs w:val="18"/>
                <w:lang w:val="es-ES_tradnl" w:eastAsia="es-CO"/>
              </w:rPr>
              <w:t>cálculos realizados.</w:t>
            </w:r>
          </w:p>
        </w:tc>
      </w:tr>
      <w:tr w:rsidR="00B82A52" w:rsidRPr="001A68E7" w14:paraId="35C82145" w14:textId="77777777" w:rsidTr="0068237E">
        <w:trPr>
          <w:jc w:val="center"/>
        </w:trPr>
        <w:tc>
          <w:tcPr>
            <w:tcW w:w="1771" w:type="dxa"/>
            <w:tcBorders>
              <w:top w:val="single" w:sz="12" w:space="0" w:color="3366CC"/>
              <w:bottom w:val="single" w:sz="12" w:space="0" w:color="3366CC"/>
            </w:tcBorders>
            <w:shd w:val="pct20" w:color="FFFFFF" w:fill="FFFFFF"/>
            <w:vAlign w:val="center"/>
          </w:tcPr>
          <w:p w14:paraId="5EF00291" w14:textId="77777777" w:rsidR="00B82A52" w:rsidRPr="001A68E7" w:rsidRDefault="00B82A52" w:rsidP="0068237E">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lastRenderedPageBreak/>
              <w:t>Subdirección de Servicios</w:t>
            </w:r>
          </w:p>
        </w:tc>
        <w:tc>
          <w:tcPr>
            <w:tcW w:w="7209" w:type="dxa"/>
            <w:tcBorders>
              <w:top w:val="single" w:sz="12" w:space="0" w:color="3366CC"/>
              <w:bottom w:val="single" w:sz="12" w:space="0" w:color="3366CC"/>
            </w:tcBorders>
            <w:shd w:val="pct20" w:color="FFFFFF" w:fill="FFFFFF"/>
            <w:vAlign w:val="center"/>
          </w:tcPr>
          <w:p w14:paraId="389F62EF"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Identificar las propiedades planta y equipo generadoras de efectivo o las propiedades de inversión que serán objeto de evaluación de indicios de deterioro.</w:t>
            </w:r>
          </w:p>
          <w:p w14:paraId="55A33C58"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las evaluaciones de indicios de deterioro de valor de las propiedades planta y equipo generadoras de efectivo o de las propiedades de inversión.</w:t>
            </w:r>
          </w:p>
          <w:p w14:paraId="724EEDC8"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el cálculo de deterioro de valor de las propiedades, planta y equipo generadoras de efectivo o de las propiedades de inversión, cuya evaluación haya arrojado indicios de deterioro de valor. Para esto se deberá determinar el valor recuperable, y estimar el valor del deterioro comparando el valor recuperable con el importe en libros del activo.</w:t>
            </w:r>
          </w:p>
          <w:p w14:paraId="59050E7C"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Informar al Grupo de Contabilidad</w:t>
            </w:r>
            <w:r>
              <w:rPr>
                <w:rFonts w:ascii="Arial" w:hAnsi="Arial" w:cs="Arial"/>
                <w:sz w:val="18"/>
                <w:szCs w:val="18"/>
                <w:lang w:val="es-ES_tradnl" w:eastAsia="es-CO"/>
              </w:rPr>
              <w:t xml:space="preserve">, cuando a ello hubiere lugar, </w:t>
            </w:r>
            <w:r w:rsidRPr="001A68E7">
              <w:rPr>
                <w:rFonts w:ascii="Arial" w:hAnsi="Arial" w:cs="Arial"/>
                <w:sz w:val="18"/>
                <w:szCs w:val="18"/>
                <w:lang w:val="es-ES_tradnl" w:eastAsia="es-CO"/>
              </w:rPr>
              <w:t>los resultados de las evaluaciones de indicios realizadas, así como</w:t>
            </w:r>
            <w:r>
              <w:rPr>
                <w:rFonts w:ascii="Arial" w:hAnsi="Arial" w:cs="Arial"/>
                <w:sz w:val="18"/>
                <w:szCs w:val="18"/>
                <w:lang w:val="es-ES_tradnl" w:eastAsia="es-CO"/>
              </w:rPr>
              <w:t xml:space="preserve"> de los</w:t>
            </w:r>
            <w:r w:rsidRPr="001A68E7">
              <w:rPr>
                <w:rFonts w:ascii="Arial" w:hAnsi="Arial" w:cs="Arial"/>
                <w:sz w:val="18"/>
                <w:szCs w:val="18"/>
                <w:lang w:val="es-ES_tradnl" w:eastAsia="es-CO"/>
              </w:rPr>
              <w:t xml:space="preserve"> cálculos de deterioro efectuados a las propiedades, planta y equipo generadoras de efectivo o de las propiedades de inversión cuya evaluación arrojó indicios de deterioro. </w:t>
            </w:r>
          </w:p>
          <w:p w14:paraId="32099C90"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Conservar documentos e informes que sustentan las evaluaciones de existencia de deterioro</w:t>
            </w:r>
            <w:r>
              <w:rPr>
                <w:rFonts w:ascii="Arial" w:hAnsi="Arial" w:cs="Arial"/>
                <w:sz w:val="18"/>
                <w:szCs w:val="18"/>
                <w:lang w:val="es-ES_tradnl" w:eastAsia="es-CO"/>
              </w:rPr>
              <w:t xml:space="preserve"> del valor de los activos </w:t>
            </w:r>
            <w:r w:rsidRPr="001A68E7">
              <w:rPr>
                <w:rFonts w:ascii="Arial" w:hAnsi="Arial" w:cs="Arial"/>
                <w:sz w:val="18"/>
                <w:szCs w:val="18"/>
                <w:lang w:val="es-ES_tradnl" w:eastAsia="es-CO"/>
              </w:rPr>
              <w:t xml:space="preserve">y </w:t>
            </w:r>
            <w:r>
              <w:rPr>
                <w:rFonts w:ascii="Arial" w:hAnsi="Arial" w:cs="Arial"/>
                <w:sz w:val="18"/>
                <w:szCs w:val="18"/>
                <w:lang w:val="es-ES_tradnl" w:eastAsia="es-CO"/>
              </w:rPr>
              <w:t xml:space="preserve">los </w:t>
            </w:r>
            <w:r w:rsidRPr="001A68E7">
              <w:rPr>
                <w:rFonts w:ascii="Arial" w:hAnsi="Arial" w:cs="Arial"/>
                <w:sz w:val="18"/>
                <w:szCs w:val="18"/>
                <w:lang w:val="es-ES_tradnl" w:eastAsia="es-CO"/>
              </w:rPr>
              <w:t>cálculos realizados.</w:t>
            </w:r>
          </w:p>
        </w:tc>
      </w:tr>
      <w:tr w:rsidR="00B82A52" w:rsidRPr="001A68E7" w14:paraId="3409E301" w14:textId="77777777" w:rsidTr="0068237E">
        <w:trPr>
          <w:jc w:val="center"/>
        </w:trPr>
        <w:tc>
          <w:tcPr>
            <w:tcW w:w="1771" w:type="dxa"/>
            <w:tcBorders>
              <w:top w:val="single" w:sz="12" w:space="0" w:color="3366CC"/>
              <w:bottom w:val="single" w:sz="12" w:space="0" w:color="3366CC"/>
            </w:tcBorders>
            <w:shd w:val="pct20" w:color="FFFFFF" w:fill="FFFFFF"/>
            <w:vAlign w:val="center"/>
          </w:tcPr>
          <w:p w14:paraId="59B12F8D" w14:textId="77777777" w:rsidR="00B82A52" w:rsidRPr="001A68E7" w:rsidRDefault="00B82A52" w:rsidP="0068237E">
            <w:pPr>
              <w:spacing w:line="288" w:lineRule="auto"/>
              <w:jc w:val="center"/>
              <w:rPr>
                <w:rFonts w:ascii="Arial" w:hAnsi="Arial" w:cs="Arial"/>
                <w:bCs/>
                <w:kern w:val="32"/>
                <w:sz w:val="18"/>
                <w:szCs w:val="18"/>
                <w:lang w:val="es-ES_tradnl"/>
              </w:rPr>
            </w:pPr>
            <w:r w:rsidRPr="00C567BA">
              <w:rPr>
                <w:rFonts w:ascii="Arial" w:hAnsi="Arial" w:cs="Arial"/>
                <w:bCs/>
                <w:kern w:val="32"/>
                <w:sz w:val="18"/>
                <w:szCs w:val="18"/>
                <w:lang w:val="es-ES_tradnl"/>
              </w:rPr>
              <w:t>Dirección de Participaciones Estatales</w:t>
            </w:r>
            <w:r w:rsidRPr="001A68E7">
              <w:rPr>
                <w:rFonts w:ascii="Arial" w:hAnsi="Arial" w:cs="Arial"/>
                <w:bCs/>
                <w:kern w:val="32"/>
                <w:sz w:val="18"/>
                <w:szCs w:val="18"/>
                <w:lang w:val="es-ES_tradnl"/>
              </w:rPr>
              <w:t xml:space="preserve"> </w:t>
            </w:r>
            <w:r>
              <w:rPr>
                <w:rFonts w:ascii="Arial" w:hAnsi="Arial" w:cs="Arial"/>
                <w:bCs/>
                <w:kern w:val="32"/>
                <w:sz w:val="18"/>
                <w:szCs w:val="18"/>
                <w:lang w:val="es-ES_tradnl"/>
              </w:rPr>
              <w:t>/ Grupo de Contabilidad</w:t>
            </w:r>
          </w:p>
        </w:tc>
        <w:tc>
          <w:tcPr>
            <w:tcW w:w="7209" w:type="dxa"/>
            <w:tcBorders>
              <w:top w:val="single" w:sz="12" w:space="0" w:color="3366CC"/>
              <w:bottom w:val="single" w:sz="12" w:space="0" w:color="3366CC"/>
            </w:tcBorders>
            <w:shd w:val="pct20" w:color="FFFFFF" w:fill="FFFFFF"/>
            <w:vAlign w:val="center"/>
          </w:tcPr>
          <w:p w14:paraId="7D7A2C1B"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Identificar las inversiones en controladas, asociadas o negocios conjuntos (según corresponda) que serán objeto de evaluación de indicios de deterioro.</w:t>
            </w:r>
          </w:p>
          <w:p w14:paraId="52FAF9A0"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las evaluaciones de indicios de deterioro de valor de las inversiones en controladas, asociadas o negocios conjuntos, según corresponda.</w:t>
            </w:r>
          </w:p>
          <w:p w14:paraId="014745AC"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el cálculo de deterioro de valor de las inversiones en controladas, asociadas o negocios conjuntos, cuya evaluación haya arrojado indicios de deterioro de valor. Para esto se deberá determinar el valor recuperable, y estimar el valor del deterioro comparando el valor recuperable con el importe en libros del activo.</w:t>
            </w:r>
          </w:p>
          <w:p w14:paraId="26488318"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Informar al Grupo de Contabilidad los resultados de las evaluaciones de indicios realizadas, así como cálculos de deterioro efectuados a las Inversiones en controladas, asociadas o negocios conjuntos cuya evaluación arrojó indicios de deterioro. </w:t>
            </w:r>
          </w:p>
          <w:p w14:paraId="46D9FE9F" w14:textId="77777777"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Conservar documentos e informes que sustentan las evaluaciones de existencia de deterioro</w:t>
            </w:r>
            <w:r>
              <w:rPr>
                <w:rFonts w:ascii="Arial" w:hAnsi="Arial" w:cs="Arial"/>
                <w:sz w:val="18"/>
                <w:szCs w:val="18"/>
                <w:lang w:val="es-ES_tradnl" w:eastAsia="es-CO"/>
              </w:rPr>
              <w:t xml:space="preserve"> del valor de los activos </w:t>
            </w:r>
            <w:r w:rsidRPr="001A68E7">
              <w:rPr>
                <w:rFonts w:ascii="Arial" w:hAnsi="Arial" w:cs="Arial"/>
                <w:sz w:val="18"/>
                <w:szCs w:val="18"/>
                <w:lang w:val="es-ES_tradnl" w:eastAsia="es-CO"/>
              </w:rPr>
              <w:t xml:space="preserve">y </w:t>
            </w:r>
            <w:r>
              <w:rPr>
                <w:rFonts w:ascii="Arial" w:hAnsi="Arial" w:cs="Arial"/>
                <w:sz w:val="18"/>
                <w:szCs w:val="18"/>
                <w:lang w:val="es-ES_tradnl" w:eastAsia="es-CO"/>
              </w:rPr>
              <w:t xml:space="preserve">los </w:t>
            </w:r>
            <w:r w:rsidRPr="001A68E7">
              <w:rPr>
                <w:rFonts w:ascii="Arial" w:hAnsi="Arial" w:cs="Arial"/>
                <w:sz w:val="18"/>
                <w:szCs w:val="18"/>
                <w:lang w:val="es-ES_tradnl" w:eastAsia="es-CO"/>
              </w:rPr>
              <w:t>cálculos realizados.</w:t>
            </w:r>
          </w:p>
        </w:tc>
      </w:tr>
      <w:tr w:rsidR="00B82A52" w:rsidRPr="001A68E7" w14:paraId="4EF2B3D3" w14:textId="77777777" w:rsidTr="0068237E">
        <w:trPr>
          <w:jc w:val="center"/>
        </w:trPr>
        <w:tc>
          <w:tcPr>
            <w:tcW w:w="1771" w:type="dxa"/>
            <w:tcBorders>
              <w:top w:val="single" w:sz="12" w:space="0" w:color="3366CC"/>
              <w:bottom w:val="single" w:sz="12" w:space="0" w:color="3366CC"/>
            </w:tcBorders>
            <w:shd w:val="pct20" w:color="FFFFFF" w:fill="FFFFFF"/>
            <w:vAlign w:val="center"/>
          </w:tcPr>
          <w:p w14:paraId="7A567939" w14:textId="77777777" w:rsidR="00B82A52" w:rsidRPr="001A68E7" w:rsidRDefault="00B82A52" w:rsidP="0068237E">
            <w:pPr>
              <w:spacing w:line="288" w:lineRule="auto"/>
              <w:jc w:val="center"/>
              <w:rPr>
                <w:rFonts w:ascii="Arial" w:hAnsi="Arial" w:cs="Arial"/>
                <w:sz w:val="18"/>
                <w:szCs w:val="18"/>
                <w:lang w:val="es-ES_tradnl" w:eastAsia="es-CO"/>
              </w:rPr>
            </w:pPr>
            <w:r>
              <w:rPr>
                <w:rFonts w:ascii="Arial" w:hAnsi="Arial" w:cs="Arial"/>
                <w:bCs/>
                <w:kern w:val="32"/>
                <w:sz w:val="18"/>
                <w:szCs w:val="18"/>
                <w:lang w:val="es-ES_tradnl"/>
              </w:rPr>
              <w:t xml:space="preserve">Subdirección Financiera / </w:t>
            </w:r>
            <w:r w:rsidRPr="001A68E7">
              <w:rPr>
                <w:rFonts w:ascii="Arial" w:hAnsi="Arial" w:cs="Arial"/>
                <w:bCs/>
                <w:kern w:val="32"/>
                <w:sz w:val="18"/>
                <w:szCs w:val="18"/>
                <w:lang w:val="es-ES_tradnl"/>
              </w:rPr>
              <w:t>Grupo de Contabilidad</w:t>
            </w:r>
          </w:p>
        </w:tc>
        <w:tc>
          <w:tcPr>
            <w:tcW w:w="7209" w:type="dxa"/>
            <w:tcBorders>
              <w:top w:val="single" w:sz="12" w:space="0" w:color="3366CC"/>
              <w:bottom w:val="single" w:sz="12" w:space="0" w:color="3366CC"/>
            </w:tcBorders>
            <w:shd w:val="pct20" w:color="FFFFFF" w:fill="FFFFFF"/>
            <w:vAlign w:val="center"/>
          </w:tcPr>
          <w:p w14:paraId="62757412" w14:textId="18D9EF4C" w:rsidR="00B82A52" w:rsidRPr="001A68E7" w:rsidRDefault="00B82A5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Recibir información de la Subdirección de Servicios, de la Dirección de Tecnología, de la Dirección de Participaciones Estatales, o del área que corresponda, para efectuar los registros y revelaciones acerca de la evaluación y cálculo del deterioro de valor de los activos generadores de efectivo del MHCP. </w:t>
            </w:r>
          </w:p>
        </w:tc>
      </w:tr>
    </w:tbl>
    <w:p w14:paraId="1A2A217F" w14:textId="64F04AD6" w:rsidR="007720C9" w:rsidRDefault="007720C9" w:rsidP="00B70BB0">
      <w:pPr>
        <w:spacing w:line="288" w:lineRule="auto"/>
        <w:jc w:val="both"/>
        <w:rPr>
          <w:rFonts w:ascii="Arial" w:hAnsi="Arial" w:cs="Arial"/>
          <w:b/>
          <w:sz w:val="22"/>
          <w:szCs w:val="22"/>
        </w:rPr>
      </w:pPr>
    </w:p>
    <w:p w14:paraId="532B21FB" w14:textId="4CD4CE18" w:rsidR="00406658" w:rsidRPr="00FB5181" w:rsidRDefault="00406658"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w:t>
      </w:r>
      <w:r w:rsidR="00D43BDC">
        <w:rPr>
          <w:rFonts w:ascii="Arial" w:hAnsi="Arial" w:cs="Arial"/>
          <w:sz w:val="22"/>
          <w:szCs w:val="22"/>
          <w:lang w:val="es-ES_tradnl" w:eastAsia="es-CO"/>
        </w:rPr>
        <w:t>operaciones, las</w:t>
      </w:r>
      <w:r>
        <w:rPr>
          <w:rFonts w:ascii="Arial" w:hAnsi="Arial" w:cs="Arial"/>
          <w:sz w:val="22"/>
          <w:szCs w:val="22"/>
          <w:lang w:val="es-ES_tradnl" w:eastAsia="es-CO"/>
        </w:rPr>
        <w:t xml:space="preserve"> áreas correspondientes deben enviar la información al Grupo de Contabilidad</w:t>
      </w:r>
      <w:r w:rsidR="00D43BDC">
        <w:rPr>
          <w:rFonts w:ascii="Arial" w:hAnsi="Arial" w:cs="Arial"/>
          <w:sz w:val="22"/>
          <w:szCs w:val="22"/>
          <w:lang w:val="es-ES_tradnl" w:eastAsia="es-CO"/>
        </w:rPr>
        <w:t xml:space="preserve"> para su reconocimiento, medición y revelación</w:t>
      </w:r>
      <w:r w:rsidR="00FB6817">
        <w:rPr>
          <w:rFonts w:ascii="Arial" w:hAnsi="Arial" w:cs="Arial"/>
          <w:sz w:val="22"/>
          <w:szCs w:val="22"/>
          <w:lang w:val="es-ES_tradnl" w:eastAsia="es-CO"/>
        </w:rPr>
        <w:t>.</w:t>
      </w:r>
    </w:p>
    <w:p w14:paraId="07C8AFC8" w14:textId="77777777" w:rsidR="00B70BB0" w:rsidRPr="007C2386" w:rsidRDefault="00B70BB0" w:rsidP="00CA76B9">
      <w:pPr>
        <w:spacing w:line="288" w:lineRule="auto"/>
        <w:rPr>
          <w:lang w:val="es-ES_tradnl"/>
        </w:rPr>
      </w:pPr>
    </w:p>
    <w:p w14:paraId="467FC2DF" w14:textId="311E0802" w:rsidR="00AF4209" w:rsidRDefault="00E41BEC" w:rsidP="00CA76B9">
      <w:pPr>
        <w:pStyle w:val="Ttulo3"/>
        <w:numPr>
          <w:ilvl w:val="2"/>
          <w:numId w:val="1"/>
        </w:numPr>
        <w:spacing w:line="288" w:lineRule="auto"/>
        <w:rPr>
          <w:rFonts w:ascii="Arial" w:hAnsi="Arial" w:cs="Arial"/>
          <w:b/>
          <w:sz w:val="22"/>
          <w:szCs w:val="22"/>
        </w:rPr>
      </w:pPr>
      <w:bookmarkStart w:id="288" w:name="_Toc59377874"/>
      <w:r w:rsidRPr="00E41BEC">
        <w:rPr>
          <w:rFonts w:ascii="Arial" w:hAnsi="Arial" w:cs="Arial"/>
          <w:b/>
          <w:sz w:val="22"/>
          <w:szCs w:val="22"/>
        </w:rPr>
        <w:t>Deterioro de Valor de los activos No Generadores de Efectivo</w:t>
      </w:r>
      <w:bookmarkEnd w:id="288"/>
    </w:p>
    <w:p w14:paraId="7E386212" w14:textId="77777777" w:rsidR="00A25AC3" w:rsidRPr="007C2386" w:rsidRDefault="00A25AC3" w:rsidP="00CA76B9">
      <w:pPr>
        <w:spacing w:line="288" w:lineRule="auto"/>
        <w:ind w:left="720"/>
      </w:pPr>
    </w:p>
    <w:p w14:paraId="3D2D2DD7" w14:textId="4C134334" w:rsidR="00B70BB0" w:rsidRDefault="00B70BB0"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deterioro de valor de los activos no generadores de efectivo:</w:t>
      </w:r>
    </w:p>
    <w:p w14:paraId="539BE2BA" w14:textId="4EAB9B2B" w:rsidR="00B70BB0" w:rsidRDefault="00B70BB0" w:rsidP="002C7D53">
      <w:pPr>
        <w:pStyle w:val="Prrafodelista"/>
        <w:ind w:left="0"/>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1344"/>
        <w:gridCol w:w="7496"/>
      </w:tblGrid>
      <w:tr w:rsidR="00D743A2" w:rsidRPr="001A68E7" w14:paraId="23E7C842" w14:textId="77777777" w:rsidTr="005F1A58">
        <w:trPr>
          <w:tblHeader/>
          <w:jc w:val="center"/>
        </w:trPr>
        <w:tc>
          <w:tcPr>
            <w:tcW w:w="1344" w:type="dxa"/>
            <w:tcBorders>
              <w:bottom w:val="single" w:sz="12" w:space="0" w:color="3366CC"/>
            </w:tcBorders>
            <w:shd w:val="clear" w:color="2F5395" w:fill="3366CC"/>
            <w:vAlign w:val="center"/>
          </w:tcPr>
          <w:p w14:paraId="11D8B7BE" w14:textId="77777777" w:rsidR="00D743A2" w:rsidRPr="001A68E7" w:rsidRDefault="00D743A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7496" w:type="dxa"/>
            <w:tcBorders>
              <w:bottom w:val="single" w:sz="12" w:space="0" w:color="3366CC"/>
            </w:tcBorders>
            <w:shd w:val="clear" w:color="2F5395" w:fill="3366CC"/>
            <w:vAlign w:val="center"/>
          </w:tcPr>
          <w:p w14:paraId="420DBBBB" w14:textId="77777777" w:rsidR="00D743A2" w:rsidRPr="001A68E7" w:rsidRDefault="00D743A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5F1A58" w:rsidRPr="001A68E7" w14:paraId="2E8EC68A" w14:textId="77777777" w:rsidTr="005F1A58">
        <w:trPr>
          <w:trHeight w:val="474"/>
          <w:jc w:val="center"/>
        </w:trPr>
        <w:tc>
          <w:tcPr>
            <w:tcW w:w="1344" w:type="dxa"/>
            <w:tcBorders>
              <w:top w:val="single" w:sz="12" w:space="0" w:color="3366CC"/>
              <w:bottom w:val="single" w:sz="12" w:space="0" w:color="3366CC"/>
            </w:tcBorders>
            <w:shd w:val="pct20" w:color="FFFFFF" w:fill="FFFFFF"/>
            <w:vAlign w:val="center"/>
          </w:tcPr>
          <w:p w14:paraId="0DFA3EDB" w14:textId="386654EA" w:rsidR="005F1A58" w:rsidRPr="001A68E7" w:rsidRDefault="005F1A58" w:rsidP="005F1A58">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t>Dirección de Tecnología</w:t>
            </w:r>
          </w:p>
        </w:tc>
        <w:tc>
          <w:tcPr>
            <w:tcW w:w="7496" w:type="dxa"/>
            <w:tcBorders>
              <w:top w:val="single" w:sz="12" w:space="0" w:color="3366CC"/>
              <w:bottom w:val="single" w:sz="12" w:space="0" w:color="3366CC"/>
            </w:tcBorders>
            <w:shd w:val="pct20" w:color="FFFFFF" w:fill="FFFFFF"/>
            <w:vAlign w:val="center"/>
          </w:tcPr>
          <w:p w14:paraId="16FE1FE8"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Identificar los activos intangibles no generadores de efectivo que serán objeto de análisis de indicios de deterioro, y de cálculo de deterioro. </w:t>
            </w:r>
          </w:p>
          <w:p w14:paraId="2E1ABEA8"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Realizar las evaluaciones de indicios de deterioro de valor para los activos intangibles no generadores de efectivo con vida útil finita, cuando a ello hubiere lugar. </w:t>
            </w:r>
          </w:p>
          <w:p w14:paraId="5310EF6C"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Realizar el cálculo de deterioro de valor de los activos intangibles no generadores de efectivo con vida útil finita, cuya evaluación haya arrojado indicios de deterioro de valor. </w:t>
            </w:r>
          </w:p>
          <w:p w14:paraId="4BBDEB82"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Realizar anualmente el cálculo de deterioro de valor de los activos intangibles no generadores de efectivo con vida útil indefinida y de los activos intangibles que aún no estén disponibles para su uso </w:t>
            </w:r>
          </w:p>
          <w:p w14:paraId="5000BBEF"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Pr>
                <w:rFonts w:ascii="Arial" w:hAnsi="Arial" w:cs="Arial"/>
                <w:sz w:val="18"/>
                <w:szCs w:val="18"/>
                <w:lang w:val="es-ES_tradnl" w:eastAsia="es-CO"/>
              </w:rPr>
              <w:t xml:space="preserve">Para realizar el cálculo </w:t>
            </w:r>
            <w:r w:rsidRPr="001A68E7">
              <w:rPr>
                <w:rFonts w:ascii="Arial" w:hAnsi="Arial" w:cs="Arial"/>
                <w:sz w:val="18"/>
                <w:szCs w:val="18"/>
                <w:lang w:val="es-ES_tradnl" w:eastAsia="es-CO"/>
              </w:rPr>
              <w:t>se deberá determinar el valor del servicio recuperable, y estimar el valor del deterioro comparando el valor del servicio recuperable con el importe en libros del activo.</w:t>
            </w:r>
          </w:p>
          <w:p w14:paraId="47369445" w14:textId="77777777"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Informar a</w:t>
            </w:r>
            <w:r>
              <w:rPr>
                <w:rFonts w:ascii="Arial" w:hAnsi="Arial" w:cs="Arial"/>
                <w:sz w:val="18"/>
                <w:szCs w:val="18"/>
                <w:lang w:val="es-ES_tradnl" w:eastAsia="es-CO"/>
              </w:rPr>
              <w:t>l Grupo de Contabilidad</w:t>
            </w:r>
            <w:r w:rsidRPr="001A68E7">
              <w:rPr>
                <w:rFonts w:ascii="Arial" w:hAnsi="Arial" w:cs="Arial"/>
                <w:sz w:val="18"/>
                <w:szCs w:val="18"/>
                <w:lang w:val="es-ES_tradnl" w:eastAsia="es-CO"/>
              </w:rPr>
              <w:t xml:space="preserve">, cuando a ello hubiere lugar, acerca de los activos intangibles no generadores de efectivo en los que se evidencia indicios de deterioro, así como de los cálculos efectuados para la determinación del deterioro. </w:t>
            </w:r>
          </w:p>
          <w:p w14:paraId="6B6F7956" w14:textId="13E2E9BE"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Conservar documentos e informes que sustentan las evaluaciones de existencia de deterioro y cálculos realizados.</w:t>
            </w:r>
          </w:p>
        </w:tc>
      </w:tr>
      <w:tr w:rsidR="00D743A2" w:rsidRPr="001A68E7" w14:paraId="2B43246F" w14:textId="77777777" w:rsidTr="005F1A58">
        <w:trPr>
          <w:jc w:val="center"/>
        </w:trPr>
        <w:tc>
          <w:tcPr>
            <w:tcW w:w="1344" w:type="dxa"/>
            <w:tcBorders>
              <w:top w:val="single" w:sz="12" w:space="0" w:color="3366CC"/>
              <w:bottom w:val="single" w:sz="12" w:space="0" w:color="3366CC"/>
            </w:tcBorders>
            <w:shd w:val="pct20" w:color="FFFFFF" w:fill="FFFFFF"/>
            <w:vAlign w:val="center"/>
          </w:tcPr>
          <w:p w14:paraId="36635DFF" w14:textId="77777777" w:rsidR="00D743A2" w:rsidRPr="001A68E7" w:rsidRDefault="00D743A2" w:rsidP="00B26C22">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t>Subdirección de Servicios</w:t>
            </w:r>
          </w:p>
        </w:tc>
        <w:tc>
          <w:tcPr>
            <w:tcW w:w="7496" w:type="dxa"/>
            <w:tcBorders>
              <w:top w:val="single" w:sz="12" w:space="0" w:color="3366CC"/>
              <w:bottom w:val="single" w:sz="12" w:space="0" w:color="3366CC"/>
            </w:tcBorders>
            <w:shd w:val="pct20" w:color="FFFFFF" w:fill="FFFFFF"/>
            <w:vAlign w:val="center"/>
          </w:tcPr>
          <w:p w14:paraId="1D19CC84"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Identificar las propiedades planta y equipo muebles e inmuebles no generadoras de efectivo que serán objeto de evaluación de indicios de deterioro.</w:t>
            </w:r>
          </w:p>
          <w:p w14:paraId="01C7A55F"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las evaluaciones de indicios de deterioro de valor de las propiedades planta y Equipo no generadoras de efectivo.</w:t>
            </w:r>
          </w:p>
          <w:p w14:paraId="631FD094"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Realizar el cálculo de deterioro de valor de las propiedades, planta y equipo no generadoras de efectivo, cuya evaluación haya arrojado indicios de deterioro de valor. Para esto se deberá determinar el valor del servicio recuperable, y estimar el valor del deterioro comparando el valor del servicio recuperable con el importe en libros del activo.</w:t>
            </w:r>
          </w:p>
          <w:p w14:paraId="569197E8"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Informar al Grupo de Contabilidad los resultados de las evaluaciones de indicios realizadas, así como cálculos de deterioro efectuados a las propiedades, planta y equipo no generadoras de efectivo cuya evaluación arrojó indicios de deterioro. </w:t>
            </w:r>
          </w:p>
          <w:p w14:paraId="2A7D7D78"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Conservar documentos e informes que sustentan las evaluaciones de existencia de deterioro y cálculos realizados.</w:t>
            </w:r>
          </w:p>
        </w:tc>
      </w:tr>
      <w:tr w:rsidR="005F1A58" w:rsidRPr="001A68E7" w14:paraId="68507568" w14:textId="77777777" w:rsidTr="005F1A58">
        <w:trPr>
          <w:jc w:val="center"/>
        </w:trPr>
        <w:tc>
          <w:tcPr>
            <w:tcW w:w="1344" w:type="dxa"/>
            <w:tcBorders>
              <w:top w:val="single" w:sz="12" w:space="0" w:color="3366CC"/>
              <w:bottom w:val="single" w:sz="12" w:space="0" w:color="3366CC"/>
            </w:tcBorders>
            <w:shd w:val="pct20" w:color="FFFFFF" w:fill="FFFFFF"/>
            <w:vAlign w:val="center"/>
          </w:tcPr>
          <w:p w14:paraId="49D986DF" w14:textId="1935161F" w:rsidR="005F1A58" w:rsidRPr="001A68E7" w:rsidRDefault="005F1A58" w:rsidP="005F1A58">
            <w:pPr>
              <w:spacing w:line="288" w:lineRule="auto"/>
              <w:jc w:val="center"/>
              <w:rPr>
                <w:rFonts w:ascii="Arial" w:hAnsi="Arial" w:cs="Arial"/>
                <w:sz w:val="18"/>
                <w:szCs w:val="18"/>
                <w:lang w:val="es-ES_tradnl" w:eastAsia="es-CO"/>
              </w:rPr>
            </w:pPr>
            <w:r>
              <w:rPr>
                <w:rFonts w:ascii="Arial" w:hAnsi="Arial" w:cs="Arial"/>
                <w:bCs/>
                <w:kern w:val="32"/>
                <w:sz w:val="18"/>
                <w:szCs w:val="18"/>
                <w:lang w:val="es-ES_tradnl"/>
              </w:rPr>
              <w:t xml:space="preserve">Subdirección Financiera / </w:t>
            </w:r>
            <w:r w:rsidRPr="001A68E7">
              <w:rPr>
                <w:rFonts w:ascii="Arial" w:hAnsi="Arial" w:cs="Arial"/>
                <w:bCs/>
                <w:kern w:val="32"/>
                <w:sz w:val="18"/>
                <w:szCs w:val="18"/>
                <w:lang w:val="es-ES_tradnl"/>
              </w:rPr>
              <w:t>Grupo de Contabilidad</w:t>
            </w:r>
          </w:p>
        </w:tc>
        <w:tc>
          <w:tcPr>
            <w:tcW w:w="7496" w:type="dxa"/>
            <w:tcBorders>
              <w:top w:val="single" w:sz="12" w:space="0" w:color="3366CC"/>
              <w:bottom w:val="single" w:sz="12" w:space="0" w:color="3366CC"/>
            </w:tcBorders>
            <w:shd w:val="pct20" w:color="FFFFFF" w:fill="FFFFFF"/>
            <w:vAlign w:val="center"/>
          </w:tcPr>
          <w:p w14:paraId="3917FCF8" w14:textId="6C15E3F0" w:rsidR="005F1A58" w:rsidRPr="001A68E7" w:rsidRDefault="005F1A58"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Recibir información de la Subdirección de Servicios, de la Dirección de Tecnología o del área que corresponda para efectuar los registros y revelaciones que correspondan, acerca de la evaluación y cálculo del deterioro de valor de los activos tangibles e intangibles no generadores de efectivo del MHCP. </w:t>
            </w:r>
          </w:p>
        </w:tc>
      </w:tr>
    </w:tbl>
    <w:p w14:paraId="286C99A3" w14:textId="3FDA3627" w:rsidR="00D743A2" w:rsidRDefault="00D743A2" w:rsidP="007C2386">
      <w:pPr>
        <w:pStyle w:val="Prrafodelista"/>
        <w:ind w:left="0"/>
        <w:rPr>
          <w:rFonts w:ascii="Arial" w:hAnsi="Arial" w:cs="Arial"/>
          <w:b/>
          <w:sz w:val="22"/>
          <w:szCs w:val="22"/>
        </w:rPr>
      </w:pPr>
    </w:p>
    <w:p w14:paraId="6D05F9BE" w14:textId="068FFC20" w:rsidR="00D43BDC" w:rsidRPr="00FB5181" w:rsidRDefault="00D43BDC"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3C971A75" w14:textId="77777777" w:rsidR="00854101" w:rsidRDefault="00854101" w:rsidP="00CA76B9">
      <w:pPr>
        <w:pStyle w:val="Prrafodelista"/>
        <w:spacing w:line="288" w:lineRule="auto"/>
        <w:ind w:left="0"/>
        <w:rPr>
          <w:rFonts w:ascii="Arial" w:hAnsi="Arial" w:cs="Arial"/>
          <w:b/>
          <w:sz w:val="22"/>
          <w:szCs w:val="22"/>
        </w:rPr>
      </w:pPr>
    </w:p>
    <w:p w14:paraId="17F8D29B" w14:textId="1B7653CC" w:rsidR="00E41BEC" w:rsidRDefault="00E41BEC" w:rsidP="00CA76B9">
      <w:pPr>
        <w:pStyle w:val="Ttulo3"/>
        <w:numPr>
          <w:ilvl w:val="2"/>
          <w:numId w:val="1"/>
        </w:numPr>
        <w:spacing w:line="288" w:lineRule="auto"/>
        <w:rPr>
          <w:rFonts w:ascii="Arial" w:hAnsi="Arial" w:cs="Arial"/>
          <w:b/>
          <w:sz w:val="22"/>
          <w:szCs w:val="22"/>
        </w:rPr>
      </w:pPr>
      <w:bookmarkStart w:id="289" w:name="_Toc59377875"/>
      <w:r w:rsidRPr="00E41BEC">
        <w:rPr>
          <w:rFonts w:ascii="Arial" w:hAnsi="Arial" w:cs="Arial"/>
          <w:b/>
          <w:sz w:val="22"/>
          <w:szCs w:val="22"/>
        </w:rPr>
        <w:t>Cuentas por pagar</w:t>
      </w:r>
      <w:bookmarkEnd w:id="289"/>
    </w:p>
    <w:p w14:paraId="16012432" w14:textId="02D140FD" w:rsidR="00C37D47" w:rsidRDefault="00C37D47" w:rsidP="00CA76B9">
      <w:pPr>
        <w:spacing w:line="288" w:lineRule="auto"/>
        <w:ind w:left="4755"/>
        <w:rPr>
          <w:rFonts w:ascii="Arial" w:hAnsi="Arial" w:cs="Arial"/>
          <w:b/>
          <w:sz w:val="22"/>
          <w:szCs w:val="22"/>
        </w:rPr>
      </w:pPr>
    </w:p>
    <w:p w14:paraId="66A0F530" w14:textId="046F0FDE" w:rsidR="00C37D47" w:rsidRDefault="00C37D47"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cuentas por pagar:</w:t>
      </w:r>
    </w:p>
    <w:p w14:paraId="33C05A1E" w14:textId="199D52C5" w:rsidR="00D743A2" w:rsidRDefault="00D743A2" w:rsidP="00C37D47">
      <w:pPr>
        <w:spacing w:line="288" w:lineRule="auto"/>
        <w:jc w:val="both"/>
        <w:rPr>
          <w:rFonts w:ascii="Arial" w:hAnsi="Arial" w:cs="Arial"/>
          <w:sz w:val="22"/>
          <w:szCs w:val="22"/>
          <w:lang w:val="es-ES_tradnl" w:eastAsia="es-CO"/>
        </w:rPr>
      </w:pPr>
    </w:p>
    <w:tbl>
      <w:tblPr>
        <w:tblW w:w="0" w:type="auto"/>
        <w:jc w:val="center"/>
        <w:tblBorders>
          <w:bottom w:val="single" w:sz="12" w:space="0" w:color="000000"/>
        </w:tblBorders>
        <w:tblLook w:val="0420" w:firstRow="1" w:lastRow="0" w:firstColumn="0" w:lastColumn="0" w:noHBand="0" w:noVBand="1"/>
      </w:tblPr>
      <w:tblGrid>
        <w:gridCol w:w="2590"/>
        <w:gridCol w:w="6250"/>
      </w:tblGrid>
      <w:tr w:rsidR="005B533A" w:rsidRPr="001A68E7" w14:paraId="75BEB4A3" w14:textId="77777777" w:rsidTr="0068237E">
        <w:trPr>
          <w:jc w:val="center"/>
        </w:trPr>
        <w:tc>
          <w:tcPr>
            <w:tcW w:w="2622" w:type="dxa"/>
            <w:tcBorders>
              <w:bottom w:val="single" w:sz="12" w:space="0" w:color="3366CC"/>
            </w:tcBorders>
            <w:shd w:val="clear" w:color="2F5395" w:fill="3366CC"/>
            <w:vAlign w:val="center"/>
          </w:tcPr>
          <w:p w14:paraId="2E046D81" w14:textId="77777777" w:rsidR="005B533A" w:rsidRPr="001A68E7" w:rsidRDefault="005B533A"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358" w:type="dxa"/>
            <w:tcBorders>
              <w:bottom w:val="single" w:sz="12" w:space="0" w:color="3366CC"/>
            </w:tcBorders>
            <w:shd w:val="clear" w:color="2F5395" w:fill="3366CC"/>
            <w:vAlign w:val="center"/>
          </w:tcPr>
          <w:p w14:paraId="7AE9C886" w14:textId="77777777" w:rsidR="005B533A" w:rsidRPr="001A68E7" w:rsidRDefault="005B533A"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5B533A" w:rsidRPr="001A68E7" w14:paraId="703C4F78" w14:textId="77777777" w:rsidTr="0068237E">
        <w:trPr>
          <w:trHeight w:val="474"/>
          <w:jc w:val="center"/>
        </w:trPr>
        <w:tc>
          <w:tcPr>
            <w:tcW w:w="2622" w:type="dxa"/>
            <w:tcBorders>
              <w:top w:val="single" w:sz="12" w:space="0" w:color="3366CC"/>
              <w:bottom w:val="single" w:sz="12" w:space="0" w:color="3366CC"/>
            </w:tcBorders>
            <w:shd w:val="pct20" w:color="FFFFFF" w:fill="FFFFFF"/>
            <w:vAlign w:val="center"/>
          </w:tcPr>
          <w:p w14:paraId="3024CA13" w14:textId="77777777" w:rsidR="005B533A" w:rsidRPr="001A68E7" w:rsidRDefault="005B533A" w:rsidP="0068237E">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 xml:space="preserve">Subdirección Financiera/  </w:t>
            </w:r>
            <w:r>
              <w:rPr>
                <w:rFonts w:ascii="Arial" w:hAnsi="Arial" w:cs="Arial"/>
                <w:sz w:val="18"/>
                <w:szCs w:val="18"/>
                <w:lang w:val="es-ES_tradnl" w:eastAsia="es-CO"/>
              </w:rPr>
              <w:t xml:space="preserve">Grupo de </w:t>
            </w:r>
            <w:r w:rsidRPr="001A68E7">
              <w:rPr>
                <w:rFonts w:ascii="Arial" w:hAnsi="Arial" w:cs="Arial"/>
                <w:sz w:val="18"/>
                <w:szCs w:val="18"/>
                <w:lang w:val="es-ES_tradnl" w:eastAsia="es-CO"/>
              </w:rPr>
              <w:t>Central de Cuentas</w:t>
            </w:r>
          </w:p>
        </w:tc>
        <w:tc>
          <w:tcPr>
            <w:tcW w:w="6358" w:type="dxa"/>
            <w:tcBorders>
              <w:top w:val="single" w:sz="12" w:space="0" w:color="3366CC"/>
              <w:bottom w:val="single" w:sz="12" w:space="0" w:color="3366CC"/>
            </w:tcBorders>
            <w:shd w:val="pct20" w:color="FFFFFF" w:fill="FFFFFF"/>
            <w:vAlign w:val="center"/>
          </w:tcPr>
          <w:p w14:paraId="0E69144C"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Registrar las obligaciones a cargo de la Entidad </w:t>
            </w:r>
          </w:p>
        </w:tc>
      </w:tr>
      <w:tr w:rsidR="005B533A" w:rsidRPr="001A68E7" w14:paraId="4A748379" w14:textId="77777777" w:rsidTr="0068237E">
        <w:trPr>
          <w:jc w:val="center"/>
        </w:trPr>
        <w:tc>
          <w:tcPr>
            <w:tcW w:w="2622" w:type="dxa"/>
            <w:tcBorders>
              <w:top w:val="single" w:sz="12" w:space="0" w:color="3366CC"/>
              <w:bottom w:val="single" w:sz="12" w:space="0" w:color="3366CC"/>
            </w:tcBorders>
            <w:shd w:val="pct20" w:color="FFFFFF" w:fill="FFFFFF"/>
            <w:vAlign w:val="center"/>
          </w:tcPr>
          <w:p w14:paraId="54C1A0B5" w14:textId="77777777" w:rsidR="005B533A" w:rsidRPr="001A68E7" w:rsidRDefault="005B533A" w:rsidP="0068237E">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Subdirección Financiera/ Grupo de Pagaduría</w:t>
            </w:r>
          </w:p>
        </w:tc>
        <w:tc>
          <w:tcPr>
            <w:tcW w:w="6358" w:type="dxa"/>
            <w:tcBorders>
              <w:top w:val="single" w:sz="12" w:space="0" w:color="3366CC"/>
              <w:bottom w:val="single" w:sz="12" w:space="0" w:color="3366CC"/>
            </w:tcBorders>
            <w:shd w:val="pct20" w:color="FFFFFF" w:fill="FFFFFF"/>
            <w:vAlign w:val="center"/>
          </w:tcPr>
          <w:p w14:paraId="233F322C"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Gestionar el pago de las obligaciones a cargo de la Entidad </w:t>
            </w:r>
          </w:p>
        </w:tc>
      </w:tr>
      <w:tr w:rsidR="005B533A" w:rsidRPr="001A68E7" w14:paraId="07384CD3" w14:textId="77777777" w:rsidTr="0068237E">
        <w:trPr>
          <w:jc w:val="center"/>
        </w:trPr>
        <w:tc>
          <w:tcPr>
            <w:tcW w:w="2622" w:type="dxa"/>
            <w:tcBorders>
              <w:top w:val="single" w:sz="12" w:space="0" w:color="3366CC"/>
              <w:bottom w:val="single" w:sz="12" w:space="0" w:color="3366CC"/>
            </w:tcBorders>
            <w:shd w:val="pct20" w:color="FFFFFF" w:fill="FFFFFF"/>
            <w:vAlign w:val="center"/>
          </w:tcPr>
          <w:p w14:paraId="72E4895A" w14:textId="77777777" w:rsidR="005B533A" w:rsidRPr="001A68E7" w:rsidRDefault="005B533A" w:rsidP="0068237E">
            <w:pPr>
              <w:spacing w:line="288" w:lineRule="auto"/>
              <w:jc w:val="center"/>
              <w:rPr>
                <w:rFonts w:ascii="Arial" w:hAnsi="Arial" w:cs="Arial"/>
                <w:bCs/>
                <w:kern w:val="32"/>
                <w:sz w:val="18"/>
                <w:szCs w:val="18"/>
                <w:lang w:val="es-ES_tradnl"/>
              </w:rPr>
            </w:pPr>
            <w:r w:rsidRPr="007A7385">
              <w:rPr>
                <w:rFonts w:ascii="Arial" w:hAnsi="Arial" w:cs="Arial"/>
                <w:bCs/>
                <w:kern w:val="32"/>
                <w:sz w:val="18"/>
                <w:szCs w:val="18"/>
                <w:lang w:val="es-ES_tradnl"/>
              </w:rPr>
              <w:t>Dirección General de Regulación Económica y de la Seguridad Social</w:t>
            </w:r>
          </w:p>
        </w:tc>
        <w:tc>
          <w:tcPr>
            <w:tcW w:w="6358" w:type="dxa"/>
            <w:tcBorders>
              <w:top w:val="single" w:sz="12" w:space="0" w:color="3366CC"/>
              <w:bottom w:val="single" w:sz="12" w:space="0" w:color="3366CC"/>
            </w:tcBorders>
            <w:shd w:val="pct20" w:color="FFFFFF" w:fill="FFFFFF"/>
            <w:vAlign w:val="center"/>
          </w:tcPr>
          <w:p w14:paraId="44763E14"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B12226">
              <w:rPr>
                <w:rFonts w:ascii="Arial" w:hAnsi="Arial" w:cs="Arial"/>
                <w:sz w:val="18"/>
                <w:szCs w:val="18"/>
              </w:rPr>
              <w:t>Enviar la información para el registro de</w:t>
            </w:r>
            <w:r>
              <w:rPr>
                <w:rFonts w:ascii="Arial" w:hAnsi="Arial" w:cs="Arial"/>
                <w:sz w:val="18"/>
                <w:szCs w:val="18"/>
              </w:rPr>
              <w:t xml:space="preserve"> la </w:t>
            </w:r>
            <w:r w:rsidRPr="00B12226">
              <w:rPr>
                <w:rFonts w:ascii="Arial" w:hAnsi="Arial" w:cs="Arial"/>
                <w:sz w:val="18"/>
                <w:szCs w:val="18"/>
              </w:rPr>
              <w:t>concurrencia</w:t>
            </w:r>
            <w:r>
              <w:rPr>
                <w:rFonts w:ascii="Arial" w:hAnsi="Arial" w:cs="Arial"/>
                <w:sz w:val="18"/>
                <w:szCs w:val="18"/>
              </w:rPr>
              <w:t xml:space="preserve"> del MHCP</w:t>
            </w:r>
            <w:r w:rsidRPr="00B12226">
              <w:rPr>
                <w:rFonts w:ascii="Arial" w:hAnsi="Arial" w:cs="Arial"/>
                <w:sz w:val="18"/>
                <w:szCs w:val="18"/>
              </w:rPr>
              <w:t xml:space="preserve"> para el pago del pasivo pensional y prestacional del sector salud</w:t>
            </w:r>
          </w:p>
        </w:tc>
      </w:tr>
      <w:tr w:rsidR="005B533A" w:rsidRPr="001A68E7" w14:paraId="70461E34" w14:textId="77777777" w:rsidTr="0068237E">
        <w:trPr>
          <w:jc w:val="center"/>
        </w:trPr>
        <w:tc>
          <w:tcPr>
            <w:tcW w:w="2622" w:type="dxa"/>
            <w:tcBorders>
              <w:top w:val="single" w:sz="12" w:space="0" w:color="3366CC"/>
              <w:bottom w:val="single" w:sz="12" w:space="0" w:color="3366CC"/>
            </w:tcBorders>
            <w:shd w:val="pct20" w:color="FFFFFF" w:fill="FFFFFF"/>
            <w:vAlign w:val="center"/>
          </w:tcPr>
          <w:p w14:paraId="15E8000A" w14:textId="77777777" w:rsidR="005B533A" w:rsidRPr="001A68E7" w:rsidRDefault="005B533A" w:rsidP="0068237E">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358" w:type="dxa"/>
            <w:tcBorders>
              <w:top w:val="single" w:sz="12" w:space="0" w:color="3366CC"/>
              <w:bottom w:val="single" w:sz="12" w:space="0" w:color="3366CC"/>
            </w:tcBorders>
            <w:shd w:val="pct20" w:color="FFFFFF" w:fill="FFFFFF"/>
            <w:vAlign w:val="center"/>
          </w:tcPr>
          <w:p w14:paraId="00563AC1"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Registrar, revisar y ajustar, cuando a ello hubiere lugar, las obligaciones a cargo de la Entidad </w:t>
            </w:r>
          </w:p>
          <w:p w14:paraId="0718BDA8"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las cuentas por pagar a cargo de la Entidad </w:t>
            </w:r>
          </w:p>
          <w:p w14:paraId="5B308AB5" w14:textId="77777777" w:rsidR="005B533A" w:rsidRPr="001A68E7" w:rsidRDefault="005B533A"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bCs/>
                <w:sz w:val="18"/>
                <w:szCs w:val="18"/>
                <w:lang w:val="es-ES_tradnl" w:eastAsia="es-CO"/>
              </w:rPr>
              <w:t xml:space="preserve">Elaborar las revelaciones que correspondan de las cuentas por pagar. </w:t>
            </w:r>
          </w:p>
        </w:tc>
      </w:tr>
    </w:tbl>
    <w:p w14:paraId="437D03B7" w14:textId="77777777" w:rsidR="005B533A" w:rsidRDefault="005B533A" w:rsidP="00C37D47">
      <w:pPr>
        <w:spacing w:line="288" w:lineRule="auto"/>
        <w:jc w:val="both"/>
        <w:rPr>
          <w:rFonts w:ascii="Arial" w:hAnsi="Arial" w:cs="Arial"/>
          <w:sz w:val="22"/>
          <w:szCs w:val="22"/>
          <w:lang w:val="es-ES_tradnl" w:eastAsia="es-CO"/>
        </w:rPr>
      </w:pPr>
    </w:p>
    <w:p w14:paraId="7B8EEEDE" w14:textId="77777777" w:rsidR="004448EA" w:rsidRPr="00FB5181" w:rsidRDefault="004448EA"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114D19EF" w14:textId="77777777" w:rsidR="004448EA" w:rsidRDefault="004448EA" w:rsidP="00CA76B9">
      <w:pPr>
        <w:spacing w:line="288" w:lineRule="auto"/>
        <w:rPr>
          <w:rFonts w:ascii="Arial" w:hAnsi="Arial" w:cs="Arial"/>
          <w:b/>
          <w:sz w:val="22"/>
          <w:szCs w:val="22"/>
        </w:rPr>
      </w:pPr>
    </w:p>
    <w:p w14:paraId="23E890BC" w14:textId="4322FDB2" w:rsidR="004448EA" w:rsidRDefault="00A67201" w:rsidP="00CA76B9">
      <w:pPr>
        <w:spacing w:line="288" w:lineRule="auto"/>
        <w:jc w:val="both"/>
        <w:rPr>
          <w:rFonts w:ascii="Arial" w:hAnsi="Arial" w:cs="Arial"/>
          <w:sz w:val="22"/>
          <w:szCs w:val="22"/>
        </w:rPr>
      </w:pPr>
      <w:r w:rsidRPr="007C2386">
        <w:rPr>
          <w:rFonts w:ascii="Arial" w:hAnsi="Arial" w:cs="Arial"/>
          <w:sz w:val="22"/>
          <w:szCs w:val="22"/>
        </w:rPr>
        <w:t>Ahora bie</w:t>
      </w:r>
      <w:r>
        <w:rPr>
          <w:rFonts w:ascii="Arial" w:hAnsi="Arial" w:cs="Arial"/>
          <w:sz w:val="22"/>
          <w:szCs w:val="22"/>
        </w:rPr>
        <w:t xml:space="preserve">n, dado que dentro de las cuentas por pagar se destacan las partidas generadas por concepto de </w:t>
      </w:r>
      <w:r w:rsidRPr="00FB5181">
        <w:rPr>
          <w:rFonts w:ascii="Arial" w:hAnsi="Arial" w:cs="Arial"/>
          <w:i/>
          <w:sz w:val="22"/>
          <w:szCs w:val="22"/>
          <w:lang w:eastAsia="es-CO"/>
        </w:rPr>
        <w:t>“Propósito General”</w:t>
      </w:r>
      <w:r w:rsidRPr="003D540A">
        <w:rPr>
          <w:rFonts w:ascii="Arial" w:hAnsi="Arial" w:cs="Arial"/>
          <w:sz w:val="22"/>
          <w:szCs w:val="22"/>
          <w:lang w:eastAsia="es-CO"/>
        </w:rPr>
        <w:t xml:space="preserve"> </w:t>
      </w:r>
      <w:r>
        <w:rPr>
          <w:rFonts w:ascii="Arial" w:hAnsi="Arial" w:cs="Arial"/>
          <w:sz w:val="22"/>
          <w:szCs w:val="22"/>
          <w:lang w:eastAsia="es-CO"/>
        </w:rPr>
        <w:t xml:space="preserve">y </w:t>
      </w:r>
      <w:r w:rsidRPr="00FB5181">
        <w:rPr>
          <w:rFonts w:ascii="Arial" w:hAnsi="Arial" w:cs="Arial"/>
          <w:i/>
          <w:sz w:val="22"/>
          <w:szCs w:val="22"/>
          <w:lang w:eastAsia="es-CO"/>
        </w:rPr>
        <w:t>“Asignaciones Especiales</w:t>
      </w:r>
      <w:r>
        <w:rPr>
          <w:rFonts w:ascii="Arial" w:hAnsi="Arial" w:cs="Arial"/>
          <w:i/>
          <w:sz w:val="22"/>
          <w:szCs w:val="22"/>
          <w:lang w:eastAsia="es-CO"/>
        </w:rPr>
        <w:t xml:space="preserve">” </w:t>
      </w:r>
      <w:r>
        <w:rPr>
          <w:rFonts w:ascii="Arial" w:hAnsi="Arial" w:cs="Arial"/>
          <w:sz w:val="22"/>
          <w:szCs w:val="22"/>
          <w:lang w:eastAsia="es-CO"/>
        </w:rPr>
        <w:t xml:space="preserve">del Sistema General de Participaciones (SGP), a </w:t>
      </w:r>
      <w:proofErr w:type="gramStart"/>
      <w:r>
        <w:rPr>
          <w:rFonts w:ascii="Arial" w:hAnsi="Arial" w:cs="Arial"/>
          <w:sz w:val="22"/>
          <w:szCs w:val="22"/>
          <w:lang w:eastAsia="es-CO"/>
        </w:rPr>
        <w:t>continuación</w:t>
      </w:r>
      <w:proofErr w:type="gramEnd"/>
      <w:r>
        <w:rPr>
          <w:rFonts w:ascii="Arial" w:hAnsi="Arial" w:cs="Arial"/>
          <w:sz w:val="22"/>
          <w:szCs w:val="22"/>
          <w:lang w:eastAsia="es-CO"/>
        </w:rPr>
        <w:t xml:space="preserve"> se presentan algunos criterios para su registro</w:t>
      </w:r>
      <w:r w:rsidR="00C53AF1">
        <w:rPr>
          <w:rFonts w:ascii="Arial" w:hAnsi="Arial" w:cs="Arial"/>
          <w:sz w:val="22"/>
          <w:szCs w:val="22"/>
          <w:lang w:eastAsia="es-CO"/>
        </w:rPr>
        <w:t xml:space="preserve"> y conciliación</w:t>
      </w:r>
      <w:r>
        <w:rPr>
          <w:rFonts w:ascii="Arial" w:hAnsi="Arial" w:cs="Arial"/>
          <w:sz w:val="22"/>
          <w:szCs w:val="22"/>
          <w:lang w:eastAsia="es-CO"/>
        </w:rPr>
        <w:t>.</w:t>
      </w:r>
      <w:r>
        <w:rPr>
          <w:rFonts w:ascii="Arial" w:hAnsi="Arial" w:cs="Arial"/>
          <w:sz w:val="22"/>
          <w:szCs w:val="22"/>
        </w:rPr>
        <w:t xml:space="preserve"> </w:t>
      </w:r>
    </w:p>
    <w:p w14:paraId="295C14C8" w14:textId="77777777" w:rsidR="00A67201" w:rsidRPr="007C2386" w:rsidRDefault="00A67201" w:rsidP="00CA76B9">
      <w:pPr>
        <w:spacing w:line="288" w:lineRule="auto"/>
        <w:rPr>
          <w:rFonts w:ascii="Arial" w:hAnsi="Arial" w:cs="Arial"/>
          <w:sz w:val="22"/>
          <w:szCs w:val="22"/>
        </w:rPr>
      </w:pPr>
    </w:p>
    <w:p w14:paraId="41B324BE" w14:textId="77777777" w:rsidR="005A429A" w:rsidRDefault="005A429A" w:rsidP="00CA76B9">
      <w:pPr>
        <w:numPr>
          <w:ilvl w:val="3"/>
          <w:numId w:val="1"/>
        </w:numPr>
        <w:spacing w:line="288" w:lineRule="auto"/>
        <w:rPr>
          <w:rFonts w:ascii="Arial" w:hAnsi="Arial" w:cs="Arial"/>
          <w:b/>
          <w:sz w:val="22"/>
          <w:szCs w:val="22"/>
        </w:rPr>
      </w:pPr>
      <w:r>
        <w:rPr>
          <w:rFonts w:ascii="Arial" w:hAnsi="Arial" w:cs="Arial"/>
          <w:b/>
          <w:sz w:val="22"/>
          <w:szCs w:val="22"/>
        </w:rPr>
        <w:t>Sistema General de Participaciones</w:t>
      </w:r>
    </w:p>
    <w:p w14:paraId="643085B6" w14:textId="39A75022" w:rsidR="005A429A" w:rsidRDefault="005A429A" w:rsidP="00CA76B9">
      <w:pPr>
        <w:spacing w:line="288" w:lineRule="auto"/>
        <w:rPr>
          <w:rFonts w:ascii="Arial" w:hAnsi="Arial" w:cs="Arial"/>
          <w:b/>
          <w:sz w:val="22"/>
          <w:szCs w:val="22"/>
        </w:rPr>
      </w:pPr>
    </w:p>
    <w:p w14:paraId="38457B9B" w14:textId="2D61D872" w:rsidR="00205B49" w:rsidRDefault="009F61F4" w:rsidP="00CA76B9">
      <w:pPr>
        <w:spacing w:line="288" w:lineRule="auto"/>
        <w:jc w:val="both"/>
        <w:rPr>
          <w:rFonts w:ascii="Arial" w:hAnsi="Arial" w:cs="Arial"/>
          <w:color w:val="323E4F"/>
          <w:sz w:val="22"/>
          <w:szCs w:val="22"/>
        </w:rPr>
      </w:pPr>
      <w:r>
        <w:rPr>
          <w:rFonts w:ascii="Arial" w:hAnsi="Arial" w:cs="Arial"/>
          <w:sz w:val="22"/>
          <w:szCs w:val="22"/>
          <w:lang w:eastAsia="es-CO"/>
        </w:rPr>
        <w:t xml:space="preserve">El ajuste a la </w:t>
      </w:r>
      <w:proofErr w:type="spellStart"/>
      <w:r w:rsidR="003D540A">
        <w:rPr>
          <w:rFonts w:ascii="Arial" w:hAnsi="Arial" w:cs="Arial"/>
          <w:sz w:val="22"/>
          <w:szCs w:val="22"/>
          <w:lang w:eastAsia="es-CO"/>
        </w:rPr>
        <w:t>causación</w:t>
      </w:r>
      <w:proofErr w:type="spellEnd"/>
      <w:r w:rsidR="003D540A">
        <w:rPr>
          <w:rFonts w:ascii="Arial" w:hAnsi="Arial" w:cs="Arial"/>
          <w:sz w:val="22"/>
          <w:szCs w:val="22"/>
          <w:lang w:eastAsia="es-CO"/>
        </w:rPr>
        <w:t xml:space="preserve"> de las partidas por concepto de </w:t>
      </w:r>
      <w:r w:rsidR="003D540A" w:rsidRPr="007C2386">
        <w:rPr>
          <w:rFonts w:ascii="Arial" w:hAnsi="Arial" w:cs="Arial"/>
          <w:i/>
          <w:sz w:val="22"/>
          <w:szCs w:val="22"/>
          <w:lang w:eastAsia="es-CO"/>
        </w:rPr>
        <w:t>“Propósito General”</w:t>
      </w:r>
      <w:r w:rsidR="003D540A" w:rsidRPr="003D540A">
        <w:rPr>
          <w:rFonts w:ascii="Arial" w:hAnsi="Arial" w:cs="Arial"/>
          <w:sz w:val="22"/>
          <w:szCs w:val="22"/>
          <w:lang w:eastAsia="es-CO"/>
        </w:rPr>
        <w:t xml:space="preserve"> </w:t>
      </w:r>
      <w:r w:rsidR="003D540A">
        <w:rPr>
          <w:rFonts w:ascii="Arial" w:hAnsi="Arial" w:cs="Arial"/>
          <w:sz w:val="22"/>
          <w:szCs w:val="22"/>
          <w:lang w:eastAsia="es-CO"/>
        </w:rPr>
        <w:t xml:space="preserve">y </w:t>
      </w:r>
      <w:r w:rsidR="003D540A" w:rsidRPr="007C2386">
        <w:rPr>
          <w:rFonts w:ascii="Arial" w:hAnsi="Arial" w:cs="Arial"/>
          <w:i/>
          <w:sz w:val="22"/>
          <w:szCs w:val="22"/>
          <w:lang w:eastAsia="es-CO"/>
        </w:rPr>
        <w:t>“Asignaciones Especiales</w:t>
      </w:r>
      <w:r w:rsidR="003D540A">
        <w:rPr>
          <w:rFonts w:ascii="Arial" w:hAnsi="Arial" w:cs="Arial"/>
          <w:i/>
          <w:sz w:val="22"/>
          <w:szCs w:val="22"/>
          <w:lang w:eastAsia="es-CO"/>
        </w:rPr>
        <w:t xml:space="preserve">” </w:t>
      </w:r>
      <w:r w:rsidR="003D540A">
        <w:rPr>
          <w:rFonts w:ascii="Arial" w:hAnsi="Arial" w:cs="Arial"/>
          <w:sz w:val="22"/>
          <w:szCs w:val="22"/>
          <w:lang w:eastAsia="es-CO"/>
        </w:rPr>
        <w:t xml:space="preserve">del Sistema General de </w:t>
      </w:r>
      <w:r w:rsidR="003D540A" w:rsidRPr="00854101">
        <w:rPr>
          <w:rFonts w:ascii="Arial" w:hAnsi="Arial" w:cs="Arial"/>
          <w:sz w:val="22"/>
          <w:szCs w:val="22"/>
          <w:lang w:eastAsia="es-CO"/>
        </w:rPr>
        <w:t>Participaciones</w:t>
      </w:r>
      <w:r w:rsidR="00205B49" w:rsidRPr="00854101">
        <w:rPr>
          <w:rFonts w:ascii="Arial" w:hAnsi="Arial" w:cs="Arial"/>
          <w:sz w:val="22"/>
          <w:szCs w:val="22"/>
          <w:lang w:eastAsia="es-CO"/>
        </w:rPr>
        <w:t xml:space="preserve"> (SGP), es una </w:t>
      </w:r>
      <w:r w:rsidR="003D540A" w:rsidRPr="00854101">
        <w:rPr>
          <w:rFonts w:ascii="Arial" w:hAnsi="Arial" w:cs="Arial"/>
          <w:sz w:val="22"/>
          <w:szCs w:val="22"/>
          <w:lang w:eastAsia="es-CO"/>
        </w:rPr>
        <w:t>actividad que realiza el Grupo de Contabilidad</w:t>
      </w:r>
      <w:r w:rsidR="00205B49" w:rsidRPr="00854101">
        <w:rPr>
          <w:rFonts w:ascii="Arial" w:hAnsi="Arial" w:cs="Arial"/>
          <w:sz w:val="22"/>
          <w:szCs w:val="22"/>
          <w:lang w:eastAsia="es-CO"/>
        </w:rPr>
        <w:t xml:space="preserve"> de la Subdirección Financiera</w:t>
      </w:r>
      <w:r w:rsidR="003D540A" w:rsidRPr="00854101">
        <w:rPr>
          <w:rFonts w:ascii="Arial" w:hAnsi="Arial" w:cs="Arial"/>
          <w:sz w:val="22"/>
          <w:szCs w:val="22"/>
          <w:lang w:eastAsia="es-CO"/>
        </w:rPr>
        <w:t xml:space="preserve">, </w:t>
      </w:r>
      <w:r w:rsidR="003D540A" w:rsidRPr="00854101">
        <w:rPr>
          <w:rFonts w:ascii="Arial" w:hAnsi="Arial" w:cs="Arial"/>
          <w:sz w:val="22"/>
          <w:szCs w:val="22"/>
        </w:rPr>
        <w:t xml:space="preserve">dentro de los primeros </w:t>
      </w:r>
      <w:r w:rsidR="00205B49" w:rsidRPr="00854101">
        <w:rPr>
          <w:rFonts w:ascii="Arial" w:hAnsi="Arial" w:cs="Arial"/>
          <w:sz w:val="22"/>
          <w:szCs w:val="22"/>
        </w:rPr>
        <w:t>quince (</w:t>
      </w:r>
      <w:r w:rsidR="003D540A" w:rsidRPr="00854101">
        <w:rPr>
          <w:rFonts w:ascii="Arial" w:hAnsi="Arial" w:cs="Arial"/>
          <w:sz w:val="22"/>
          <w:szCs w:val="22"/>
        </w:rPr>
        <w:t>15</w:t>
      </w:r>
      <w:r w:rsidR="00205B49" w:rsidRPr="00854101">
        <w:rPr>
          <w:rFonts w:ascii="Arial" w:hAnsi="Arial" w:cs="Arial"/>
          <w:sz w:val="22"/>
          <w:szCs w:val="22"/>
        </w:rPr>
        <w:t>)</w:t>
      </w:r>
      <w:r w:rsidR="003D540A" w:rsidRPr="00854101">
        <w:rPr>
          <w:rFonts w:ascii="Arial" w:hAnsi="Arial" w:cs="Arial"/>
          <w:sz w:val="22"/>
          <w:szCs w:val="22"/>
        </w:rPr>
        <w:t xml:space="preserve"> </w:t>
      </w:r>
      <w:r w:rsidR="00205B49" w:rsidRPr="00854101">
        <w:rPr>
          <w:rFonts w:ascii="Arial" w:hAnsi="Arial" w:cs="Arial"/>
          <w:sz w:val="22"/>
          <w:szCs w:val="22"/>
        </w:rPr>
        <w:t>días</w:t>
      </w:r>
      <w:r w:rsidR="003D540A" w:rsidRPr="00854101">
        <w:rPr>
          <w:rFonts w:ascii="Arial" w:hAnsi="Arial" w:cs="Arial"/>
          <w:sz w:val="22"/>
          <w:szCs w:val="22"/>
        </w:rPr>
        <w:t xml:space="preserve"> hábiles </w:t>
      </w:r>
      <w:r w:rsidR="0084393E">
        <w:rPr>
          <w:rFonts w:ascii="Arial" w:hAnsi="Arial" w:cs="Arial"/>
          <w:sz w:val="22"/>
          <w:szCs w:val="22"/>
        </w:rPr>
        <w:t xml:space="preserve">del mes </w:t>
      </w:r>
      <w:r w:rsidR="003D540A" w:rsidRPr="00854101">
        <w:rPr>
          <w:rFonts w:ascii="Arial" w:hAnsi="Arial" w:cs="Arial"/>
          <w:sz w:val="22"/>
          <w:szCs w:val="22"/>
        </w:rPr>
        <w:t>siguiente</w:t>
      </w:r>
      <w:r w:rsidR="00205B49" w:rsidRPr="00854101">
        <w:rPr>
          <w:rFonts w:ascii="Arial" w:hAnsi="Arial" w:cs="Arial"/>
          <w:sz w:val="22"/>
          <w:szCs w:val="22"/>
        </w:rPr>
        <w:t xml:space="preserve"> al </w:t>
      </w:r>
      <w:r w:rsidR="003D540A" w:rsidRPr="00854101">
        <w:rPr>
          <w:rFonts w:ascii="Arial" w:hAnsi="Arial" w:cs="Arial"/>
          <w:sz w:val="22"/>
          <w:szCs w:val="22"/>
        </w:rPr>
        <w:t>que corresponde la información</w:t>
      </w:r>
      <w:r w:rsidR="00205B49" w:rsidRPr="00854101">
        <w:rPr>
          <w:rFonts w:ascii="Arial" w:hAnsi="Arial" w:cs="Arial"/>
          <w:sz w:val="22"/>
          <w:szCs w:val="22"/>
        </w:rPr>
        <w:t xml:space="preserve">. </w:t>
      </w:r>
    </w:p>
    <w:p w14:paraId="1E11054C" w14:textId="77777777" w:rsidR="0015525B" w:rsidRDefault="0015525B" w:rsidP="00CA76B9">
      <w:pPr>
        <w:spacing w:line="288" w:lineRule="auto"/>
        <w:jc w:val="both"/>
        <w:rPr>
          <w:rFonts w:ascii="Arial" w:hAnsi="Arial" w:cs="Arial"/>
          <w:color w:val="323E4F"/>
          <w:sz w:val="22"/>
          <w:szCs w:val="22"/>
        </w:rPr>
      </w:pPr>
    </w:p>
    <w:p w14:paraId="1CC0500D" w14:textId="4ACD3FDF" w:rsidR="003D540A" w:rsidRPr="00341CB3" w:rsidRDefault="00205B49" w:rsidP="00CA76B9">
      <w:pPr>
        <w:spacing w:line="288" w:lineRule="auto"/>
        <w:jc w:val="both"/>
        <w:rPr>
          <w:rFonts w:ascii="Arial" w:hAnsi="Arial" w:cs="Arial"/>
          <w:sz w:val="22"/>
          <w:szCs w:val="22"/>
        </w:rPr>
      </w:pPr>
      <w:r w:rsidRPr="00341CB3">
        <w:rPr>
          <w:rFonts w:ascii="Arial" w:hAnsi="Arial" w:cs="Arial"/>
          <w:sz w:val="22"/>
          <w:szCs w:val="22"/>
        </w:rPr>
        <w:t>Para el efecto</w:t>
      </w:r>
      <w:r w:rsidR="003D540A" w:rsidRPr="00341CB3">
        <w:rPr>
          <w:rFonts w:ascii="Arial" w:hAnsi="Arial" w:cs="Arial"/>
          <w:sz w:val="22"/>
          <w:szCs w:val="22"/>
          <w:lang w:eastAsia="es-CO"/>
        </w:rPr>
        <w:t>,</w:t>
      </w:r>
      <w:r w:rsidRPr="00341CB3">
        <w:rPr>
          <w:rFonts w:ascii="Arial" w:hAnsi="Arial" w:cs="Arial"/>
          <w:sz w:val="22"/>
          <w:szCs w:val="22"/>
          <w:lang w:eastAsia="es-CO"/>
        </w:rPr>
        <w:t xml:space="preserve"> s</w:t>
      </w:r>
      <w:r w:rsidR="003D540A" w:rsidRPr="00341CB3">
        <w:rPr>
          <w:rFonts w:ascii="Arial" w:hAnsi="Arial" w:cs="Arial"/>
          <w:sz w:val="22"/>
          <w:szCs w:val="22"/>
        </w:rPr>
        <w:t>e genera</w:t>
      </w:r>
      <w:r w:rsidRPr="00341CB3">
        <w:rPr>
          <w:rFonts w:ascii="Arial" w:hAnsi="Arial" w:cs="Arial"/>
          <w:sz w:val="22"/>
          <w:szCs w:val="22"/>
        </w:rPr>
        <w:t>n</w:t>
      </w:r>
      <w:r w:rsidR="003D540A" w:rsidRPr="00341CB3">
        <w:rPr>
          <w:rFonts w:ascii="Arial" w:hAnsi="Arial" w:cs="Arial"/>
          <w:sz w:val="22"/>
          <w:szCs w:val="22"/>
        </w:rPr>
        <w:t xml:space="preserve"> de la aplicación</w:t>
      </w:r>
      <w:r w:rsidRPr="00341CB3">
        <w:rPr>
          <w:rFonts w:ascii="Arial" w:hAnsi="Arial" w:cs="Arial"/>
          <w:sz w:val="22"/>
          <w:szCs w:val="22"/>
        </w:rPr>
        <w:t xml:space="preserve"> </w:t>
      </w:r>
      <w:r w:rsidRPr="00341CB3">
        <w:rPr>
          <w:rFonts w:ascii="Arial" w:hAnsi="Arial" w:cs="Arial"/>
          <w:i/>
          <w:iCs/>
          <w:sz w:val="22"/>
          <w:szCs w:val="22"/>
        </w:rPr>
        <w:t>“</w:t>
      </w:r>
      <w:r w:rsidR="003D540A" w:rsidRPr="00341CB3">
        <w:rPr>
          <w:rFonts w:ascii="Arial" w:hAnsi="Arial" w:cs="Arial"/>
          <w:i/>
          <w:iCs/>
          <w:sz w:val="22"/>
          <w:szCs w:val="22"/>
        </w:rPr>
        <w:t>Sistema General de Participaciones</w:t>
      </w:r>
      <w:r w:rsidRPr="00341CB3">
        <w:rPr>
          <w:rFonts w:ascii="Arial" w:hAnsi="Arial" w:cs="Arial"/>
          <w:i/>
          <w:iCs/>
          <w:sz w:val="22"/>
          <w:szCs w:val="22"/>
        </w:rPr>
        <w:t>”,</w:t>
      </w:r>
      <w:r w:rsidRPr="00341CB3">
        <w:rPr>
          <w:rFonts w:ascii="Arial" w:hAnsi="Arial" w:cs="Arial"/>
          <w:sz w:val="22"/>
          <w:szCs w:val="22"/>
        </w:rPr>
        <w:t xml:space="preserve"> los reportes denominados </w:t>
      </w:r>
      <w:r w:rsidRPr="00341CB3">
        <w:rPr>
          <w:rFonts w:ascii="Arial" w:hAnsi="Arial" w:cs="Arial"/>
          <w:i/>
          <w:iCs/>
          <w:sz w:val="22"/>
          <w:szCs w:val="22"/>
        </w:rPr>
        <w:t>“R</w:t>
      </w:r>
      <w:r w:rsidR="003D540A" w:rsidRPr="00341CB3">
        <w:rPr>
          <w:rFonts w:ascii="Arial" w:hAnsi="Arial" w:cs="Arial"/>
          <w:i/>
          <w:iCs/>
          <w:sz w:val="22"/>
          <w:szCs w:val="22"/>
        </w:rPr>
        <w:t>elación c</w:t>
      </w:r>
      <w:r w:rsidRPr="00341CB3">
        <w:rPr>
          <w:rFonts w:ascii="Arial" w:hAnsi="Arial" w:cs="Arial"/>
          <w:i/>
          <w:iCs/>
          <w:sz w:val="22"/>
          <w:szCs w:val="22"/>
        </w:rPr>
        <w:t>ruce consolidado por rubro”</w:t>
      </w:r>
      <w:r w:rsidRPr="00341CB3">
        <w:rPr>
          <w:rFonts w:ascii="Arial" w:hAnsi="Arial" w:cs="Arial"/>
          <w:sz w:val="22"/>
          <w:szCs w:val="22"/>
        </w:rPr>
        <w:t xml:space="preserve"> y </w:t>
      </w:r>
      <w:r w:rsidRPr="00341CB3">
        <w:rPr>
          <w:rFonts w:ascii="Arial" w:hAnsi="Arial" w:cs="Arial"/>
          <w:i/>
          <w:iCs/>
          <w:sz w:val="22"/>
          <w:szCs w:val="22"/>
        </w:rPr>
        <w:t>“R</w:t>
      </w:r>
      <w:r w:rsidR="003D540A" w:rsidRPr="00341CB3">
        <w:rPr>
          <w:rFonts w:ascii="Arial" w:hAnsi="Arial" w:cs="Arial"/>
          <w:i/>
          <w:iCs/>
          <w:sz w:val="22"/>
          <w:szCs w:val="22"/>
        </w:rPr>
        <w:t>elación cruce detallado por rubro”.</w:t>
      </w:r>
      <w:r w:rsidR="003D540A" w:rsidRPr="00341CB3">
        <w:rPr>
          <w:rFonts w:ascii="Arial" w:hAnsi="Arial" w:cs="Arial"/>
          <w:sz w:val="22"/>
          <w:szCs w:val="22"/>
        </w:rPr>
        <w:t xml:space="preserve"> </w:t>
      </w:r>
    </w:p>
    <w:p w14:paraId="3F181A5D" w14:textId="77777777" w:rsidR="0015525B" w:rsidRPr="007C2386" w:rsidRDefault="0015525B" w:rsidP="00CA76B9">
      <w:pPr>
        <w:spacing w:line="288" w:lineRule="auto"/>
        <w:jc w:val="both"/>
        <w:rPr>
          <w:rFonts w:ascii="Arial" w:hAnsi="Arial" w:cs="Arial"/>
          <w:sz w:val="22"/>
          <w:szCs w:val="22"/>
          <w:lang w:eastAsia="es-CO"/>
        </w:rPr>
      </w:pPr>
    </w:p>
    <w:p w14:paraId="18CBD286" w14:textId="6ECD3A76" w:rsidR="003D540A" w:rsidRDefault="003D540A" w:rsidP="00CA76B9">
      <w:pPr>
        <w:spacing w:line="288" w:lineRule="auto"/>
        <w:jc w:val="both"/>
        <w:rPr>
          <w:rFonts w:ascii="Arial" w:hAnsi="Arial" w:cs="Arial"/>
          <w:sz w:val="22"/>
          <w:szCs w:val="22"/>
        </w:rPr>
      </w:pPr>
      <w:r w:rsidRPr="007C2386">
        <w:rPr>
          <w:rFonts w:ascii="Arial" w:hAnsi="Arial" w:cs="Arial"/>
          <w:sz w:val="22"/>
          <w:szCs w:val="22"/>
        </w:rPr>
        <w:t>Con la información suministrada por el rep</w:t>
      </w:r>
      <w:r w:rsidR="00205B49" w:rsidRPr="00205B49">
        <w:rPr>
          <w:rFonts w:ascii="Arial" w:hAnsi="Arial" w:cs="Arial"/>
          <w:sz w:val="22"/>
          <w:szCs w:val="22"/>
        </w:rPr>
        <w:t xml:space="preserve">orte </w:t>
      </w:r>
      <w:r w:rsidR="00205B49" w:rsidRPr="0084393E">
        <w:rPr>
          <w:rFonts w:ascii="Arial" w:hAnsi="Arial" w:cs="Arial"/>
          <w:i/>
          <w:iCs/>
          <w:sz w:val="22"/>
          <w:szCs w:val="22"/>
        </w:rPr>
        <w:t>“R</w:t>
      </w:r>
      <w:r w:rsidRPr="0084393E">
        <w:rPr>
          <w:rFonts w:ascii="Arial" w:hAnsi="Arial" w:cs="Arial"/>
          <w:i/>
          <w:iCs/>
          <w:sz w:val="22"/>
          <w:szCs w:val="22"/>
        </w:rPr>
        <w:t>elación cruce detallado por rubro”,</w:t>
      </w:r>
      <w:r w:rsidRPr="007C2386">
        <w:rPr>
          <w:rFonts w:ascii="Arial" w:hAnsi="Arial" w:cs="Arial"/>
          <w:sz w:val="22"/>
          <w:szCs w:val="22"/>
        </w:rPr>
        <w:t xml:space="preserve"> se debe seleccionar la información correspondiente a los giros </w:t>
      </w:r>
      <w:r w:rsidR="00205B49">
        <w:rPr>
          <w:rFonts w:ascii="Arial" w:hAnsi="Arial" w:cs="Arial"/>
          <w:sz w:val="22"/>
          <w:szCs w:val="22"/>
        </w:rPr>
        <w:t xml:space="preserve">efectuados </w:t>
      </w:r>
      <w:r w:rsidRPr="007C2386">
        <w:rPr>
          <w:rFonts w:ascii="Arial" w:hAnsi="Arial" w:cs="Arial"/>
          <w:sz w:val="22"/>
          <w:szCs w:val="22"/>
        </w:rPr>
        <w:t>al FONPET</w:t>
      </w:r>
      <w:r w:rsidR="00205B49">
        <w:rPr>
          <w:rFonts w:ascii="Arial" w:hAnsi="Arial" w:cs="Arial"/>
          <w:sz w:val="22"/>
          <w:szCs w:val="22"/>
        </w:rPr>
        <w:t xml:space="preserve"> en virtud de la L</w:t>
      </w:r>
      <w:r w:rsidRPr="007C2386">
        <w:rPr>
          <w:rFonts w:ascii="Arial" w:hAnsi="Arial" w:cs="Arial"/>
          <w:sz w:val="22"/>
          <w:szCs w:val="22"/>
        </w:rPr>
        <w:t>ey 863/03</w:t>
      </w:r>
      <w:r w:rsidR="00205B49">
        <w:rPr>
          <w:rFonts w:ascii="Arial" w:hAnsi="Arial" w:cs="Arial"/>
          <w:sz w:val="22"/>
          <w:szCs w:val="22"/>
        </w:rPr>
        <w:t>,</w:t>
      </w:r>
      <w:r w:rsidRPr="007C2386">
        <w:rPr>
          <w:rFonts w:ascii="Arial" w:hAnsi="Arial" w:cs="Arial"/>
          <w:sz w:val="22"/>
          <w:szCs w:val="22"/>
        </w:rPr>
        <w:t xml:space="preserve"> con el fin de elaborar </w:t>
      </w:r>
      <w:r w:rsidR="00205B49">
        <w:rPr>
          <w:rFonts w:ascii="Arial" w:hAnsi="Arial" w:cs="Arial"/>
          <w:sz w:val="22"/>
          <w:szCs w:val="22"/>
        </w:rPr>
        <w:t xml:space="preserve">el ajuste correspondiente en el SIIF Nación. </w:t>
      </w:r>
    </w:p>
    <w:p w14:paraId="5248AF03" w14:textId="77777777" w:rsidR="0015525B" w:rsidRPr="007C2386" w:rsidRDefault="0015525B" w:rsidP="00CA76B9">
      <w:pPr>
        <w:spacing w:line="288" w:lineRule="auto"/>
        <w:jc w:val="both"/>
        <w:rPr>
          <w:rFonts w:ascii="Arial" w:hAnsi="Arial" w:cs="Arial"/>
          <w:sz w:val="22"/>
          <w:szCs w:val="22"/>
        </w:rPr>
      </w:pPr>
    </w:p>
    <w:p w14:paraId="37DEF06A" w14:textId="615CDEF9" w:rsidR="005A429A" w:rsidRDefault="003D540A" w:rsidP="00CA76B9">
      <w:pPr>
        <w:spacing w:line="288" w:lineRule="auto"/>
        <w:jc w:val="both"/>
        <w:rPr>
          <w:rFonts w:ascii="Arial" w:hAnsi="Arial" w:cs="Arial"/>
          <w:sz w:val="22"/>
          <w:szCs w:val="22"/>
          <w:lang w:eastAsia="es-CO"/>
        </w:rPr>
      </w:pPr>
      <w:r w:rsidRPr="007C2386">
        <w:rPr>
          <w:rFonts w:ascii="Arial" w:hAnsi="Arial" w:cs="Arial"/>
          <w:sz w:val="22"/>
          <w:szCs w:val="22"/>
        </w:rPr>
        <w:t>Una vez realizados los ajustes correspondientes, se debe generar</w:t>
      </w:r>
      <w:r w:rsidR="001D0D0A">
        <w:rPr>
          <w:rFonts w:ascii="Arial" w:hAnsi="Arial" w:cs="Arial"/>
          <w:sz w:val="22"/>
          <w:szCs w:val="22"/>
        </w:rPr>
        <w:t xml:space="preserve"> de SIIF </w:t>
      </w:r>
      <w:r w:rsidRPr="007C2386">
        <w:rPr>
          <w:rFonts w:ascii="Arial" w:hAnsi="Arial" w:cs="Arial"/>
          <w:sz w:val="22"/>
          <w:szCs w:val="22"/>
        </w:rPr>
        <w:t xml:space="preserve">el reporte denominado </w:t>
      </w:r>
      <w:r w:rsidR="001D0D0A">
        <w:rPr>
          <w:rFonts w:ascii="Arial" w:hAnsi="Arial" w:cs="Arial"/>
          <w:sz w:val="22"/>
          <w:szCs w:val="22"/>
        </w:rPr>
        <w:t>“</w:t>
      </w:r>
      <w:r w:rsidRPr="007C2386">
        <w:rPr>
          <w:rFonts w:ascii="Arial" w:hAnsi="Arial" w:cs="Arial"/>
          <w:i/>
          <w:sz w:val="22"/>
          <w:szCs w:val="22"/>
        </w:rPr>
        <w:t>Auxiliar Contable por PCI</w:t>
      </w:r>
      <w:r w:rsidR="001D0D0A">
        <w:rPr>
          <w:rFonts w:ascii="Arial" w:hAnsi="Arial" w:cs="Arial"/>
          <w:sz w:val="22"/>
          <w:szCs w:val="22"/>
        </w:rPr>
        <w:t>”</w:t>
      </w:r>
      <w:r w:rsidRPr="007C2386">
        <w:rPr>
          <w:rFonts w:ascii="Arial" w:hAnsi="Arial" w:cs="Arial"/>
          <w:sz w:val="22"/>
          <w:szCs w:val="22"/>
        </w:rPr>
        <w:t xml:space="preserve">, con el fin de conciliar los saldos por tercero con los reportes de </w:t>
      </w:r>
      <w:r w:rsidRPr="0084393E">
        <w:rPr>
          <w:rFonts w:ascii="Arial" w:hAnsi="Arial" w:cs="Arial"/>
          <w:i/>
          <w:iCs/>
          <w:sz w:val="22"/>
          <w:szCs w:val="22"/>
        </w:rPr>
        <w:t>“</w:t>
      </w:r>
      <w:r w:rsidR="001D0D0A" w:rsidRPr="0084393E">
        <w:rPr>
          <w:rFonts w:ascii="Arial" w:hAnsi="Arial" w:cs="Arial"/>
          <w:i/>
          <w:iCs/>
          <w:sz w:val="22"/>
          <w:szCs w:val="22"/>
        </w:rPr>
        <w:t>R</w:t>
      </w:r>
      <w:r w:rsidRPr="0084393E">
        <w:rPr>
          <w:rFonts w:ascii="Arial" w:hAnsi="Arial" w:cs="Arial"/>
          <w:i/>
          <w:iCs/>
          <w:sz w:val="22"/>
          <w:szCs w:val="22"/>
        </w:rPr>
        <w:t>elación c</w:t>
      </w:r>
      <w:r w:rsidR="001D0D0A" w:rsidRPr="0084393E">
        <w:rPr>
          <w:rFonts w:ascii="Arial" w:hAnsi="Arial" w:cs="Arial"/>
          <w:i/>
          <w:iCs/>
          <w:sz w:val="22"/>
          <w:szCs w:val="22"/>
        </w:rPr>
        <w:t>ruce consolidado por rubro”</w:t>
      </w:r>
      <w:r w:rsidR="001D0D0A" w:rsidRPr="001D0D0A">
        <w:rPr>
          <w:rFonts w:ascii="Arial" w:hAnsi="Arial" w:cs="Arial"/>
          <w:sz w:val="22"/>
          <w:szCs w:val="22"/>
        </w:rPr>
        <w:t xml:space="preserve"> y </w:t>
      </w:r>
      <w:r w:rsidR="001D0D0A" w:rsidRPr="0084393E">
        <w:rPr>
          <w:rFonts w:ascii="Arial" w:hAnsi="Arial" w:cs="Arial"/>
          <w:i/>
          <w:iCs/>
          <w:sz w:val="22"/>
          <w:szCs w:val="22"/>
        </w:rPr>
        <w:t>“R</w:t>
      </w:r>
      <w:r w:rsidRPr="0084393E">
        <w:rPr>
          <w:rFonts w:ascii="Arial" w:hAnsi="Arial" w:cs="Arial"/>
          <w:i/>
          <w:iCs/>
          <w:sz w:val="22"/>
          <w:szCs w:val="22"/>
        </w:rPr>
        <w:t xml:space="preserve">elación cruce detallado por </w:t>
      </w:r>
      <w:r w:rsidRPr="0084393E">
        <w:rPr>
          <w:rFonts w:ascii="Arial" w:hAnsi="Arial" w:cs="Arial"/>
          <w:i/>
          <w:iCs/>
          <w:sz w:val="22"/>
          <w:szCs w:val="22"/>
        </w:rPr>
        <w:lastRenderedPageBreak/>
        <w:t>rubro”.</w:t>
      </w:r>
      <w:r w:rsidR="001D0D0A">
        <w:rPr>
          <w:rFonts w:ascii="Arial" w:hAnsi="Arial" w:cs="Arial"/>
          <w:sz w:val="22"/>
          <w:szCs w:val="22"/>
        </w:rPr>
        <w:t xml:space="preserve"> Si se presentan </w:t>
      </w:r>
      <w:r w:rsidRPr="007C2386">
        <w:rPr>
          <w:rFonts w:ascii="Arial" w:hAnsi="Arial" w:cs="Arial"/>
          <w:sz w:val="22"/>
          <w:szCs w:val="22"/>
          <w:lang w:eastAsia="es-CO"/>
        </w:rPr>
        <w:t xml:space="preserve">diferencias de causación, se realizan los </w:t>
      </w:r>
      <w:r w:rsidR="001D0D0A">
        <w:rPr>
          <w:rFonts w:ascii="Arial" w:hAnsi="Arial" w:cs="Arial"/>
          <w:sz w:val="22"/>
          <w:szCs w:val="22"/>
          <w:lang w:eastAsia="es-CO"/>
        </w:rPr>
        <w:t xml:space="preserve">respectivos </w:t>
      </w:r>
      <w:r w:rsidRPr="007C2386">
        <w:rPr>
          <w:rFonts w:ascii="Arial" w:hAnsi="Arial" w:cs="Arial"/>
          <w:sz w:val="22"/>
          <w:szCs w:val="22"/>
          <w:lang w:eastAsia="es-CO"/>
        </w:rPr>
        <w:t>ajustes en el SIIF.</w:t>
      </w:r>
      <w:r w:rsidR="00857307">
        <w:rPr>
          <w:rFonts w:ascii="Arial" w:hAnsi="Arial" w:cs="Arial"/>
          <w:sz w:val="22"/>
          <w:szCs w:val="22"/>
          <w:lang w:eastAsia="es-CO"/>
        </w:rPr>
        <w:t xml:space="preserve"> </w:t>
      </w:r>
    </w:p>
    <w:p w14:paraId="42E2E26E" w14:textId="77777777" w:rsidR="0015525B" w:rsidRDefault="0015525B" w:rsidP="00CA76B9">
      <w:pPr>
        <w:spacing w:line="288" w:lineRule="auto"/>
        <w:jc w:val="both"/>
        <w:rPr>
          <w:rFonts w:ascii="Arial" w:hAnsi="Arial" w:cs="Arial"/>
          <w:sz w:val="22"/>
          <w:szCs w:val="22"/>
          <w:lang w:eastAsia="es-CO"/>
        </w:rPr>
      </w:pPr>
    </w:p>
    <w:p w14:paraId="2E6150A6" w14:textId="6D2D57A4" w:rsidR="00857307" w:rsidRDefault="00857307" w:rsidP="00CA76B9">
      <w:pPr>
        <w:spacing w:line="288" w:lineRule="auto"/>
        <w:jc w:val="both"/>
        <w:rPr>
          <w:rFonts w:ascii="Arial" w:hAnsi="Arial" w:cs="Arial"/>
          <w:sz w:val="22"/>
          <w:szCs w:val="22"/>
          <w:lang w:eastAsia="es-CO"/>
        </w:rPr>
      </w:pPr>
      <w:r>
        <w:rPr>
          <w:rFonts w:ascii="Arial" w:hAnsi="Arial" w:cs="Arial"/>
          <w:sz w:val="22"/>
          <w:szCs w:val="22"/>
          <w:lang w:eastAsia="es-CO"/>
        </w:rPr>
        <w:t xml:space="preserve">Finalmente, como síntesis de las actividades </w:t>
      </w:r>
      <w:r w:rsidR="003D5CD9">
        <w:rPr>
          <w:rFonts w:ascii="Arial" w:hAnsi="Arial" w:cs="Arial"/>
          <w:sz w:val="22"/>
          <w:szCs w:val="22"/>
          <w:lang w:eastAsia="es-CO"/>
        </w:rPr>
        <w:t xml:space="preserve">efectuadas </w:t>
      </w:r>
      <w:r w:rsidRPr="007C2386">
        <w:rPr>
          <w:rFonts w:ascii="Arial" w:hAnsi="Arial" w:cs="Arial"/>
          <w:sz w:val="22"/>
          <w:szCs w:val="22"/>
          <w:lang w:eastAsia="es-CO"/>
        </w:rPr>
        <w:t xml:space="preserve">se diligencia el formato </w:t>
      </w:r>
      <w:r w:rsidRPr="007C2386">
        <w:rPr>
          <w:rFonts w:ascii="Arial" w:hAnsi="Arial" w:cs="Arial"/>
          <w:i/>
          <w:sz w:val="22"/>
          <w:szCs w:val="22"/>
          <w:lang w:eastAsia="es-CO"/>
        </w:rPr>
        <w:t>Apo.3.Man.3.Fr.8 Control contable Sistema General de Participaciones (SGP).</w:t>
      </w:r>
    </w:p>
    <w:p w14:paraId="3B278E44" w14:textId="77777777" w:rsidR="0015525B" w:rsidRPr="007C2386" w:rsidRDefault="0015525B" w:rsidP="00CA76B9">
      <w:pPr>
        <w:spacing w:line="288" w:lineRule="auto"/>
        <w:jc w:val="both"/>
        <w:rPr>
          <w:rFonts w:ascii="Arial" w:hAnsi="Arial" w:cs="Arial"/>
          <w:sz w:val="22"/>
          <w:szCs w:val="22"/>
          <w:lang w:eastAsia="es-CO"/>
        </w:rPr>
      </w:pPr>
    </w:p>
    <w:p w14:paraId="01ACAA37" w14:textId="0229BDD0" w:rsidR="00AA7C1F" w:rsidRDefault="00E41BEC" w:rsidP="00CA76B9">
      <w:pPr>
        <w:pStyle w:val="Ttulo3"/>
        <w:numPr>
          <w:ilvl w:val="2"/>
          <w:numId w:val="1"/>
        </w:numPr>
        <w:spacing w:line="288" w:lineRule="auto"/>
        <w:rPr>
          <w:rFonts w:ascii="Arial" w:hAnsi="Arial" w:cs="Arial"/>
          <w:b/>
          <w:sz w:val="22"/>
          <w:szCs w:val="22"/>
        </w:rPr>
      </w:pPr>
      <w:bookmarkStart w:id="290" w:name="_Toc59377876"/>
      <w:r w:rsidRPr="00E41BEC">
        <w:rPr>
          <w:rFonts w:ascii="Arial" w:hAnsi="Arial" w:cs="Arial"/>
          <w:b/>
          <w:sz w:val="22"/>
          <w:szCs w:val="22"/>
        </w:rPr>
        <w:t>Préstamos por pagar</w:t>
      </w:r>
      <w:bookmarkEnd w:id="290"/>
    </w:p>
    <w:p w14:paraId="16637C6D" w14:textId="77777777" w:rsidR="00A25AC3" w:rsidRPr="00A25AC3" w:rsidRDefault="00A25AC3" w:rsidP="00CA76B9">
      <w:pPr>
        <w:spacing w:line="288" w:lineRule="auto"/>
      </w:pPr>
    </w:p>
    <w:p w14:paraId="0E4C48CA" w14:textId="076A0F44"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préstamos por pagar:</w:t>
      </w:r>
    </w:p>
    <w:p w14:paraId="03B2BADE" w14:textId="69B7FC27" w:rsidR="00C37D47" w:rsidRDefault="00C37D47" w:rsidP="007C2386">
      <w:pPr>
        <w:pStyle w:val="Prrafodelista"/>
        <w:ind w:left="0"/>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591"/>
        <w:gridCol w:w="6249"/>
      </w:tblGrid>
      <w:tr w:rsidR="00D743A2" w:rsidRPr="001A68E7" w14:paraId="19B50F9E" w14:textId="77777777" w:rsidTr="0068237E">
        <w:trPr>
          <w:jc w:val="center"/>
        </w:trPr>
        <w:tc>
          <w:tcPr>
            <w:tcW w:w="2591" w:type="dxa"/>
            <w:tcBorders>
              <w:bottom w:val="single" w:sz="12" w:space="0" w:color="3366CC"/>
            </w:tcBorders>
            <w:shd w:val="clear" w:color="2F5395" w:fill="3366CC"/>
            <w:vAlign w:val="center"/>
          </w:tcPr>
          <w:p w14:paraId="1DAA7647" w14:textId="77777777" w:rsidR="00D743A2" w:rsidRPr="001A68E7" w:rsidRDefault="00D743A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249" w:type="dxa"/>
            <w:tcBorders>
              <w:bottom w:val="single" w:sz="12" w:space="0" w:color="3366CC"/>
            </w:tcBorders>
            <w:shd w:val="clear" w:color="2F5395" w:fill="3366CC"/>
            <w:vAlign w:val="center"/>
          </w:tcPr>
          <w:p w14:paraId="2F884468" w14:textId="77777777" w:rsidR="00D743A2" w:rsidRPr="001A68E7" w:rsidRDefault="00D743A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D743A2" w:rsidRPr="001A68E7" w14:paraId="3A007F91" w14:textId="77777777" w:rsidTr="0068237E">
        <w:trPr>
          <w:jc w:val="center"/>
        </w:trPr>
        <w:tc>
          <w:tcPr>
            <w:tcW w:w="2591" w:type="dxa"/>
            <w:tcBorders>
              <w:top w:val="single" w:sz="12" w:space="0" w:color="3366CC"/>
              <w:bottom w:val="single" w:sz="12" w:space="0" w:color="3366CC"/>
            </w:tcBorders>
            <w:shd w:val="pct20" w:color="FFFFFF" w:fill="FFFFFF"/>
            <w:vAlign w:val="center"/>
          </w:tcPr>
          <w:p w14:paraId="5224DEF6" w14:textId="77777777" w:rsidR="00D743A2" w:rsidRPr="001A68E7" w:rsidRDefault="00D743A2" w:rsidP="00B26C22">
            <w:pPr>
              <w:spacing w:line="288" w:lineRule="auto"/>
              <w:jc w:val="center"/>
              <w:rPr>
                <w:rFonts w:ascii="Arial" w:hAnsi="Arial" w:cs="Arial"/>
                <w:bCs/>
                <w:kern w:val="32"/>
                <w:sz w:val="18"/>
                <w:szCs w:val="18"/>
                <w:lang w:val="es-ES_tradnl"/>
              </w:rPr>
            </w:pPr>
            <w:r w:rsidRPr="001A68E7">
              <w:rPr>
                <w:rFonts w:ascii="Arial" w:hAnsi="Arial" w:cs="Arial"/>
                <w:sz w:val="18"/>
                <w:szCs w:val="18"/>
                <w:lang w:val="es-ES_tradnl" w:eastAsia="es-CO"/>
              </w:rPr>
              <w:t xml:space="preserve">Área o áreas involucradas en la asunción de préstamos  </w:t>
            </w:r>
          </w:p>
        </w:tc>
        <w:tc>
          <w:tcPr>
            <w:tcW w:w="6249" w:type="dxa"/>
            <w:tcBorders>
              <w:top w:val="single" w:sz="12" w:space="0" w:color="3366CC"/>
              <w:bottom w:val="single" w:sz="12" w:space="0" w:color="3366CC"/>
            </w:tcBorders>
            <w:shd w:val="pct20" w:color="FFFFFF" w:fill="FFFFFF"/>
            <w:vAlign w:val="center"/>
          </w:tcPr>
          <w:p w14:paraId="6B8A76E7" w14:textId="77777777" w:rsidR="00D743A2" w:rsidRPr="001A68E7" w:rsidRDefault="00D743A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préstamos a cargo del Ministerio de Hacienda y Crédito Público – Gestión General. </w:t>
            </w:r>
          </w:p>
        </w:tc>
      </w:tr>
      <w:tr w:rsidR="0068237E" w:rsidRPr="001A68E7" w14:paraId="5C3D202E" w14:textId="77777777" w:rsidTr="0068237E">
        <w:trPr>
          <w:jc w:val="center"/>
        </w:trPr>
        <w:tc>
          <w:tcPr>
            <w:tcW w:w="2591" w:type="dxa"/>
            <w:tcBorders>
              <w:top w:val="single" w:sz="12" w:space="0" w:color="3366CC"/>
              <w:bottom w:val="single" w:sz="12" w:space="0" w:color="3366CC"/>
            </w:tcBorders>
            <w:shd w:val="pct20" w:color="FFFFFF" w:fill="FFFFFF"/>
            <w:vAlign w:val="center"/>
          </w:tcPr>
          <w:p w14:paraId="402ABD0F" w14:textId="12BD6B88" w:rsidR="0068237E" w:rsidRPr="001A68E7" w:rsidRDefault="0068237E" w:rsidP="0068237E">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249" w:type="dxa"/>
            <w:tcBorders>
              <w:top w:val="single" w:sz="12" w:space="0" w:color="3366CC"/>
              <w:bottom w:val="single" w:sz="12" w:space="0" w:color="3366CC"/>
            </w:tcBorders>
            <w:shd w:val="pct20" w:color="FFFFFF" w:fill="FFFFFF"/>
            <w:vAlign w:val="center"/>
          </w:tcPr>
          <w:p w14:paraId="419865A5" w14:textId="5C0A4C30" w:rsidR="0068237E" w:rsidRPr="001A68E7" w:rsidRDefault="0068237E"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que permita el registro</w:t>
            </w:r>
            <w:r>
              <w:rPr>
                <w:rFonts w:ascii="Arial" w:hAnsi="Arial" w:cs="Arial"/>
                <w:sz w:val="18"/>
                <w:szCs w:val="18"/>
                <w:lang w:val="es-ES_tradnl" w:eastAsia="es-CO"/>
              </w:rPr>
              <w:t>, medición</w:t>
            </w:r>
            <w:r w:rsidRPr="001A68E7">
              <w:rPr>
                <w:rFonts w:ascii="Arial" w:hAnsi="Arial" w:cs="Arial"/>
                <w:sz w:val="18"/>
                <w:szCs w:val="18"/>
                <w:lang w:val="es-ES_tradnl" w:eastAsia="es-CO"/>
              </w:rPr>
              <w:t xml:space="preserve"> y revelación de los préstamos por pagar en los Estados Financieros del Ministerio de Hacienda y Crédito Público – Gestión General</w:t>
            </w:r>
            <w:r>
              <w:rPr>
                <w:rFonts w:ascii="Arial" w:hAnsi="Arial" w:cs="Arial"/>
                <w:sz w:val="18"/>
                <w:szCs w:val="18"/>
                <w:lang w:val="es-ES_tradnl" w:eastAsia="es-CO"/>
              </w:rPr>
              <w:t>.</w:t>
            </w:r>
          </w:p>
          <w:p w14:paraId="20B1B36D" w14:textId="0E8051E5" w:rsidR="0068237E" w:rsidRPr="001A68E7" w:rsidRDefault="0068237E"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los préstamos por pagar a cargo de la Entidad </w:t>
            </w:r>
          </w:p>
        </w:tc>
      </w:tr>
    </w:tbl>
    <w:p w14:paraId="52514619" w14:textId="3FA869FA" w:rsidR="00D743A2" w:rsidRDefault="00D743A2" w:rsidP="007C2386">
      <w:pPr>
        <w:pStyle w:val="Prrafodelista"/>
        <w:ind w:left="0"/>
        <w:rPr>
          <w:rFonts w:ascii="Arial" w:hAnsi="Arial" w:cs="Arial"/>
          <w:b/>
          <w:sz w:val="22"/>
          <w:szCs w:val="22"/>
        </w:rPr>
      </w:pPr>
    </w:p>
    <w:p w14:paraId="292F866F" w14:textId="77777777" w:rsidR="00CA2E03" w:rsidRPr="00FB5181" w:rsidRDefault="00CA2E03"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4B342ED9" w14:textId="77777777" w:rsidR="00AA7C1F" w:rsidRDefault="00AA7C1F" w:rsidP="00CA76B9">
      <w:pPr>
        <w:spacing w:line="288" w:lineRule="auto"/>
        <w:ind w:left="720"/>
        <w:rPr>
          <w:rFonts w:ascii="Arial" w:hAnsi="Arial" w:cs="Arial"/>
          <w:b/>
          <w:sz w:val="22"/>
          <w:szCs w:val="22"/>
        </w:rPr>
      </w:pPr>
    </w:p>
    <w:p w14:paraId="105754C8" w14:textId="1D55B24F" w:rsidR="00E41BEC" w:rsidRDefault="00E41BEC" w:rsidP="00CA76B9">
      <w:pPr>
        <w:pStyle w:val="Ttulo3"/>
        <w:numPr>
          <w:ilvl w:val="2"/>
          <w:numId w:val="1"/>
        </w:numPr>
        <w:spacing w:line="288" w:lineRule="auto"/>
        <w:rPr>
          <w:rFonts w:ascii="Arial" w:hAnsi="Arial" w:cs="Arial"/>
          <w:b/>
          <w:sz w:val="22"/>
          <w:szCs w:val="22"/>
        </w:rPr>
      </w:pPr>
      <w:bookmarkStart w:id="291" w:name="_Toc59377877"/>
      <w:r w:rsidRPr="00E41BEC">
        <w:rPr>
          <w:rFonts w:ascii="Arial" w:hAnsi="Arial" w:cs="Arial"/>
          <w:b/>
          <w:sz w:val="22"/>
          <w:szCs w:val="22"/>
        </w:rPr>
        <w:t>Beneficios a los empleados</w:t>
      </w:r>
      <w:bookmarkEnd w:id="291"/>
    </w:p>
    <w:p w14:paraId="3182E4AA" w14:textId="633DC246" w:rsidR="00AA7C1F" w:rsidRDefault="00AA7C1F" w:rsidP="00CA76B9">
      <w:pPr>
        <w:spacing w:line="288" w:lineRule="auto"/>
        <w:rPr>
          <w:rFonts w:ascii="Arial" w:hAnsi="Arial" w:cs="Arial"/>
          <w:b/>
          <w:sz w:val="22"/>
          <w:szCs w:val="22"/>
        </w:rPr>
      </w:pPr>
    </w:p>
    <w:p w14:paraId="5BC7AD5C" w14:textId="71A4AC7A"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beneficios a los empleados:</w:t>
      </w:r>
    </w:p>
    <w:p w14:paraId="5352E92C" w14:textId="06E1DA76" w:rsidR="00C37D47" w:rsidRDefault="00C37D47" w:rsidP="007C2386">
      <w:pPr>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590"/>
        <w:gridCol w:w="6250"/>
      </w:tblGrid>
      <w:tr w:rsidR="0068237E" w:rsidRPr="001A68E7" w14:paraId="2DF9DC6B" w14:textId="77777777" w:rsidTr="0068237E">
        <w:trPr>
          <w:jc w:val="center"/>
        </w:trPr>
        <w:tc>
          <w:tcPr>
            <w:tcW w:w="2622" w:type="dxa"/>
            <w:tcBorders>
              <w:bottom w:val="single" w:sz="12" w:space="0" w:color="3366CC"/>
            </w:tcBorders>
            <w:shd w:val="clear" w:color="2F5395" w:fill="3366CC"/>
            <w:vAlign w:val="center"/>
          </w:tcPr>
          <w:p w14:paraId="40EA9D2E" w14:textId="77777777" w:rsidR="0068237E" w:rsidRPr="001A68E7" w:rsidRDefault="0068237E"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358" w:type="dxa"/>
            <w:tcBorders>
              <w:bottom w:val="single" w:sz="12" w:space="0" w:color="3366CC"/>
            </w:tcBorders>
            <w:shd w:val="clear" w:color="2F5395" w:fill="3366CC"/>
            <w:vAlign w:val="center"/>
          </w:tcPr>
          <w:p w14:paraId="039CB5DF" w14:textId="77777777" w:rsidR="0068237E" w:rsidRPr="001A68E7" w:rsidRDefault="0068237E" w:rsidP="0068237E">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68237E" w:rsidRPr="001A68E7" w14:paraId="7B7668BA" w14:textId="77777777" w:rsidTr="0068237E">
        <w:trPr>
          <w:trHeight w:val="474"/>
          <w:jc w:val="center"/>
        </w:trPr>
        <w:tc>
          <w:tcPr>
            <w:tcW w:w="2622" w:type="dxa"/>
            <w:tcBorders>
              <w:top w:val="single" w:sz="12" w:space="0" w:color="3366CC"/>
              <w:bottom w:val="single" w:sz="12" w:space="0" w:color="3366CC"/>
            </w:tcBorders>
            <w:shd w:val="pct20" w:color="FFFFFF" w:fill="FFFFFF"/>
            <w:vAlign w:val="center"/>
          </w:tcPr>
          <w:p w14:paraId="6589B562" w14:textId="77777777" w:rsidR="0068237E" w:rsidRPr="001A68E7" w:rsidRDefault="0068237E" w:rsidP="0068237E">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 xml:space="preserve">Subdirección de </w:t>
            </w:r>
            <w:r>
              <w:rPr>
                <w:rFonts w:ascii="Arial" w:hAnsi="Arial" w:cs="Arial"/>
                <w:sz w:val="18"/>
                <w:szCs w:val="18"/>
                <w:lang w:val="es-ES_tradnl" w:eastAsia="es-CO"/>
              </w:rPr>
              <w:t>Gestión del Talento Humano</w:t>
            </w:r>
          </w:p>
        </w:tc>
        <w:tc>
          <w:tcPr>
            <w:tcW w:w="6358" w:type="dxa"/>
            <w:tcBorders>
              <w:top w:val="single" w:sz="12" w:space="0" w:color="3366CC"/>
              <w:bottom w:val="single" w:sz="12" w:space="0" w:color="3366CC"/>
            </w:tcBorders>
            <w:shd w:val="pct20" w:color="FFFFFF" w:fill="FFFFFF"/>
            <w:vAlign w:val="center"/>
          </w:tcPr>
          <w:p w14:paraId="6F005980" w14:textId="77777777" w:rsidR="0068237E" w:rsidRPr="001A68E7" w:rsidRDefault="0068237E"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Suministrar al Grupo de Contabilidad la información relativa a las retribuciones que el MHCP proporciona a sus </w:t>
            </w:r>
            <w:r>
              <w:rPr>
                <w:rFonts w:ascii="Arial" w:hAnsi="Arial" w:cs="Arial"/>
                <w:sz w:val="18"/>
                <w:szCs w:val="18"/>
                <w:lang w:val="es-ES_tradnl" w:eastAsia="es-CO"/>
              </w:rPr>
              <w:t>empleados</w:t>
            </w:r>
            <w:r w:rsidRPr="001A68E7">
              <w:rPr>
                <w:rFonts w:ascii="Arial" w:hAnsi="Arial" w:cs="Arial"/>
                <w:sz w:val="18"/>
                <w:szCs w:val="18"/>
                <w:lang w:val="es-ES_tradnl" w:eastAsia="es-CO"/>
              </w:rPr>
              <w:t xml:space="preserve"> a cambio de sus servicios, incluyendo, cuando haya lugar, beneficios por terminación del vínculo laboral o contractual.  </w:t>
            </w:r>
          </w:p>
        </w:tc>
      </w:tr>
      <w:tr w:rsidR="0068237E" w:rsidRPr="001A68E7" w14:paraId="1EB6EEE2" w14:textId="77777777" w:rsidTr="0068237E">
        <w:trPr>
          <w:jc w:val="center"/>
        </w:trPr>
        <w:tc>
          <w:tcPr>
            <w:tcW w:w="2622" w:type="dxa"/>
            <w:tcBorders>
              <w:top w:val="single" w:sz="12" w:space="0" w:color="3366CC"/>
              <w:bottom w:val="single" w:sz="12" w:space="0" w:color="3366CC"/>
            </w:tcBorders>
            <w:shd w:val="pct20" w:color="FFFFFF" w:fill="FFFFFF"/>
            <w:vAlign w:val="center"/>
          </w:tcPr>
          <w:p w14:paraId="089C90B3" w14:textId="77777777" w:rsidR="0068237E" w:rsidRPr="003752A6" w:rsidRDefault="0068237E" w:rsidP="0068237E">
            <w:pPr>
              <w:spacing w:line="288" w:lineRule="auto"/>
              <w:jc w:val="both"/>
              <w:rPr>
                <w:rFonts w:ascii="Arial" w:hAnsi="Arial" w:cs="Arial"/>
                <w:bCs/>
                <w:kern w:val="32"/>
                <w:sz w:val="18"/>
                <w:szCs w:val="18"/>
                <w:lang w:val="es-ES_tradnl"/>
              </w:rPr>
            </w:pPr>
            <w:r w:rsidRPr="003752A6">
              <w:rPr>
                <w:rFonts w:ascii="Arial" w:hAnsi="Arial" w:cs="Arial"/>
                <w:bCs/>
                <w:sz w:val="18"/>
                <w:szCs w:val="18"/>
                <w:lang w:val="es-ES_tradnl"/>
              </w:rPr>
              <w:t>Oficina de Bonos Pensionales</w:t>
            </w:r>
          </w:p>
        </w:tc>
        <w:tc>
          <w:tcPr>
            <w:tcW w:w="6358" w:type="dxa"/>
            <w:tcBorders>
              <w:top w:val="single" w:sz="12" w:space="0" w:color="3366CC"/>
              <w:bottom w:val="single" w:sz="12" w:space="0" w:color="3366CC"/>
            </w:tcBorders>
            <w:shd w:val="pct20" w:color="FFFFFF" w:fill="FFFFFF"/>
            <w:vAlign w:val="center"/>
          </w:tcPr>
          <w:p w14:paraId="7967D081" w14:textId="77777777" w:rsidR="0068237E" w:rsidRPr="00F21F0A" w:rsidRDefault="0068237E" w:rsidP="00343ECE">
            <w:pPr>
              <w:numPr>
                <w:ilvl w:val="0"/>
                <w:numId w:val="29"/>
              </w:numPr>
              <w:spacing w:line="288" w:lineRule="auto"/>
              <w:ind w:left="317" w:hanging="279"/>
              <w:jc w:val="both"/>
              <w:rPr>
                <w:rFonts w:ascii="Arial" w:hAnsi="Arial" w:cs="Arial"/>
                <w:sz w:val="18"/>
                <w:szCs w:val="18"/>
                <w:lang w:val="es-ES_tradnl" w:eastAsia="es-CO"/>
              </w:rPr>
            </w:pPr>
            <w:r w:rsidRPr="003752A6">
              <w:rPr>
                <w:rFonts w:ascii="Arial" w:hAnsi="Arial" w:cs="Arial"/>
                <w:bCs/>
                <w:sz w:val="18"/>
                <w:szCs w:val="18"/>
                <w:lang w:val="es-ES_tradnl"/>
              </w:rPr>
              <w:t xml:space="preserve">Suministrar los </w:t>
            </w:r>
            <w:r w:rsidRPr="003752A6">
              <w:rPr>
                <w:rFonts w:ascii="Arial" w:hAnsi="Arial" w:cs="Arial"/>
                <w:sz w:val="18"/>
                <w:szCs w:val="18"/>
                <w:lang w:val="es-ES_tradnl"/>
              </w:rPr>
              <w:t>movimientos que se generen con motivo de la liquidación, emisión, pago,</w:t>
            </w:r>
            <w:r w:rsidRPr="00F21F0A">
              <w:rPr>
                <w:rFonts w:ascii="Arial" w:hAnsi="Arial" w:cs="Arial"/>
                <w:sz w:val="18"/>
                <w:szCs w:val="18"/>
                <w:lang w:val="es-ES_tradnl"/>
              </w:rPr>
              <w:t xml:space="preserve"> compensación, anulación y reintegro de</w:t>
            </w:r>
            <w:r>
              <w:rPr>
                <w:rFonts w:ascii="Arial" w:hAnsi="Arial" w:cs="Arial"/>
                <w:sz w:val="18"/>
                <w:szCs w:val="18"/>
                <w:lang w:val="es-ES_tradnl"/>
              </w:rPr>
              <w:t xml:space="preserve"> los bonos pensionales o </w:t>
            </w:r>
            <w:r w:rsidRPr="00F21F0A">
              <w:rPr>
                <w:rFonts w:ascii="Arial" w:hAnsi="Arial" w:cs="Arial"/>
                <w:sz w:val="18"/>
                <w:szCs w:val="18"/>
                <w:lang w:val="es-ES_tradnl"/>
              </w:rPr>
              <w:t xml:space="preserve">cuotas partes de bonos pensionales a cargo de la Nación. </w:t>
            </w:r>
          </w:p>
        </w:tc>
      </w:tr>
      <w:tr w:rsidR="0068237E" w:rsidRPr="001A68E7" w14:paraId="775BBE0F" w14:textId="77777777" w:rsidTr="0068237E">
        <w:trPr>
          <w:jc w:val="center"/>
        </w:trPr>
        <w:tc>
          <w:tcPr>
            <w:tcW w:w="2622" w:type="dxa"/>
            <w:tcBorders>
              <w:top w:val="single" w:sz="12" w:space="0" w:color="3366CC"/>
              <w:bottom w:val="single" w:sz="12" w:space="0" w:color="3366CC"/>
            </w:tcBorders>
            <w:shd w:val="pct20" w:color="FFFFFF" w:fill="FFFFFF"/>
            <w:vAlign w:val="center"/>
          </w:tcPr>
          <w:p w14:paraId="6AF71E0E" w14:textId="77777777" w:rsidR="0068237E" w:rsidRPr="001A68E7" w:rsidRDefault="0068237E" w:rsidP="0068237E">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358" w:type="dxa"/>
            <w:tcBorders>
              <w:top w:val="single" w:sz="12" w:space="0" w:color="3366CC"/>
              <w:bottom w:val="single" w:sz="12" w:space="0" w:color="3366CC"/>
            </w:tcBorders>
            <w:shd w:val="pct20" w:color="FFFFFF" w:fill="FFFFFF"/>
            <w:vAlign w:val="center"/>
          </w:tcPr>
          <w:p w14:paraId="2548E3A4" w14:textId="77777777" w:rsidR="0068237E" w:rsidRPr="001A68E7" w:rsidRDefault="0068237E"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Recibir la información suministrada por </w:t>
            </w:r>
            <w:r>
              <w:rPr>
                <w:rFonts w:ascii="Arial" w:hAnsi="Arial" w:cs="Arial"/>
                <w:sz w:val="18"/>
                <w:szCs w:val="18"/>
                <w:lang w:val="es-ES_tradnl" w:eastAsia="es-CO"/>
              </w:rPr>
              <w:t xml:space="preserve">las áreas </w:t>
            </w:r>
            <w:r w:rsidRPr="001A68E7">
              <w:rPr>
                <w:rFonts w:ascii="Arial" w:hAnsi="Arial" w:cs="Arial"/>
                <w:sz w:val="18"/>
                <w:szCs w:val="18"/>
                <w:lang w:val="es-ES_tradnl" w:eastAsia="es-CO"/>
              </w:rPr>
              <w:t>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los beneficios a los empleados en los Estados Financieros del Ministerio de Hacienda y Crédito Público</w:t>
            </w:r>
            <w:r>
              <w:rPr>
                <w:rFonts w:ascii="Arial" w:hAnsi="Arial" w:cs="Arial"/>
                <w:sz w:val="18"/>
                <w:szCs w:val="18"/>
                <w:lang w:val="es-ES_tradnl" w:eastAsia="es-CO"/>
              </w:rPr>
              <w:t>.</w:t>
            </w:r>
            <w:r w:rsidRPr="001A68E7">
              <w:rPr>
                <w:rFonts w:ascii="Arial" w:hAnsi="Arial" w:cs="Arial"/>
                <w:sz w:val="18"/>
                <w:szCs w:val="18"/>
                <w:lang w:val="es-ES_tradnl" w:eastAsia="es-CO"/>
              </w:rPr>
              <w:t xml:space="preserve"> </w:t>
            </w:r>
          </w:p>
          <w:p w14:paraId="7851DB6C" w14:textId="77777777" w:rsidR="0068237E" w:rsidRPr="001A68E7" w:rsidRDefault="0068237E"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lastRenderedPageBreak/>
              <w:t xml:space="preserve">Llevar a cabo el proceso de conciliación de los beneficios a los empleados </w:t>
            </w:r>
          </w:p>
        </w:tc>
      </w:tr>
    </w:tbl>
    <w:p w14:paraId="218686B5" w14:textId="77777777" w:rsidR="0068237E" w:rsidRDefault="0068237E" w:rsidP="007C2386">
      <w:pPr>
        <w:rPr>
          <w:rFonts w:ascii="Arial" w:hAnsi="Arial" w:cs="Arial"/>
          <w:b/>
          <w:sz w:val="22"/>
          <w:szCs w:val="22"/>
        </w:rPr>
      </w:pPr>
    </w:p>
    <w:p w14:paraId="0C1B18D8" w14:textId="16A94447" w:rsidR="00CA2E03" w:rsidRDefault="00CA2E03"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76AD0B1E" w14:textId="679067FF" w:rsidR="0068237E" w:rsidRDefault="0068237E" w:rsidP="00CA76B9">
      <w:pPr>
        <w:spacing w:line="288" w:lineRule="auto"/>
        <w:jc w:val="both"/>
        <w:rPr>
          <w:rFonts w:ascii="Arial" w:hAnsi="Arial" w:cs="Arial"/>
          <w:sz w:val="22"/>
          <w:szCs w:val="22"/>
          <w:lang w:val="es-ES_tradnl" w:eastAsia="es-CO"/>
        </w:rPr>
      </w:pPr>
    </w:p>
    <w:p w14:paraId="33803B81" w14:textId="0EE34FDA" w:rsidR="0068237E" w:rsidRPr="00E74E16" w:rsidRDefault="0068237E" w:rsidP="00CA76B9">
      <w:pPr>
        <w:spacing w:line="288" w:lineRule="auto"/>
        <w:jc w:val="both"/>
        <w:rPr>
          <w:rFonts w:ascii="Arial" w:hAnsi="Arial" w:cs="Arial"/>
          <w:i/>
          <w:iCs/>
          <w:sz w:val="22"/>
          <w:szCs w:val="22"/>
        </w:rPr>
      </w:pPr>
      <w:r w:rsidRPr="007F5D1F">
        <w:rPr>
          <w:rFonts w:ascii="Arial" w:hAnsi="Arial" w:cs="Arial"/>
          <w:sz w:val="22"/>
          <w:szCs w:val="22"/>
          <w:lang w:val="es-ES_tradnl"/>
        </w:rPr>
        <w:t>Para</w:t>
      </w:r>
      <w:r>
        <w:rPr>
          <w:rFonts w:ascii="Arial" w:hAnsi="Arial" w:cs="Arial"/>
          <w:sz w:val="22"/>
          <w:szCs w:val="22"/>
          <w:lang w:val="es-ES_tradnl"/>
        </w:rPr>
        <w:t xml:space="preserve"> el suministro de la información, la Oficina de Bonos Pensionales y la Subdirección Financiera del Ministerio de Hacienda y Crédito Público suscribieron el “</w:t>
      </w:r>
      <w:r w:rsidRPr="007C2386">
        <w:rPr>
          <w:rFonts w:ascii="Arial" w:hAnsi="Arial" w:cs="Arial"/>
          <w:i/>
          <w:sz w:val="22"/>
          <w:szCs w:val="22"/>
          <w:lang w:val="es-ES_tradnl"/>
        </w:rPr>
        <w:t>Acuerdo de servicio Mis. 3.</w:t>
      </w:r>
      <w:r w:rsidR="00E74E16">
        <w:rPr>
          <w:rFonts w:ascii="Arial" w:hAnsi="Arial" w:cs="Arial"/>
          <w:i/>
          <w:sz w:val="22"/>
          <w:szCs w:val="22"/>
          <w:lang w:val="es-ES_tradnl"/>
        </w:rPr>
        <w:t>9</w:t>
      </w:r>
      <w:r w:rsidRPr="007C2386">
        <w:rPr>
          <w:rFonts w:ascii="Arial" w:hAnsi="Arial" w:cs="Arial"/>
          <w:i/>
          <w:sz w:val="22"/>
          <w:szCs w:val="22"/>
          <w:lang w:val="es-ES_tradnl"/>
        </w:rPr>
        <w:t>_Apo.3.0 As0</w:t>
      </w:r>
      <w:r w:rsidR="00E74E16">
        <w:rPr>
          <w:rFonts w:ascii="Arial" w:hAnsi="Arial" w:cs="Arial"/>
          <w:i/>
          <w:sz w:val="22"/>
          <w:szCs w:val="22"/>
          <w:lang w:val="es-ES_tradnl"/>
        </w:rPr>
        <w:t>98</w:t>
      </w:r>
      <w:r>
        <w:rPr>
          <w:rFonts w:ascii="Arial" w:hAnsi="Arial" w:cs="Arial"/>
          <w:i/>
          <w:sz w:val="22"/>
          <w:szCs w:val="22"/>
          <w:lang w:val="es-ES_tradnl"/>
        </w:rPr>
        <w:t>”</w:t>
      </w:r>
      <w:r w:rsidRPr="007C2386">
        <w:rPr>
          <w:rFonts w:ascii="Arial" w:hAnsi="Arial" w:cs="Arial"/>
          <w:sz w:val="22"/>
          <w:szCs w:val="22"/>
          <w:lang w:val="es-ES_tradnl"/>
        </w:rPr>
        <w:t xml:space="preserve">, mediante el cual se define el envío </w:t>
      </w:r>
      <w:r>
        <w:rPr>
          <w:rFonts w:ascii="Arial" w:hAnsi="Arial" w:cs="Arial"/>
          <w:sz w:val="22"/>
          <w:szCs w:val="22"/>
          <w:lang w:val="es-ES_tradnl"/>
        </w:rPr>
        <w:t xml:space="preserve">al Grupo de Contabilidad </w:t>
      </w:r>
      <w:r w:rsidRPr="007C2386">
        <w:rPr>
          <w:rFonts w:ascii="Arial" w:hAnsi="Arial" w:cs="Arial"/>
          <w:sz w:val="22"/>
          <w:szCs w:val="22"/>
          <w:lang w:val="es-ES_tradnl"/>
        </w:rPr>
        <w:t xml:space="preserve">de información relativa a los movimientos </w:t>
      </w:r>
      <w:r w:rsidR="00E74E16">
        <w:rPr>
          <w:rFonts w:ascii="Arial" w:hAnsi="Arial" w:cs="Arial"/>
          <w:sz w:val="22"/>
          <w:szCs w:val="22"/>
          <w:lang w:val="es-ES_tradnl"/>
        </w:rPr>
        <w:t xml:space="preserve">que se generen con motivo de la liquidación, emisión, pago, anulación y reintegro de las cuotas partes de bonos pensionales a cargo de la Nación. Con respecto a la conciliación de la información se empleará el formato denominado </w:t>
      </w:r>
      <w:r w:rsidR="00E74E16" w:rsidRPr="00E74E16">
        <w:rPr>
          <w:rFonts w:ascii="Arial" w:hAnsi="Arial" w:cs="Arial"/>
          <w:i/>
          <w:iCs/>
          <w:sz w:val="22"/>
          <w:szCs w:val="22"/>
          <w:lang w:val="es-ES_tradnl"/>
        </w:rPr>
        <w:t>“</w:t>
      </w:r>
      <w:r w:rsidRPr="00E74E16">
        <w:rPr>
          <w:rFonts w:ascii="Arial" w:hAnsi="Arial" w:cs="Arial"/>
          <w:i/>
          <w:iCs/>
          <w:sz w:val="22"/>
          <w:szCs w:val="22"/>
        </w:rPr>
        <w:t>Apo.3.Man.3.Fr.9 - Conciliación de  operaciones de Bonos Pensionales</w:t>
      </w:r>
      <w:r w:rsidR="00E74E16">
        <w:rPr>
          <w:rFonts w:ascii="Arial" w:hAnsi="Arial" w:cs="Arial"/>
          <w:i/>
          <w:iCs/>
          <w:sz w:val="22"/>
          <w:szCs w:val="22"/>
        </w:rPr>
        <w:t>”.</w:t>
      </w:r>
    </w:p>
    <w:p w14:paraId="74BC0989" w14:textId="77777777" w:rsidR="00CA2E03" w:rsidRDefault="00CA2E03" w:rsidP="00CA76B9">
      <w:pPr>
        <w:spacing w:line="288" w:lineRule="auto"/>
        <w:rPr>
          <w:rFonts w:ascii="Arial" w:hAnsi="Arial" w:cs="Arial"/>
          <w:b/>
          <w:sz w:val="22"/>
          <w:szCs w:val="22"/>
        </w:rPr>
      </w:pPr>
    </w:p>
    <w:p w14:paraId="1B5CB60A" w14:textId="2FD1744D" w:rsidR="00E41BEC" w:rsidRDefault="00E41BEC" w:rsidP="00CA76B9">
      <w:pPr>
        <w:pStyle w:val="Ttulo3"/>
        <w:numPr>
          <w:ilvl w:val="2"/>
          <w:numId w:val="1"/>
        </w:numPr>
        <w:spacing w:line="288" w:lineRule="auto"/>
        <w:rPr>
          <w:rFonts w:ascii="Arial" w:hAnsi="Arial" w:cs="Arial"/>
          <w:b/>
          <w:sz w:val="22"/>
          <w:szCs w:val="22"/>
        </w:rPr>
      </w:pPr>
      <w:bookmarkStart w:id="292" w:name="_Toc59377878"/>
      <w:r w:rsidRPr="00E41BEC">
        <w:rPr>
          <w:rFonts w:ascii="Arial" w:hAnsi="Arial" w:cs="Arial"/>
          <w:b/>
          <w:sz w:val="22"/>
          <w:szCs w:val="22"/>
        </w:rPr>
        <w:t>Provisiones, activos contingentes y pasivos contingentes</w:t>
      </w:r>
      <w:bookmarkEnd w:id="292"/>
    </w:p>
    <w:p w14:paraId="6BFC30F6" w14:textId="77777777" w:rsidR="00AA5AC7" w:rsidRPr="007C2386" w:rsidRDefault="00AA5AC7" w:rsidP="00CA76B9">
      <w:pPr>
        <w:spacing w:line="288" w:lineRule="auto"/>
        <w:ind w:left="720"/>
      </w:pPr>
    </w:p>
    <w:p w14:paraId="2CA2B25E" w14:textId="40B3046E"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provisiones, activos contingentes y pasivos contingentes:</w:t>
      </w:r>
    </w:p>
    <w:p w14:paraId="32B45D57" w14:textId="707C43CF" w:rsidR="00C37D47" w:rsidRDefault="00C37D47" w:rsidP="007C2386">
      <w:pPr>
        <w:pStyle w:val="Prrafodelista"/>
        <w:ind w:left="0"/>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177"/>
        <w:gridCol w:w="6663"/>
      </w:tblGrid>
      <w:tr w:rsidR="00C1452C" w:rsidRPr="001A68E7" w14:paraId="027F1B75" w14:textId="77777777" w:rsidTr="00EF3D59">
        <w:trPr>
          <w:tblHeader/>
          <w:jc w:val="center"/>
        </w:trPr>
        <w:tc>
          <w:tcPr>
            <w:tcW w:w="2197" w:type="dxa"/>
            <w:tcBorders>
              <w:bottom w:val="single" w:sz="12" w:space="0" w:color="3366CC"/>
            </w:tcBorders>
            <w:shd w:val="clear" w:color="2F5395" w:fill="3366CC"/>
            <w:vAlign w:val="center"/>
          </w:tcPr>
          <w:p w14:paraId="1BBB8D4E" w14:textId="77777777" w:rsidR="00C1452C" w:rsidRPr="001A68E7" w:rsidRDefault="00C1452C" w:rsidP="00EF3D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783" w:type="dxa"/>
            <w:tcBorders>
              <w:bottom w:val="single" w:sz="12" w:space="0" w:color="3366CC"/>
            </w:tcBorders>
            <w:shd w:val="clear" w:color="2F5395" w:fill="3366CC"/>
            <w:vAlign w:val="center"/>
          </w:tcPr>
          <w:p w14:paraId="05289F97" w14:textId="77777777" w:rsidR="00C1452C" w:rsidRPr="001A68E7" w:rsidRDefault="00C1452C" w:rsidP="00EF3D59">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C1452C" w:rsidRPr="001A68E7" w14:paraId="31CCC431" w14:textId="77777777" w:rsidTr="00EF3D59">
        <w:trPr>
          <w:trHeight w:val="474"/>
          <w:jc w:val="center"/>
        </w:trPr>
        <w:tc>
          <w:tcPr>
            <w:tcW w:w="2197" w:type="dxa"/>
            <w:tcBorders>
              <w:top w:val="single" w:sz="12" w:space="0" w:color="3366CC"/>
              <w:bottom w:val="single" w:sz="12" w:space="0" w:color="3366CC"/>
            </w:tcBorders>
            <w:shd w:val="pct20" w:color="FFFFFF" w:fill="FFFFFF"/>
            <w:vAlign w:val="center"/>
          </w:tcPr>
          <w:p w14:paraId="614D0270" w14:textId="77777777" w:rsidR="00C1452C" w:rsidRPr="001A68E7" w:rsidRDefault="00C1452C" w:rsidP="00EF3D59">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Subdirección Jurídica</w:t>
            </w:r>
          </w:p>
          <w:p w14:paraId="62635F99" w14:textId="77777777" w:rsidR="00C1452C" w:rsidRPr="001A68E7" w:rsidRDefault="00C1452C" w:rsidP="00EF3D59">
            <w:pPr>
              <w:spacing w:line="288" w:lineRule="auto"/>
              <w:jc w:val="center"/>
              <w:rPr>
                <w:rFonts w:ascii="Arial" w:hAnsi="Arial" w:cs="Arial"/>
                <w:sz w:val="18"/>
                <w:szCs w:val="18"/>
                <w:lang w:val="es-ES_tradnl" w:eastAsia="es-CO"/>
              </w:rPr>
            </w:pPr>
          </w:p>
        </w:tc>
        <w:tc>
          <w:tcPr>
            <w:tcW w:w="6783" w:type="dxa"/>
            <w:tcBorders>
              <w:top w:val="single" w:sz="12" w:space="0" w:color="3366CC"/>
              <w:bottom w:val="single" w:sz="12" w:space="0" w:color="3366CC"/>
            </w:tcBorders>
            <w:shd w:val="pct20" w:color="FFFFFF" w:fill="FFFFFF"/>
            <w:vAlign w:val="center"/>
          </w:tcPr>
          <w:p w14:paraId="19576A6B"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Aplicar la metodología de reconocido valor técnico para el cálculo de la provisión contable de los procesos judiciales, conciliaciones extrajudiciales y trámites arbitrales interpuestos en contra del Ministerio de Hacienda y Crédito Público.</w:t>
            </w:r>
          </w:p>
          <w:p w14:paraId="499A4BAF"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los procesos judiciales, conciliaciones extrajudiciales y trámites arbitrales interpuestos por, y en contra del Ministerio de Hacienda y Crédito Público. Con el envío de la información se debe indicar el tipo de proceso, pretensiones, estado y demás consideraciones que se estimen convenientes para su reconocimiento o revelación contable como provisiones, activos o pasivos contingentes.</w:t>
            </w:r>
          </w:p>
          <w:p w14:paraId="3F5656FC"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De acuerdo con el seguimiento realizado a los procesos judiciales, conciliaciones extrajudiciales y trámites arbitrales interpuestos en contra del Ministerio de Hacienda y Crédito Público, informar al Grupo de Contabilidad, cuando a ello hubiere lugar, los ajustes, depuración y bajas.</w:t>
            </w:r>
          </w:p>
          <w:p w14:paraId="6E53D64A" w14:textId="77777777" w:rsidR="00C1452C" w:rsidRPr="001A68E7" w:rsidRDefault="00C1452C" w:rsidP="00343ECE">
            <w:pPr>
              <w:pStyle w:val="Prrafodelista"/>
              <w:numPr>
                <w:ilvl w:val="0"/>
                <w:numId w:val="32"/>
              </w:numPr>
              <w:tabs>
                <w:tab w:val="left" w:pos="0"/>
                <w:tab w:val="left" w:pos="34"/>
              </w:tabs>
              <w:spacing w:line="288" w:lineRule="auto"/>
              <w:contextualSpacing/>
              <w:jc w:val="both"/>
              <w:rPr>
                <w:rFonts w:ascii="Arial" w:hAnsi="Arial" w:cs="Arial"/>
                <w:sz w:val="18"/>
                <w:szCs w:val="18"/>
                <w:lang w:val="es-ES_tradnl" w:eastAsia="es-CO"/>
              </w:rPr>
            </w:pPr>
            <w:r w:rsidRPr="001A68E7">
              <w:rPr>
                <w:rFonts w:ascii="Arial" w:hAnsi="Arial" w:cs="Arial"/>
                <w:sz w:val="18"/>
                <w:szCs w:val="18"/>
                <w:lang w:val="es-ES_tradnl" w:eastAsia="es-CO"/>
              </w:rPr>
              <w:t>Tratándose de los procesos ejecutoriados a favor de la entidad, reportar la información que permita su reconocimiento como cuenta por cobrar.</w:t>
            </w:r>
          </w:p>
          <w:p w14:paraId="2150BF6F" w14:textId="77777777" w:rsidR="00C1452C" w:rsidRPr="001A68E7" w:rsidRDefault="00C1452C" w:rsidP="00343ECE">
            <w:pPr>
              <w:pStyle w:val="Prrafodelista"/>
              <w:numPr>
                <w:ilvl w:val="0"/>
                <w:numId w:val="32"/>
              </w:numPr>
              <w:tabs>
                <w:tab w:val="left" w:pos="0"/>
                <w:tab w:val="left" w:pos="34"/>
              </w:tabs>
              <w:spacing w:line="288" w:lineRule="auto"/>
              <w:contextualSpacing/>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Suministrar la información detallada de los Títulos de Depósito Judicial para su revelación como Derechos Contingentes. </w:t>
            </w:r>
          </w:p>
        </w:tc>
      </w:tr>
      <w:tr w:rsidR="00C1452C" w:rsidRPr="001A68E7" w14:paraId="21D39E6D" w14:textId="77777777" w:rsidTr="00EF3D59">
        <w:trPr>
          <w:jc w:val="center"/>
        </w:trPr>
        <w:tc>
          <w:tcPr>
            <w:tcW w:w="2197" w:type="dxa"/>
            <w:tcBorders>
              <w:top w:val="single" w:sz="12" w:space="0" w:color="3366CC"/>
              <w:bottom w:val="single" w:sz="12" w:space="0" w:color="3366CC"/>
            </w:tcBorders>
            <w:shd w:val="pct20" w:color="FFFFFF" w:fill="FFFFFF"/>
            <w:vAlign w:val="center"/>
          </w:tcPr>
          <w:p w14:paraId="178F4E7D" w14:textId="77777777" w:rsidR="00C1452C" w:rsidRPr="001A68E7" w:rsidRDefault="00C1452C" w:rsidP="00EF3D59">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t>Dirección de Participaciones Estatales</w:t>
            </w:r>
          </w:p>
        </w:tc>
        <w:tc>
          <w:tcPr>
            <w:tcW w:w="6783" w:type="dxa"/>
            <w:tcBorders>
              <w:top w:val="single" w:sz="12" w:space="0" w:color="3366CC"/>
              <w:bottom w:val="single" w:sz="12" w:space="0" w:color="3366CC"/>
            </w:tcBorders>
            <w:shd w:val="pct20" w:color="FFFFFF" w:fill="FFFFFF"/>
            <w:vAlign w:val="center"/>
          </w:tcPr>
          <w:p w14:paraId="6FC2DE36"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Enviar la información relativa a obligaciones originadas por inversiones en entidades en liquidación, cuando a ello hubiere lugar. </w:t>
            </w:r>
          </w:p>
        </w:tc>
      </w:tr>
      <w:tr w:rsidR="00C1452C" w:rsidRPr="001A68E7" w14:paraId="51CABBBE" w14:textId="77777777" w:rsidTr="00EF3D59">
        <w:trPr>
          <w:jc w:val="center"/>
        </w:trPr>
        <w:tc>
          <w:tcPr>
            <w:tcW w:w="2197" w:type="dxa"/>
            <w:tcBorders>
              <w:top w:val="single" w:sz="12" w:space="0" w:color="3366CC"/>
              <w:bottom w:val="single" w:sz="12" w:space="0" w:color="3366CC"/>
            </w:tcBorders>
            <w:shd w:val="pct20" w:color="FFFFFF" w:fill="FFFFFF"/>
            <w:vAlign w:val="center"/>
          </w:tcPr>
          <w:p w14:paraId="4E718926" w14:textId="77777777" w:rsidR="00C1452C" w:rsidRPr="001A68E7" w:rsidRDefault="00C1452C" w:rsidP="00EF3D59">
            <w:pPr>
              <w:spacing w:line="288" w:lineRule="auto"/>
              <w:jc w:val="center"/>
              <w:rPr>
                <w:rFonts w:ascii="Arial" w:hAnsi="Arial" w:cs="Arial"/>
                <w:bCs/>
                <w:kern w:val="32"/>
                <w:sz w:val="18"/>
                <w:szCs w:val="18"/>
                <w:lang w:val="es-ES_tradnl"/>
              </w:rPr>
            </w:pPr>
            <w:r w:rsidRPr="001A68E7">
              <w:rPr>
                <w:rFonts w:ascii="Arial" w:hAnsi="Arial" w:cs="Arial"/>
                <w:bCs/>
                <w:kern w:val="32"/>
                <w:sz w:val="18"/>
                <w:szCs w:val="18"/>
                <w:lang w:val="es-ES_tradnl"/>
              </w:rPr>
              <w:lastRenderedPageBreak/>
              <w:t>Subdirección de Servicios</w:t>
            </w:r>
          </w:p>
        </w:tc>
        <w:tc>
          <w:tcPr>
            <w:tcW w:w="6783" w:type="dxa"/>
            <w:tcBorders>
              <w:top w:val="single" w:sz="12" w:space="0" w:color="3366CC"/>
              <w:bottom w:val="single" w:sz="12" w:space="0" w:color="3366CC"/>
            </w:tcBorders>
            <w:shd w:val="pct20" w:color="FFFFFF" w:fill="FFFFFF"/>
            <w:vAlign w:val="center"/>
          </w:tcPr>
          <w:p w14:paraId="74A75091"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Enviar la información relativa a desmantelamientos, cuando a ello hubiere lugar, y de acuerdo con lo establecido en la política de Propiedades, Planta y Equipo. </w:t>
            </w:r>
          </w:p>
        </w:tc>
      </w:tr>
      <w:tr w:rsidR="00C1452C" w:rsidRPr="001A68E7" w14:paraId="75251AEC" w14:textId="77777777" w:rsidTr="00EF3D59">
        <w:trPr>
          <w:jc w:val="center"/>
        </w:trPr>
        <w:tc>
          <w:tcPr>
            <w:tcW w:w="2197" w:type="dxa"/>
            <w:tcBorders>
              <w:top w:val="single" w:sz="12" w:space="0" w:color="3366CC"/>
              <w:bottom w:val="single" w:sz="12" w:space="0" w:color="3366CC"/>
            </w:tcBorders>
            <w:shd w:val="pct20" w:color="FFFFFF" w:fill="FFFFFF"/>
            <w:vAlign w:val="center"/>
          </w:tcPr>
          <w:p w14:paraId="6991459B" w14:textId="77777777" w:rsidR="00C1452C" w:rsidRPr="007A7385" w:rsidRDefault="00C1452C" w:rsidP="00EF3D59">
            <w:pPr>
              <w:spacing w:line="288" w:lineRule="auto"/>
              <w:jc w:val="center"/>
              <w:rPr>
                <w:rFonts w:ascii="Arial" w:hAnsi="Arial" w:cs="Arial"/>
                <w:bCs/>
                <w:kern w:val="32"/>
                <w:sz w:val="18"/>
                <w:szCs w:val="18"/>
                <w:lang w:val="es-ES_tradnl"/>
              </w:rPr>
            </w:pPr>
            <w:r w:rsidRPr="007A7385">
              <w:rPr>
                <w:rFonts w:ascii="Arial" w:hAnsi="Arial" w:cs="Arial"/>
                <w:bCs/>
                <w:kern w:val="32"/>
                <w:sz w:val="18"/>
                <w:szCs w:val="18"/>
                <w:lang w:val="es-ES_tradnl"/>
              </w:rPr>
              <w:t>Dirección General de Regulación Económica y de la Seguridad Social</w:t>
            </w:r>
          </w:p>
        </w:tc>
        <w:tc>
          <w:tcPr>
            <w:tcW w:w="6783" w:type="dxa"/>
            <w:tcBorders>
              <w:top w:val="single" w:sz="12" w:space="0" w:color="3366CC"/>
              <w:bottom w:val="single" w:sz="12" w:space="0" w:color="3366CC"/>
            </w:tcBorders>
            <w:shd w:val="pct20" w:color="FFFFFF" w:fill="FFFFFF"/>
            <w:vAlign w:val="center"/>
          </w:tcPr>
          <w:p w14:paraId="0528467F" w14:textId="77777777" w:rsidR="00C1452C" w:rsidRPr="007A7385" w:rsidRDefault="00C1452C" w:rsidP="00343ECE">
            <w:pPr>
              <w:numPr>
                <w:ilvl w:val="0"/>
                <w:numId w:val="32"/>
              </w:numPr>
              <w:spacing w:line="288" w:lineRule="auto"/>
              <w:jc w:val="both"/>
              <w:rPr>
                <w:rFonts w:ascii="Arial" w:hAnsi="Arial" w:cs="Arial"/>
                <w:sz w:val="18"/>
                <w:szCs w:val="18"/>
                <w:lang w:val="es-ES_tradnl" w:eastAsia="es-CO"/>
              </w:rPr>
            </w:pPr>
            <w:r w:rsidRPr="00D07743">
              <w:rPr>
                <w:rFonts w:ascii="Arial" w:hAnsi="Arial" w:cs="Arial"/>
                <w:sz w:val="18"/>
                <w:szCs w:val="18"/>
              </w:rPr>
              <w:t>Enviar la información para el registro de</w:t>
            </w:r>
            <w:r>
              <w:rPr>
                <w:rFonts w:ascii="Arial" w:hAnsi="Arial" w:cs="Arial"/>
                <w:sz w:val="18"/>
                <w:szCs w:val="18"/>
              </w:rPr>
              <w:t xml:space="preserve"> la </w:t>
            </w:r>
            <w:r w:rsidRPr="00D07743">
              <w:rPr>
                <w:rFonts w:ascii="Arial" w:hAnsi="Arial" w:cs="Arial"/>
                <w:sz w:val="18"/>
                <w:szCs w:val="18"/>
              </w:rPr>
              <w:t>concurrencia</w:t>
            </w:r>
            <w:r>
              <w:rPr>
                <w:rFonts w:ascii="Arial" w:hAnsi="Arial" w:cs="Arial"/>
                <w:sz w:val="18"/>
                <w:szCs w:val="18"/>
              </w:rPr>
              <w:t xml:space="preserve"> del MHCP</w:t>
            </w:r>
            <w:r w:rsidRPr="00D07743">
              <w:rPr>
                <w:rFonts w:ascii="Arial" w:hAnsi="Arial" w:cs="Arial"/>
                <w:sz w:val="18"/>
                <w:szCs w:val="18"/>
              </w:rPr>
              <w:t xml:space="preserve"> para el pago del pasivo pensional y prestacional del sector salud</w:t>
            </w:r>
          </w:p>
        </w:tc>
      </w:tr>
      <w:tr w:rsidR="00C1452C" w:rsidRPr="001A68E7" w14:paraId="3AF1627B" w14:textId="77777777" w:rsidTr="00EF3D59">
        <w:trPr>
          <w:jc w:val="center"/>
        </w:trPr>
        <w:tc>
          <w:tcPr>
            <w:tcW w:w="2197" w:type="dxa"/>
            <w:tcBorders>
              <w:top w:val="single" w:sz="12" w:space="0" w:color="3366CC"/>
              <w:bottom w:val="single" w:sz="12" w:space="0" w:color="3366CC"/>
            </w:tcBorders>
            <w:shd w:val="pct20" w:color="FFFFFF" w:fill="FFFFFF"/>
            <w:vAlign w:val="center"/>
          </w:tcPr>
          <w:p w14:paraId="2B86D70E" w14:textId="77777777" w:rsidR="00C1452C" w:rsidRPr="001A68E7" w:rsidRDefault="00C1452C" w:rsidP="00EF3D59">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783" w:type="dxa"/>
            <w:tcBorders>
              <w:top w:val="single" w:sz="12" w:space="0" w:color="3366CC"/>
              <w:bottom w:val="single" w:sz="12" w:space="0" w:color="3366CC"/>
            </w:tcBorders>
            <w:shd w:val="pct20" w:color="FFFFFF" w:fill="FFFFFF"/>
            <w:vAlign w:val="center"/>
          </w:tcPr>
          <w:p w14:paraId="6EF50FB8"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suministrada por las respectivas dependencias, 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en los Estados Financieros del Ministerio de Hacienda y Crédito Público de las provisiones, activos contingentes o pasivos contingentes a que hubiere lugar. </w:t>
            </w:r>
          </w:p>
          <w:p w14:paraId="4A690BAA" w14:textId="77777777" w:rsidR="00C1452C" w:rsidRPr="001A68E7" w:rsidRDefault="00C1452C"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las provisiones, activos contingentes o pasivos contingentes a que hubiere lugar.  </w:t>
            </w:r>
          </w:p>
        </w:tc>
      </w:tr>
    </w:tbl>
    <w:p w14:paraId="1535B305" w14:textId="77777777" w:rsidR="00C739D3" w:rsidRDefault="00C739D3" w:rsidP="00C739D3">
      <w:pPr>
        <w:pStyle w:val="Prrafodelista"/>
        <w:ind w:left="0"/>
        <w:rPr>
          <w:rFonts w:ascii="Arial" w:hAnsi="Arial" w:cs="Arial"/>
          <w:sz w:val="22"/>
          <w:szCs w:val="22"/>
        </w:rPr>
      </w:pPr>
    </w:p>
    <w:p w14:paraId="68166049" w14:textId="77777777" w:rsidR="00CA2E03" w:rsidRPr="00FB5181" w:rsidRDefault="00CA2E03"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04DDBA6F" w14:textId="77777777" w:rsidR="00CA2E03" w:rsidRDefault="00CA2E03" w:rsidP="00CA76B9">
      <w:pPr>
        <w:spacing w:line="288" w:lineRule="auto"/>
        <w:jc w:val="both"/>
        <w:rPr>
          <w:rFonts w:ascii="Arial" w:hAnsi="Arial" w:cs="Arial"/>
          <w:sz w:val="22"/>
          <w:szCs w:val="22"/>
        </w:rPr>
      </w:pPr>
    </w:p>
    <w:p w14:paraId="0405E4E0" w14:textId="26BDFD33" w:rsidR="00646EAD" w:rsidRPr="007C2386" w:rsidRDefault="007701D9" w:rsidP="00CA76B9">
      <w:pPr>
        <w:spacing w:line="288" w:lineRule="auto"/>
        <w:jc w:val="both"/>
        <w:rPr>
          <w:rFonts w:ascii="Arial" w:hAnsi="Arial" w:cs="Arial"/>
          <w:sz w:val="22"/>
          <w:szCs w:val="22"/>
        </w:rPr>
      </w:pPr>
      <w:r>
        <w:rPr>
          <w:rFonts w:ascii="Arial" w:hAnsi="Arial" w:cs="Arial"/>
          <w:sz w:val="22"/>
          <w:szCs w:val="22"/>
        </w:rPr>
        <w:t>No obstante</w:t>
      </w:r>
      <w:r w:rsidR="00CA2E03">
        <w:rPr>
          <w:rFonts w:ascii="Arial" w:hAnsi="Arial" w:cs="Arial"/>
          <w:sz w:val="22"/>
          <w:szCs w:val="22"/>
        </w:rPr>
        <w:t xml:space="preserve">, </w:t>
      </w:r>
      <w:r>
        <w:rPr>
          <w:rFonts w:ascii="Arial" w:hAnsi="Arial" w:cs="Arial"/>
          <w:sz w:val="22"/>
          <w:szCs w:val="22"/>
        </w:rPr>
        <w:t>p</w:t>
      </w:r>
      <w:r w:rsidR="00646EAD">
        <w:rPr>
          <w:rFonts w:ascii="Arial" w:hAnsi="Arial" w:cs="Arial"/>
          <w:sz w:val="22"/>
          <w:szCs w:val="22"/>
        </w:rPr>
        <w:t>ara el envío de la información</w:t>
      </w:r>
      <w:r w:rsidR="001472B8">
        <w:rPr>
          <w:rFonts w:ascii="Arial" w:hAnsi="Arial" w:cs="Arial"/>
          <w:sz w:val="22"/>
          <w:szCs w:val="22"/>
        </w:rPr>
        <w:t xml:space="preserve"> relativa a procesos judiciales</w:t>
      </w:r>
      <w:r w:rsidR="00646EAD">
        <w:rPr>
          <w:rFonts w:ascii="Arial" w:hAnsi="Arial" w:cs="Arial"/>
          <w:sz w:val="22"/>
          <w:szCs w:val="22"/>
        </w:rPr>
        <w:t xml:space="preserve"> las Subdirecciones Jurídica</w:t>
      </w:r>
      <w:r w:rsidR="007139A2">
        <w:rPr>
          <w:rFonts w:ascii="Arial" w:hAnsi="Arial" w:cs="Arial"/>
          <w:sz w:val="22"/>
          <w:szCs w:val="22"/>
        </w:rPr>
        <w:t xml:space="preserve"> y Financiera han suscrito el  </w:t>
      </w:r>
      <w:r w:rsidR="0084393E">
        <w:rPr>
          <w:rFonts w:ascii="Arial" w:hAnsi="Arial" w:cs="Arial"/>
          <w:sz w:val="22"/>
          <w:szCs w:val="22"/>
        </w:rPr>
        <w:t>“</w:t>
      </w:r>
      <w:r w:rsidR="007139A2" w:rsidRPr="007C2386">
        <w:rPr>
          <w:rFonts w:ascii="Arial" w:hAnsi="Arial" w:cs="Arial"/>
          <w:i/>
          <w:sz w:val="22"/>
          <w:szCs w:val="22"/>
        </w:rPr>
        <w:t>Acuerdo de S</w:t>
      </w:r>
      <w:r w:rsidR="00646EAD" w:rsidRPr="007C2386">
        <w:rPr>
          <w:rFonts w:ascii="Arial" w:hAnsi="Arial" w:cs="Arial"/>
          <w:i/>
          <w:sz w:val="22"/>
          <w:szCs w:val="22"/>
        </w:rPr>
        <w:t>ervicio Apo5.1_Apo.3.0_As096</w:t>
      </w:r>
      <w:r w:rsidR="0084393E">
        <w:rPr>
          <w:rFonts w:ascii="Arial" w:hAnsi="Arial" w:cs="Arial"/>
          <w:i/>
          <w:sz w:val="22"/>
          <w:szCs w:val="22"/>
        </w:rPr>
        <w:t>”</w:t>
      </w:r>
      <w:r w:rsidR="00646EAD">
        <w:rPr>
          <w:rFonts w:ascii="Arial" w:hAnsi="Arial" w:cs="Arial"/>
          <w:sz w:val="22"/>
          <w:szCs w:val="22"/>
        </w:rPr>
        <w:t>,</w:t>
      </w:r>
      <w:r w:rsidR="00646EAD" w:rsidRPr="007C2386">
        <w:rPr>
          <w:rFonts w:ascii="Arial" w:hAnsi="Arial" w:cs="Arial"/>
          <w:sz w:val="22"/>
          <w:szCs w:val="22"/>
        </w:rPr>
        <w:t xml:space="preserve"> mediante el cual se establece la forma y plazos en los cuales la Subdirección Jurídica debe enviar al Grupo de Contabilidad de la Subdirección financiera, la correspondiente información y soportes para el registro contable de procesos judiciales interpuestos por y en contra del Ministerio de Hacienda y Crédito Público (MHCP), así como el registro de los laudos arbitrales y las conciliaciones extrajudiciales.</w:t>
      </w:r>
    </w:p>
    <w:p w14:paraId="712A13FA" w14:textId="77777777" w:rsidR="00646EAD" w:rsidRDefault="00646EAD" w:rsidP="00CA76B9">
      <w:pPr>
        <w:spacing w:line="288" w:lineRule="auto"/>
        <w:jc w:val="both"/>
        <w:rPr>
          <w:rFonts w:ascii="Arial Narrow" w:hAnsi="Arial Narrow" w:cs="Arial"/>
          <w:sz w:val="22"/>
          <w:szCs w:val="22"/>
        </w:rPr>
      </w:pPr>
    </w:p>
    <w:p w14:paraId="40E0F993" w14:textId="29CE06A6" w:rsidR="00C37D47" w:rsidRPr="007C2386" w:rsidRDefault="00C739D3" w:rsidP="00CA76B9">
      <w:pPr>
        <w:pStyle w:val="Prrafodelista"/>
        <w:spacing w:line="288" w:lineRule="auto"/>
        <w:ind w:left="0"/>
        <w:jc w:val="both"/>
        <w:rPr>
          <w:rFonts w:ascii="Arial" w:hAnsi="Arial" w:cs="Arial"/>
          <w:sz w:val="22"/>
          <w:szCs w:val="22"/>
        </w:rPr>
      </w:pPr>
      <w:r>
        <w:rPr>
          <w:rFonts w:ascii="Arial" w:hAnsi="Arial" w:cs="Arial"/>
          <w:sz w:val="22"/>
          <w:szCs w:val="22"/>
        </w:rPr>
        <w:t>En tal sentido, p</w:t>
      </w:r>
      <w:r w:rsidR="00533B6A" w:rsidRPr="007C2386">
        <w:rPr>
          <w:rFonts w:ascii="Arial" w:hAnsi="Arial" w:cs="Arial"/>
          <w:sz w:val="22"/>
          <w:szCs w:val="22"/>
        </w:rPr>
        <w:t xml:space="preserve">ara el suministro de la información </w:t>
      </w:r>
      <w:r w:rsidR="00646EAD">
        <w:rPr>
          <w:rFonts w:ascii="Arial" w:hAnsi="Arial" w:cs="Arial"/>
          <w:sz w:val="22"/>
          <w:szCs w:val="22"/>
        </w:rPr>
        <w:t xml:space="preserve">se </w:t>
      </w:r>
      <w:r w:rsidR="00533B6A" w:rsidRPr="007C2386">
        <w:rPr>
          <w:rFonts w:ascii="Arial" w:hAnsi="Arial" w:cs="Arial"/>
          <w:sz w:val="22"/>
          <w:szCs w:val="22"/>
        </w:rPr>
        <w:t>empleará</w:t>
      </w:r>
      <w:r w:rsidR="00646EAD">
        <w:rPr>
          <w:rFonts w:ascii="Arial" w:hAnsi="Arial" w:cs="Arial"/>
          <w:sz w:val="22"/>
          <w:szCs w:val="22"/>
        </w:rPr>
        <w:t>n</w:t>
      </w:r>
      <w:r w:rsidR="00533B6A" w:rsidRPr="007C2386">
        <w:rPr>
          <w:rFonts w:ascii="Arial" w:hAnsi="Arial" w:cs="Arial"/>
          <w:sz w:val="22"/>
          <w:szCs w:val="22"/>
        </w:rPr>
        <w:t xml:space="preserve"> los siguientes formatos: </w:t>
      </w:r>
    </w:p>
    <w:p w14:paraId="631059D3" w14:textId="776E00B6" w:rsidR="00533B6A" w:rsidRDefault="00533B6A" w:rsidP="00CA76B9">
      <w:pPr>
        <w:pStyle w:val="Prrafodelista"/>
        <w:spacing w:line="288" w:lineRule="auto"/>
        <w:ind w:left="0"/>
        <w:rPr>
          <w:rFonts w:ascii="Arial" w:hAnsi="Arial" w:cs="Arial"/>
          <w:b/>
          <w:sz w:val="22"/>
          <w:szCs w:val="22"/>
        </w:rPr>
      </w:pPr>
    </w:p>
    <w:p w14:paraId="6ACD6802"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Apo.3.Man.3.Fr.17 - Procesos judiciales interpuestos en contra del MHCP - Procesos nuevos admitidos</w:t>
      </w:r>
    </w:p>
    <w:p w14:paraId="651BFA2D"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Apo.3.Man.3.Fr.18 - Procesos judiciales interpuestos en contra del MHCP -  Procesos fallados favorablemente en primera instancia</w:t>
      </w:r>
    </w:p>
    <w:p w14:paraId="7D598E73"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Apo.3.Man.3.Fr.19 - Procesos judiciales interpuestos en contra del MHCP - Procesos fallados desfavorablemente en primera instancia</w:t>
      </w:r>
    </w:p>
    <w:p w14:paraId="6FBAC683"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Apo.3.Man.3.Fr.20 - Procesos judiciales interpuestos en contra del MHCP - Procesos fallados favorablemente en segunda instancia</w:t>
      </w:r>
    </w:p>
    <w:p w14:paraId="6B5E8FCA"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Apo.3.Man.3.Fr.21 - Procesos judiciales interpuestos en contra del MHCP - Procesos fallados desfavorablemente en segunda instancia</w:t>
      </w:r>
    </w:p>
    <w:p w14:paraId="25BF307F"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Apo.3.Man.3.Fr.22 - Procesos judiciales interpuestos en contra del MHCP - Procesos fallados con recurso extraordinario</w:t>
      </w:r>
    </w:p>
    <w:p w14:paraId="32B43235"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 xml:space="preserve">Apo.3.Man.3.Fr.23 - Procesos judiciales interpuestos en contra del MHCP -Procesos Terminados </w:t>
      </w:r>
    </w:p>
    <w:p w14:paraId="45F6EC54"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lastRenderedPageBreak/>
        <w:t>Apo.3.Man.3.Fr.24 - Procesos judiciales interpuestos en contra del MHCP- Conciliaciones Extrajudiciales</w:t>
      </w:r>
    </w:p>
    <w:p w14:paraId="2CD51A86"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Apo.3.Man.3.Fr.25 - Procesos judiciales interpuestos en contra del MHCP - Informe de pagos</w:t>
      </w:r>
    </w:p>
    <w:p w14:paraId="06674F84"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Apo.3.Man.3.Fr.26 - Procesos judiciales interpuestos en contra del MHCP -Pagos a cargo de terceros</w:t>
      </w:r>
    </w:p>
    <w:p w14:paraId="44621D58"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Apo.3.Man.3.Fr.27 - Informe Detallado de Embargos a Cuentas Corrientes del Tesoro Nacional o Pagaduría del MHCP</w:t>
      </w:r>
    </w:p>
    <w:p w14:paraId="030CA120"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Apo.3.Man.3.Fr.28 - Informe Detallado de Laudos Arbitrales</w:t>
      </w:r>
    </w:p>
    <w:p w14:paraId="168DE82C" w14:textId="77777777" w:rsidR="008F0EDE" w:rsidRPr="0084393E" w:rsidRDefault="008F0EDE" w:rsidP="00343ECE">
      <w:pPr>
        <w:numPr>
          <w:ilvl w:val="0"/>
          <w:numId w:val="25"/>
        </w:numPr>
        <w:spacing w:line="288" w:lineRule="auto"/>
        <w:ind w:left="284" w:hanging="284"/>
        <w:jc w:val="both"/>
        <w:rPr>
          <w:rFonts w:ascii="Arial" w:hAnsi="Arial" w:cs="Arial"/>
          <w:i/>
          <w:iCs/>
          <w:sz w:val="22"/>
          <w:szCs w:val="22"/>
        </w:rPr>
      </w:pPr>
      <w:r w:rsidRPr="0084393E">
        <w:rPr>
          <w:rFonts w:ascii="Arial" w:hAnsi="Arial" w:cs="Arial"/>
          <w:i/>
          <w:iCs/>
          <w:sz w:val="22"/>
          <w:szCs w:val="22"/>
        </w:rPr>
        <w:t>Apo.3.Man.3.Fr.29 - Informe detallado de las demandas interpuestas por el MHCP contra terceros</w:t>
      </w:r>
    </w:p>
    <w:p w14:paraId="0D743F7E" w14:textId="38988513" w:rsidR="008F0EDE" w:rsidRDefault="008F0EDE" w:rsidP="00CA76B9">
      <w:pPr>
        <w:pStyle w:val="Prrafodelista"/>
        <w:spacing w:line="288" w:lineRule="auto"/>
        <w:ind w:left="0"/>
        <w:rPr>
          <w:rFonts w:ascii="Arial" w:hAnsi="Arial" w:cs="Arial"/>
          <w:b/>
          <w:sz w:val="22"/>
          <w:szCs w:val="22"/>
        </w:rPr>
      </w:pPr>
    </w:p>
    <w:p w14:paraId="7F02855D" w14:textId="6383CA03" w:rsidR="00793EC6" w:rsidRPr="003D4124" w:rsidRDefault="00793EC6" w:rsidP="00CA76B9">
      <w:pPr>
        <w:pStyle w:val="Prrafodelista"/>
        <w:spacing w:line="288" w:lineRule="auto"/>
        <w:ind w:left="0"/>
        <w:jc w:val="both"/>
        <w:rPr>
          <w:rFonts w:ascii="Arial" w:hAnsi="Arial" w:cs="Arial"/>
          <w:i/>
          <w:sz w:val="22"/>
          <w:szCs w:val="22"/>
        </w:rPr>
      </w:pPr>
      <w:r w:rsidRPr="003D4124">
        <w:rPr>
          <w:rFonts w:ascii="Arial" w:hAnsi="Arial" w:cs="Arial"/>
          <w:sz w:val="22"/>
          <w:szCs w:val="22"/>
        </w:rPr>
        <w:t xml:space="preserve">Para la conciliación de los procesos judiciales se utilizará el formato denominado </w:t>
      </w:r>
      <w:r w:rsidR="0084393E">
        <w:rPr>
          <w:rFonts w:ascii="Arial" w:hAnsi="Arial" w:cs="Arial"/>
          <w:sz w:val="22"/>
          <w:szCs w:val="22"/>
        </w:rPr>
        <w:t>“</w:t>
      </w:r>
      <w:r w:rsidRPr="003D4124">
        <w:rPr>
          <w:rFonts w:ascii="Arial" w:hAnsi="Arial" w:cs="Arial"/>
          <w:i/>
          <w:sz w:val="22"/>
          <w:szCs w:val="22"/>
        </w:rPr>
        <w:t>Apo.3.Man.3.Fr.14 - Conciliación de Procesos Judiciales</w:t>
      </w:r>
      <w:r w:rsidR="0084393E">
        <w:rPr>
          <w:rFonts w:ascii="Arial" w:hAnsi="Arial" w:cs="Arial"/>
          <w:i/>
          <w:sz w:val="22"/>
          <w:szCs w:val="22"/>
        </w:rPr>
        <w:t>”</w:t>
      </w:r>
    </w:p>
    <w:p w14:paraId="4E35EF36" w14:textId="77777777" w:rsidR="00793EC6" w:rsidRDefault="00793EC6" w:rsidP="00CA76B9">
      <w:pPr>
        <w:pStyle w:val="Prrafodelista"/>
        <w:spacing w:line="288" w:lineRule="auto"/>
        <w:ind w:left="0"/>
        <w:rPr>
          <w:rFonts w:ascii="Arial" w:hAnsi="Arial" w:cs="Arial"/>
          <w:b/>
          <w:sz w:val="22"/>
          <w:szCs w:val="22"/>
        </w:rPr>
      </w:pPr>
    </w:p>
    <w:p w14:paraId="5194E80E" w14:textId="3F7F9D42" w:rsidR="00E41BEC" w:rsidRDefault="00E41BEC" w:rsidP="00CA76B9">
      <w:pPr>
        <w:pStyle w:val="Ttulo3"/>
        <w:numPr>
          <w:ilvl w:val="2"/>
          <w:numId w:val="1"/>
        </w:numPr>
        <w:spacing w:line="288" w:lineRule="auto"/>
        <w:rPr>
          <w:rFonts w:ascii="Arial" w:hAnsi="Arial" w:cs="Arial"/>
          <w:b/>
          <w:sz w:val="22"/>
          <w:szCs w:val="22"/>
        </w:rPr>
      </w:pPr>
      <w:bookmarkStart w:id="293" w:name="_Toc59377879"/>
      <w:r w:rsidRPr="00E41BEC">
        <w:rPr>
          <w:rFonts w:ascii="Arial" w:hAnsi="Arial" w:cs="Arial"/>
          <w:b/>
          <w:sz w:val="22"/>
          <w:szCs w:val="22"/>
        </w:rPr>
        <w:t>Otros pasivos</w:t>
      </w:r>
      <w:bookmarkEnd w:id="293"/>
    </w:p>
    <w:p w14:paraId="2F9EF4E6" w14:textId="672FC57A" w:rsidR="00C37D47" w:rsidRDefault="00C37D47" w:rsidP="00CA76B9">
      <w:pPr>
        <w:pStyle w:val="Prrafodelista"/>
        <w:spacing w:line="288" w:lineRule="auto"/>
        <w:ind w:left="0"/>
        <w:rPr>
          <w:rFonts w:ascii="Arial" w:hAnsi="Arial" w:cs="Arial"/>
          <w:b/>
          <w:sz w:val="22"/>
          <w:szCs w:val="22"/>
        </w:rPr>
      </w:pPr>
    </w:p>
    <w:p w14:paraId="60E69AE0" w14:textId="29392AAA"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otros pasivos:</w:t>
      </w:r>
    </w:p>
    <w:p w14:paraId="2EB7D34E" w14:textId="54A6BFB3" w:rsidR="00C37D47" w:rsidRDefault="00C37D47" w:rsidP="007C2386">
      <w:pPr>
        <w:pStyle w:val="Prrafodelista"/>
        <w:ind w:left="0"/>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591"/>
        <w:gridCol w:w="6249"/>
      </w:tblGrid>
      <w:tr w:rsidR="00B26C22" w:rsidRPr="001A68E7" w14:paraId="08D2A5E2" w14:textId="77777777" w:rsidTr="000B133B">
        <w:trPr>
          <w:tblHeader/>
          <w:jc w:val="center"/>
        </w:trPr>
        <w:tc>
          <w:tcPr>
            <w:tcW w:w="2591" w:type="dxa"/>
            <w:tcBorders>
              <w:bottom w:val="single" w:sz="12" w:space="0" w:color="3366CC"/>
            </w:tcBorders>
            <w:shd w:val="clear" w:color="2F5395" w:fill="3366CC"/>
            <w:vAlign w:val="center"/>
          </w:tcPr>
          <w:p w14:paraId="33A31025"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249" w:type="dxa"/>
            <w:tcBorders>
              <w:bottom w:val="single" w:sz="12" w:space="0" w:color="3366CC"/>
            </w:tcBorders>
            <w:shd w:val="clear" w:color="2F5395" w:fill="3366CC"/>
            <w:vAlign w:val="center"/>
          </w:tcPr>
          <w:p w14:paraId="11AF300A"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B26C22" w:rsidRPr="001A68E7" w14:paraId="4BD3E2A6" w14:textId="77777777" w:rsidTr="000B133B">
        <w:trPr>
          <w:jc w:val="center"/>
        </w:trPr>
        <w:tc>
          <w:tcPr>
            <w:tcW w:w="2591" w:type="dxa"/>
            <w:tcBorders>
              <w:top w:val="single" w:sz="12" w:space="0" w:color="3366CC"/>
              <w:bottom w:val="single" w:sz="12" w:space="0" w:color="3366CC"/>
            </w:tcBorders>
            <w:shd w:val="pct20" w:color="FFFFFF" w:fill="FFFFFF"/>
            <w:vAlign w:val="center"/>
          </w:tcPr>
          <w:p w14:paraId="14329610" w14:textId="77777777" w:rsidR="00B26C22" w:rsidRPr="001A68E7" w:rsidRDefault="00B26C22" w:rsidP="00B26C22">
            <w:pPr>
              <w:spacing w:line="288" w:lineRule="auto"/>
              <w:jc w:val="center"/>
              <w:rPr>
                <w:rFonts w:ascii="Arial" w:hAnsi="Arial" w:cs="Arial"/>
                <w:bCs/>
                <w:kern w:val="32"/>
                <w:sz w:val="18"/>
                <w:szCs w:val="18"/>
                <w:lang w:val="es-ES_tradnl"/>
              </w:rPr>
            </w:pPr>
            <w:r w:rsidRPr="001A68E7">
              <w:rPr>
                <w:rFonts w:ascii="Arial" w:hAnsi="Arial" w:cs="Arial"/>
                <w:sz w:val="18"/>
                <w:szCs w:val="18"/>
                <w:lang w:val="es-ES_tradnl" w:eastAsia="es-CO"/>
              </w:rPr>
              <w:t xml:space="preserve">Área o áreas involucradas en el suministro de información  </w:t>
            </w:r>
          </w:p>
        </w:tc>
        <w:tc>
          <w:tcPr>
            <w:tcW w:w="6249" w:type="dxa"/>
            <w:tcBorders>
              <w:top w:val="single" w:sz="12" w:space="0" w:color="3366CC"/>
              <w:bottom w:val="single" w:sz="12" w:space="0" w:color="3366CC"/>
            </w:tcBorders>
            <w:shd w:val="pct20" w:color="FFFFFF" w:fill="FFFFFF"/>
            <w:vAlign w:val="center"/>
          </w:tcPr>
          <w:p w14:paraId="73B397CF" w14:textId="77777777" w:rsidR="00B26C22" w:rsidRPr="001A68E7" w:rsidRDefault="00B26C2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otros pasivos a cargo del Ministerio de Hacienda y Crédito Público – Gestión General. </w:t>
            </w:r>
          </w:p>
        </w:tc>
      </w:tr>
      <w:tr w:rsidR="000B133B" w:rsidRPr="001A68E7" w14:paraId="7A1D810F" w14:textId="77777777" w:rsidTr="000B133B">
        <w:trPr>
          <w:jc w:val="center"/>
        </w:trPr>
        <w:tc>
          <w:tcPr>
            <w:tcW w:w="2591" w:type="dxa"/>
            <w:tcBorders>
              <w:top w:val="single" w:sz="12" w:space="0" w:color="3366CC"/>
              <w:bottom w:val="single" w:sz="12" w:space="0" w:color="3366CC"/>
            </w:tcBorders>
            <w:shd w:val="pct20" w:color="FFFFFF" w:fill="FFFFFF"/>
            <w:vAlign w:val="center"/>
          </w:tcPr>
          <w:p w14:paraId="1AAADD4A" w14:textId="09620764" w:rsidR="000B133B" w:rsidRPr="001A68E7" w:rsidRDefault="000B133B" w:rsidP="000B133B">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249" w:type="dxa"/>
            <w:tcBorders>
              <w:top w:val="single" w:sz="12" w:space="0" w:color="3366CC"/>
              <w:bottom w:val="single" w:sz="12" w:space="0" w:color="3366CC"/>
            </w:tcBorders>
            <w:shd w:val="pct20" w:color="FFFFFF" w:fill="FFFFFF"/>
            <w:vAlign w:val="center"/>
          </w:tcPr>
          <w:p w14:paraId="0739D84B" w14:textId="77777777" w:rsidR="000B133B" w:rsidRPr="001A68E7" w:rsidRDefault="000B133B"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para efectos de registro y revelación de los otros pasivos a cargo de la Entidad en los Estados Financieros del Ministerio de Hacienda y Crédito Público – Gestión General</w:t>
            </w:r>
            <w:r>
              <w:rPr>
                <w:rFonts w:ascii="Arial" w:hAnsi="Arial" w:cs="Arial"/>
                <w:sz w:val="18"/>
                <w:szCs w:val="18"/>
                <w:lang w:val="es-ES_tradnl" w:eastAsia="es-CO"/>
              </w:rPr>
              <w:t>.</w:t>
            </w:r>
            <w:r w:rsidRPr="001A68E7">
              <w:rPr>
                <w:rFonts w:ascii="Arial" w:hAnsi="Arial" w:cs="Arial"/>
                <w:sz w:val="18"/>
                <w:szCs w:val="18"/>
                <w:lang w:val="es-ES_tradnl" w:eastAsia="es-CO"/>
              </w:rPr>
              <w:t xml:space="preserve"> </w:t>
            </w:r>
          </w:p>
          <w:p w14:paraId="72BDE595" w14:textId="512B7BFA" w:rsidR="000B133B" w:rsidRPr="001A68E7" w:rsidRDefault="000B133B"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los otros pasivos a cargo de la Entidad </w:t>
            </w:r>
          </w:p>
        </w:tc>
      </w:tr>
    </w:tbl>
    <w:p w14:paraId="1C152B11" w14:textId="0A76FEBE" w:rsidR="00B26C22" w:rsidRDefault="00B26C22" w:rsidP="007C2386">
      <w:pPr>
        <w:pStyle w:val="Prrafodelista"/>
        <w:ind w:left="0"/>
        <w:rPr>
          <w:rFonts w:ascii="Arial" w:hAnsi="Arial" w:cs="Arial"/>
          <w:b/>
          <w:sz w:val="22"/>
          <w:szCs w:val="22"/>
        </w:rPr>
      </w:pPr>
    </w:p>
    <w:p w14:paraId="5749BAB4" w14:textId="77777777" w:rsidR="00CA2E03" w:rsidRPr="00FB5181" w:rsidRDefault="00CA2E03"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121782B0" w14:textId="7FD8B257" w:rsidR="00B26C22" w:rsidRDefault="00B26C22" w:rsidP="00CA76B9">
      <w:pPr>
        <w:pStyle w:val="Prrafodelista"/>
        <w:spacing w:line="288" w:lineRule="auto"/>
        <w:ind w:left="0"/>
        <w:rPr>
          <w:rFonts w:ascii="Arial" w:hAnsi="Arial" w:cs="Arial"/>
          <w:b/>
          <w:sz w:val="22"/>
          <w:szCs w:val="22"/>
        </w:rPr>
      </w:pPr>
    </w:p>
    <w:p w14:paraId="45DC2B04" w14:textId="12EBEB26" w:rsidR="00E41BEC" w:rsidRDefault="00E41BEC" w:rsidP="00CA76B9">
      <w:pPr>
        <w:pStyle w:val="Ttulo3"/>
        <w:numPr>
          <w:ilvl w:val="2"/>
          <w:numId w:val="1"/>
        </w:numPr>
        <w:spacing w:line="288" w:lineRule="auto"/>
        <w:rPr>
          <w:rFonts w:ascii="Arial" w:hAnsi="Arial" w:cs="Arial"/>
          <w:b/>
          <w:sz w:val="22"/>
          <w:szCs w:val="22"/>
        </w:rPr>
      </w:pPr>
      <w:bookmarkStart w:id="294" w:name="_Toc59377880"/>
      <w:r w:rsidRPr="00E41BEC">
        <w:rPr>
          <w:rFonts w:ascii="Arial" w:hAnsi="Arial" w:cs="Arial"/>
          <w:b/>
          <w:sz w:val="22"/>
          <w:szCs w:val="22"/>
        </w:rPr>
        <w:t>Ingresos de Transacciones sin contraprestación y con contraprestación</w:t>
      </w:r>
      <w:bookmarkEnd w:id="294"/>
    </w:p>
    <w:p w14:paraId="48A59E3D" w14:textId="5C6139BF" w:rsidR="00AA7C1F" w:rsidRDefault="00AA7C1F" w:rsidP="00CA76B9">
      <w:pPr>
        <w:pStyle w:val="Prrafodelista"/>
        <w:spacing w:line="288" w:lineRule="auto"/>
        <w:ind w:left="0"/>
        <w:rPr>
          <w:rFonts w:ascii="Arial" w:hAnsi="Arial" w:cs="Arial"/>
          <w:b/>
          <w:sz w:val="22"/>
          <w:szCs w:val="22"/>
        </w:rPr>
      </w:pPr>
    </w:p>
    <w:p w14:paraId="207537E6" w14:textId="5BC676ED"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ingresos de transacciones sin contraprestación y con contraprestación:</w:t>
      </w:r>
    </w:p>
    <w:p w14:paraId="18F14DD9" w14:textId="5D0710A3" w:rsidR="00C37D47" w:rsidRDefault="00C37D47" w:rsidP="007C2386">
      <w:pPr>
        <w:pStyle w:val="Prrafodelista"/>
        <w:ind w:left="0"/>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733"/>
        <w:gridCol w:w="6107"/>
      </w:tblGrid>
      <w:tr w:rsidR="00B26C22" w:rsidRPr="001A68E7" w14:paraId="5087768D" w14:textId="77777777" w:rsidTr="000B133B">
        <w:trPr>
          <w:tblHeader/>
          <w:jc w:val="center"/>
        </w:trPr>
        <w:tc>
          <w:tcPr>
            <w:tcW w:w="2733" w:type="dxa"/>
            <w:tcBorders>
              <w:bottom w:val="single" w:sz="12" w:space="0" w:color="3366CC"/>
            </w:tcBorders>
            <w:shd w:val="clear" w:color="2F5395" w:fill="3366CC"/>
          </w:tcPr>
          <w:p w14:paraId="332978A3"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lastRenderedPageBreak/>
              <w:t>ÁREA</w:t>
            </w:r>
          </w:p>
        </w:tc>
        <w:tc>
          <w:tcPr>
            <w:tcW w:w="6107" w:type="dxa"/>
            <w:tcBorders>
              <w:bottom w:val="single" w:sz="12" w:space="0" w:color="3366CC"/>
            </w:tcBorders>
            <w:shd w:val="clear" w:color="2F5395" w:fill="3366CC"/>
          </w:tcPr>
          <w:p w14:paraId="5905D9F5"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B26C22" w:rsidRPr="001A68E7" w14:paraId="20E4D60A" w14:textId="77777777" w:rsidTr="000B133B">
        <w:trPr>
          <w:trHeight w:val="474"/>
          <w:jc w:val="center"/>
        </w:trPr>
        <w:tc>
          <w:tcPr>
            <w:tcW w:w="2733" w:type="dxa"/>
            <w:tcBorders>
              <w:top w:val="single" w:sz="12" w:space="0" w:color="3366CC"/>
              <w:bottom w:val="single" w:sz="12" w:space="0" w:color="3366CC"/>
            </w:tcBorders>
            <w:shd w:val="pct20" w:color="FFFFFF" w:fill="FFFFFF"/>
            <w:vAlign w:val="center"/>
          </w:tcPr>
          <w:p w14:paraId="77DBE44C" w14:textId="77777777" w:rsidR="00B26C22" w:rsidRPr="001A68E7" w:rsidRDefault="00B26C22" w:rsidP="00B26C22">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Área o áreas involucradas en la generación de ingresos sin y con contraprestación</w:t>
            </w:r>
          </w:p>
        </w:tc>
        <w:tc>
          <w:tcPr>
            <w:tcW w:w="6107" w:type="dxa"/>
            <w:tcBorders>
              <w:top w:val="single" w:sz="12" w:space="0" w:color="3366CC"/>
              <w:bottom w:val="single" w:sz="12" w:space="0" w:color="3366CC"/>
            </w:tcBorders>
            <w:shd w:val="pct20" w:color="FFFFFF" w:fill="FFFFFF"/>
            <w:vAlign w:val="center"/>
          </w:tcPr>
          <w:p w14:paraId="49D23916" w14:textId="77777777" w:rsidR="00B26C22" w:rsidRPr="001A68E7" w:rsidRDefault="00B26C2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ingresos con y sin contraprestación del Ministerio de Hacienda y Crédito Público – Gestión General. </w:t>
            </w:r>
          </w:p>
        </w:tc>
      </w:tr>
      <w:tr w:rsidR="000B133B" w:rsidRPr="001A68E7" w14:paraId="2420D1FB" w14:textId="77777777" w:rsidTr="000B133B">
        <w:trPr>
          <w:jc w:val="center"/>
        </w:trPr>
        <w:tc>
          <w:tcPr>
            <w:tcW w:w="2733" w:type="dxa"/>
            <w:tcBorders>
              <w:top w:val="single" w:sz="12" w:space="0" w:color="3366CC"/>
              <w:bottom w:val="single" w:sz="12" w:space="0" w:color="3366CC"/>
            </w:tcBorders>
            <w:shd w:val="pct20" w:color="FFFFFF" w:fill="FFFFFF"/>
            <w:vAlign w:val="center"/>
          </w:tcPr>
          <w:p w14:paraId="05F3F755" w14:textId="6B6580E6" w:rsidR="000B133B" w:rsidRPr="001A68E7" w:rsidRDefault="000B133B" w:rsidP="000B133B">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107" w:type="dxa"/>
            <w:tcBorders>
              <w:top w:val="single" w:sz="12" w:space="0" w:color="3366CC"/>
              <w:bottom w:val="single" w:sz="12" w:space="0" w:color="3366CC"/>
            </w:tcBorders>
            <w:shd w:val="pct20" w:color="FFFFFF" w:fill="FFFFFF"/>
            <w:vAlign w:val="center"/>
          </w:tcPr>
          <w:p w14:paraId="472CF747" w14:textId="77777777" w:rsidR="000B133B" w:rsidRPr="001A68E7" w:rsidRDefault="000B133B"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suministrada por el área o áreas respectivas, 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y revelación de los ingresos con y sin contraprestación</w:t>
            </w:r>
            <w:r>
              <w:rPr>
                <w:rFonts w:ascii="Arial" w:hAnsi="Arial" w:cs="Arial"/>
                <w:sz w:val="18"/>
                <w:szCs w:val="18"/>
                <w:lang w:val="es-ES_tradnl" w:eastAsia="es-CO"/>
              </w:rPr>
              <w:t>,</w:t>
            </w:r>
            <w:r w:rsidRPr="001A68E7">
              <w:rPr>
                <w:rFonts w:ascii="Arial" w:hAnsi="Arial" w:cs="Arial"/>
                <w:sz w:val="18"/>
                <w:szCs w:val="18"/>
                <w:lang w:val="es-ES_tradnl" w:eastAsia="es-CO"/>
              </w:rPr>
              <w:t xml:space="preserve"> en los Estados Financieros del Ministerio de Hacienda y Crédito Público – Gestión General</w:t>
            </w:r>
            <w:r>
              <w:rPr>
                <w:rFonts w:ascii="Arial" w:hAnsi="Arial" w:cs="Arial"/>
                <w:sz w:val="18"/>
                <w:szCs w:val="18"/>
                <w:lang w:val="es-ES_tradnl" w:eastAsia="es-CO"/>
              </w:rPr>
              <w:t>.</w:t>
            </w:r>
            <w:r w:rsidRPr="001A68E7">
              <w:rPr>
                <w:rFonts w:ascii="Arial" w:hAnsi="Arial" w:cs="Arial"/>
                <w:sz w:val="18"/>
                <w:szCs w:val="18"/>
                <w:lang w:val="es-ES_tradnl" w:eastAsia="es-CO"/>
              </w:rPr>
              <w:t xml:space="preserve"> </w:t>
            </w:r>
          </w:p>
          <w:p w14:paraId="4C16DCC8" w14:textId="23173E67" w:rsidR="000B133B" w:rsidRPr="001A68E7" w:rsidRDefault="000B133B"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Llevar a cabo el proceso de conciliación de los ingresos con y sin contraprestación.</w:t>
            </w:r>
          </w:p>
        </w:tc>
      </w:tr>
    </w:tbl>
    <w:p w14:paraId="73162390" w14:textId="390E284D" w:rsidR="00B26C22" w:rsidRDefault="00B26C22" w:rsidP="007C2386">
      <w:pPr>
        <w:pStyle w:val="Prrafodelista"/>
        <w:ind w:left="0"/>
        <w:rPr>
          <w:rFonts w:ascii="Arial" w:hAnsi="Arial" w:cs="Arial"/>
          <w:b/>
          <w:sz w:val="22"/>
          <w:szCs w:val="22"/>
        </w:rPr>
      </w:pPr>
    </w:p>
    <w:p w14:paraId="758BCB6F" w14:textId="2A18582C" w:rsidR="00510D51" w:rsidRDefault="00510D51"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 xml:space="preserve">Conforme lo anterior, y según se presenten las operaciones, las áreas correspondientes deben enviar la información al Grupo de Contabilidad para su reconocimiento, medición y revelación.   </w:t>
      </w:r>
    </w:p>
    <w:p w14:paraId="02FB554C" w14:textId="64FE642A" w:rsidR="00E82C04" w:rsidRDefault="00E82C04" w:rsidP="00CA76B9">
      <w:pPr>
        <w:spacing w:line="288" w:lineRule="auto"/>
        <w:jc w:val="both"/>
        <w:rPr>
          <w:rFonts w:ascii="Arial" w:hAnsi="Arial" w:cs="Arial"/>
          <w:sz w:val="22"/>
          <w:szCs w:val="22"/>
          <w:lang w:val="es-ES_tradnl" w:eastAsia="es-CO"/>
        </w:rPr>
      </w:pPr>
    </w:p>
    <w:p w14:paraId="0E558E28" w14:textId="26A332BB" w:rsidR="00E82C04" w:rsidRPr="00FB5181" w:rsidRDefault="00E82C04"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t>Para la c</w:t>
      </w:r>
      <w:r w:rsidRPr="00E82C04">
        <w:rPr>
          <w:rFonts w:ascii="Arial" w:hAnsi="Arial" w:cs="Arial"/>
          <w:sz w:val="22"/>
          <w:szCs w:val="22"/>
          <w:lang w:val="es-ES_tradnl" w:eastAsia="es-CO"/>
        </w:rPr>
        <w:t>lasificación y registro de los ingresos asignados a la entidad contable pública MHCP</w:t>
      </w:r>
      <w:r>
        <w:rPr>
          <w:rFonts w:ascii="Arial" w:hAnsi="Arial" w:cs="Arial"/>
          <w:sz w:val="22"/>
          <w:szCs w:val="22"/>
          <w:lang w:val="es-ES_tradnl" w:eastAsia="es-CO"/>
        </w:rPr>
        <w:t xml:space="preserve"> se empleará el </w:t>
      </w:r>
      <w:r w:rsidR="001120AA">
        <w:rPr>
          <w:rFonts w:ascii="Arial" w:hAnsi="Arial" w:cs="Arial"/>
          <w:sz w:val="22"/>
          <w:szCs w:val="22"/>
          <w:lang w:val="es-ES_tradnl" w:eastAsia="es-CO"/>
        </w:rPr>
        <w:t>instructivo</w:t>
      </w:r>
      <w:r>
        <w:rPr>
          <w:rFonts w:ascii="Arial" w:hAnsi="Arial" w:cs="Arial"/>
          <w:sz w:val="22"/>
          <w:szCs w:val="22"/>
          <w:lang w:val="es-ES_tradnl" w:eastAsia="es-CO"/>
        </w:rPr>
        <w:t xml:space="preserve"> denominado </w:t>
      </w:r>
      <w:r w:rsidRPr="00E82C04">
        <w:rPr>
          <w:rFonts w:ascii="Arial" w:hAnsi="Arial" w:cs="Arial"/>
          <w:i/>
          <w:iCs/>
          <w:sz w:val="22"/>
          <w:szCs w:val="22"/>
          <w:lang w:val="es-ES_tradnl" w:eastAsia="es-CO"/>
        </w:rPr>
        <w:t>“Apo.3.Pro.5.Ins.2. Clasificación y registro de los ingresos asignados a la entidad contable pública MHCP”</w:t>
      </w:r>
      <w:r>
        <w:rPr>
          <w:rFonts w:ascii="Arial" w:hAnsi="Arial" w:cs="Arial"/>
          <w:i/>
          <w:iCs/>
          <w:sz w:val="22"/>
          <w:szCs w:val="22"/>
          <w:lang w:val="es-ES_tradnl" w:eastAsia="es-CO"/>
        </w:rPr>
        <w:t>.</w:t>
      </w:r>
    </w:p>
    <w:p w14:paraId="3952AA59" w14:textId="7686F1E1" w:rsidR="00B26C22" w:rsidRDefault="00B26C22" w:rsidP="00CA76B9">
      <w:pPr>
        <w:pStyle w:val="Prrafodelista"/>
        <w:spacing w:line="288" w:lineRule="auto"/>
        <w:ind w:left="0"/>
        <w:rPr>
          <w:rFonts w:ascii="Arial" w:hAnsi="Arial" w:cs="Arial"/>
          <w:b/>
          <w:sz w:val="22"/>
          <w:szCs w:val="22"/>
        </w:rPr>
      </w:pPr>
    </w:p>
    <w:p w14:paraId="31FA44F1" w14:textId="128173F5" w:rsidR="00857AF6" w:rsidRPr="00857AF6" w:rsidRDefault="00857AF6" w:rsidP="00CA76B9">
      <w:pPr>
        <w:pStyle w:val="Prrafodelista"/>
        <w:spacing w:line="288" w:lineRule="auto"/>
        <w:ind w:left="0"/>
        <w:jc w:val="both"/>
        <w:rPr>
          <w:rFonts w:ascii="Arial" w:hAnsi="Arial" w:cs="Arial"/>
          <w:bCs/>
          <w:i/>
          <w:iCs/>
          <w:sz w:val="22"/>
          <w:szCs w:val="22"/>
        </w:rPr>
      </w:pPr>
      <w:r>
        <w:rPr>
          <w:rFonts w:ascii="Arial" w:hAnsi="Arial" w:cs="Arial"/>
          <w:bCs/>
          <w:sz w:val="22"/>
          <w:szCs w:val="22"/>
        </w:rPr>
        <w:t xml:space="preserve">Por su parte, para la recepción de la información soporte para la contabilización de los recaudos por consignaciones de los servicios prestados por el Ministerio de Hacienda y Crédito Público a través de la Subdirección de Servicios, se suscribió el </w:t>
      </w:r>
      <w:r w:rsidRPr="00857AF6">
        <w:rPr>
          <w:rFonts w:ascii="Arial" w:hAnsi="Arial" w:cs="Arial"/>
          <w:bCs/>
          <w:i/>
          <w:iCs/>
          <w:sz w:val="22"/>
          <w:szCs w:val="22"/>
        </w:rPr>
        <w:t xml:space="preserve">“Acuerdo </w:t>
      </w:r>
      <w:r>
        <w:rPr>
          <w:rFonts w:ascii="Arial" w:hAnsi="Arial" w:cs="Arial"/>
          <w:bCs/>
          <w:i/>
          <w:iCs/>
          <w:sz w:val="22"/>
          <w:szCs w:val="22"/>
        </w:rPr>
        <w:t>de servicio Apo.4.2_Apo.3.As080”</w:t>
      </w:r>
    </w:p>
    <w:p w14:paraId="3C4F4349" w14:textId="77777777" w:rsidR="00857AF6" w:rsidRPr="00857AF6" w:rsidRDefault="00857AF6" w:rsidP="00CA76B9">
      <w:pPr>
        <w:pStyle w:val="Prrafodelista"/>
        <w:spacing w:line="288" w:lineRule="auto"/>
        <w:ind w:left="0"/>
        <w:rPr>
          <w:rFonts w:ascii="Arial" w:hAnsi="Arial" w:cs="Arial"/>
          <w:bCs/>
          <w:sz w:val="22"/>
          <w:szCs w:val="22"/>
        </w:rPr>
      </w:pPr>
    </w:p>
    <w:p w14:paraId="6FF48CB4" w14:textId="0138A121" w:rsidR="00E41BEC" w:rsidRDefault="00E41BEC" w:rsidP="00CA76B9">
      <w:pPr>
        <w:pStyle w:val="Ttulo3"/>
        <w:numPr>
          <w:ilvl w:val="2"/>
          <w:numId w:val="1"/>
        </w:numPr>
        <w:spacing w:line="288" w:lineRule="auto"/>
        <w:rPr>
          <w:rFonts w:ascii="Arial" w:hAnsi="Arial" w:cs="Arial"/>
          <w:b/>
          <w:sz w:val="22"/>
          <w:szCs w:val="22"/>
        </w:rPr>
      </w:pPr>
      <w:bookmarkStart w:id="295" w:name="_Toc59377881"/>
      <w:r>
        <w:rPr>
          <w:rFonts w:ascii="Arial" w:hAnsi="Arial" w:cs="Arial"/>
          <w:b/>
          <w:sz w:val="22"/>
          <w:szCs w:val="22"/>
        </w:rPr>
        <w:t>Gastos</w:t>
      </w:r>
      <w:bookmarkEnd w:id="295"/>
    </w:p>
    <w:p w14:paraId="78AFFD9F" w14:textId="3D51739E" w:rsidR="00C37D47" w:rsidRDefault="00C37D47" w:rsidP="00CA76B9">
      <w:pPr>
        <w:spacing w:line="288" w:lineRule="auto"/>
        <w:rPr>
          <w:rFonts w:ascii="Arial" w:hAnsi="Arial" w:cs="Arial"/>
          <w:b/>
          <w:sz w:val="22"/>
          <w:szCs w:val="22"/>
        </w:rPr>
      </w:pPr>
    </w:p>
    <w:p w14:paraId="2AC0F61A" w14:textId="12ADFED9" w:rsidR="00C37D47" w:rsidRDefault="00C37D47" w:rsidP="00CA76B9">
      <w:pPr>
        <w:spacing w:line="288" w:lineRule="auto"/>
        <w:jc w:val="both"/>
        <w:rPr>
          <w:rFonts w:ascii="Arial" w:hAnsi="Arial" w:cs="Arial"/>
          <w:b/>
          <w:sz w:val="22"/>
          <w:szCs w:val="22"/>
        </w:rPr>
      </w:pPr>
      <w:r>
        <w:rPr>
          <w:rFonts w:ascii="Arial" w:hAnsi="Arial" w:cs="Arial"/>
          <w:sz w:val="22"/>
          <w:szCs w:val="22"/>
          <w:lang w:val="es-ES_tradnl" w:eastAsia="es-CO"/>
        </w:rPr>
        <w:t>De acuerdo con lo señalado en el Manual de Políticas Contables, a</w:t>
      </w:r>
      <w:r w:rsidRPr="00EC6EE7">
        <w:rPr>
          <w:rFonts w:ascii="Arial" w:hAnsi="Arial" w:cs="Arial"/>
          <w:sz w:val="22"/>
          <w:szCs w:val="22"/>
          <w:lang w:val="es-ES_tradnl" w:eastAsia="es-CO"/>
        </w:rPr>
        <w:t xml:space="preserve"> </w:t>
      </w:r>
      <w:proofErr w:type="gramStart"/>
      <w:r w:rsidRPr="00EC6EE7">
        <w:rPr>
          <w:rFonts w:ascii="Arial" w:hAnsi="Arial" w:cs="Arial"/>
          <w:sz w:val="22"/>
          <w:szCs w:val="22"/>
          <w:lang w:val="es-ES_tradnl" w:eastAsia="es-CO"/>
        </w:rPr>
        <w:t>continuación</w:t>
      </w:r>
      <w:proofErr w:type="gramEnd"/>
      <w:r w:rsidRPr="00EC6EE7">
        <w:rPr>
          <w:rFonts w:ascii="Arial" w:hAnsi="Arial" w:cs="Arial"/>
          <w:sz w:val="22"/>
          <w:szCs w:val="22"/>
          <w:lang w:val="es-ES_tradnl" w:eastAsia="es-CO"/>
        </w:rPr>
        <w:t xml:space="preserve"> se presentan las principales actividades que se deben llevar a cabo para el cumplimiento de la política</w:t>
      </w:r>
      <w:r>
        <w:rPr>
          <w:rFonts w:ascii="Arial" w:hAnsi="Arial" w:cs="Arial"/>
          <w:sz w:val="22"/>
          <w:szCs w:val="22"/>
          <w:lang w:val="es-ES_tradnl" w:eastAsia="es-CO"/>
        </w:rPr>
        <w:t xml:space="preserve"> de gastos:</w:t>
      </w:r>
    </w:p>
    <w:p w14:paraId="78CD422C" w14:textId="2EBB5849" w:rsidR="00C37D47" w:rsidRDefault="00C37D47" w:rsidP="007C2386">
      <w:pPr>
        <w:rPr>
          <w:rFonts w:ascii="Arial" w:hAnsi="Arial" w:cs="Arial"/>
          <w:b/>
          <w:sz w:val="22"/>
          <w:szCs w:val="22"/>
        </w:rPr>
      </w:pPr>
    </w:p>
    <w:tbl>
      <w:tblPr>
        <w:tblW w:w="0" w:type="auto"/>
        <w:jc w:val="center"/>
        <w:tblBorders>
          <w:bottom w:val="single" w:sz="12" w:space="0" w:color="000000"/>
        </w:tblBorders>
        <w:tblLook w:val="0420" w:firstRow="1" w:lastRow="0" w:firstColumn="0" w:lastColumn="0" w:noHBand="0" w:noVBand="1"/>
      </w:tblPr>
      <w:tblGrid>
        <w:gridCol w:w="2728"/>
        <w:gridCol w:w="6112"/>
      </w:tblGrid>
      <w:tr w:rsidR="00B26C22" w:rsidRPr="001A68E7" w14:paraId="25D5D2A2" w14:textId="77777777" w:rsidTr="00B26C22">
        <w:trPr>
          <w:jc w:val="center"/>
        </w:trPr>
        <w:tc>
          <w:tcPr>
            <w:tcW w:w="2764" w:type="dxa"/>
            <w:tcBorders>
              <w:bottom w:val="single" w:sz="12" w:space="0" w:color="3366CC"/>
            </w:tcBorders>
            <w:shd w:val="clear" w:color="2F5395" w:fill="3366CC"/>
          </w:tcPr>
          <w:p w14:paraId="368E5D42"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ÁREA</w:t>
            </w:r>
          </w:p>
        </w:tc>
        <w:tc>
          <w:tcPr>
            <w:tcW w:w="6216" w:type="dxa"/>
            <w:tcBorders>
              <w:bottom w:val="single" w:sz="12" w:space="0" w:color="3366CC"/>
            </w:tcBorders>
            <w:shd w:val="clear" w:color="2F5395" w:fill="3366CC"/>
          </w:tcPr>
          <w:p w14:paraId="0E9C8638" w14:textId="77777777" w:rsidR="00B26C22" w:rsidRPr="001A68E7" w:rsidRDefault="00B26C22" w:rsidP="00B26C22">
            <w:pPr>
              <w:spacing w:line="288" w:lineRule="auto"/>
              <w:jc w:val="center"/>
              <w:rPr>
                <w:rFonts w:ascii="Arial" w:hAnsi="Arial" w:cs="Arial"/>
                <w:b/>
                <w:bCs/>
                <w:iCs/>
                <w:color w:val="FFFFFF"/>
                <w:sz w:val="18"/>
                <w:szCs w:val="18"/>
                <w:lang w:val="es-ES_tradnl" w:eastAsia="es-CO"/>
              </w:rPr>
            </w:pPr>
            <w:r w:rsidRPr="001A68E7">
              <w:rPr>
                <w:rFonts w:ascii="Arial" w:hAnsi="Arial" w:cs="Arial"/>
                <w:b/>
                <w:bCs/>
                <w:iCs/>
                <w:color w:val="FFFFFF"/>
                <w:sz w:val="18"/>
                <w:szCs w:val="18"/>
                <w:lang w:val="es-ES_tradnl" w:eastAsia="es-CO"/>
              </w:rPr>
              <w:t>ACTIVIDAD</w:t>
            </w:r>
          </w:p>
        </w:tc>
      </w:tr>
      <w:tr w:rsidR="00B26C22" w:rsidRPr="001A68E7" w14:paraId="2DF5BB60" w14:textId="77777777" w:rsidTr="00B26C22">
        <w:trPr>
          <w:trHeight w:val="474"/>
          <w:jc w:val="center"/>
        </w:trPr>
        <w:tc>
          <w:tcPr>
            <w:tcW w:w="2764" w:type="dxa"/>
            <w:tcBorders>
              <w:top w:val="single" w:sz="12" w:space="0" w:color="3366CC"/>
              <w:bottom w:val="single" w:sz="12" w:space="0" w:color="3366CC"/>
            </w:tcBorders>
            <w:shd w:val="pct20" w:color="FFFFFF" w:fill="FFFFFF"/>
            <w:vAlign w:val="center"/>
          </w:tcPr>
          <w:p w14:paraId="16FE64D9" w14:textId="77777777" w:rsidR="00B26C22" w:rsidRPr="001A68E7" w:rsidRDefault="00B26C22" w:rsidP="00B26C22">
            <w:pPr>
              <w:spacing w:line="288" w:lineRule="auto"/>
              <w:jc w:val="center"/>
              <w:rPr>
                <w:rFonts w:ascii="Arial" w:hAnsi="Arial" w:cs="Arial"/>
                <w:sz w:val="18"/>
                <w:szCs w:val="18"/>
                <w:lang w:val="es-ES_tradnl" w:eastAsia="es-CO"/>
              </w:rPr>
            </w:pPr>
            <w:r w:rsidRPr="001A68E7">
              <w:rPr>
                <w:rFonts w:ascii="Arial" w:hAnsi="Arial" w:cs="Arial"/>
                <w:sz w:val="18"/>
                <w:szCs w:val="18"/>
                <w:lang w:val="es-ES_tradnl" w:eastAsia="es-CO"/>
              </w:rPr>
              <w:t xml:space="preserve">Área o áreas involucradas en la generación de gastos </w:t>
            </w:r>
          </w:p>
        </w:tc>
        <w:tc>
          <w:tcPr>
            <w:tcW w:w="6216" w:type="dxa"/>
            <w:tcBorders>
              <w:top w:val="single" w:sz="12" w:space="0" w:color="3366CC"/>
              <w:bottom w:val="single" w:sz="12" w:space="0" w:color="3366CC"/>
            </w:tcBorders>
            <w:shd w:val="pct20" w:color="FFFFFF" w:fill="FFFFFF"/>
            <w:vAlign w:val="center"/>
          </w:tcPr>
          <w:p w14:paraId="386FA410" w14:textId="31B3805F" w:rsidR="00B26C22" w:rsidRPr="001A68E7" w:rsidRDefault="00B26C2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Enviar al Grupo de Contabilidad, la información que permita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gastos incurridos por el Ministerio de Hacienda y Crédito Público – Gestión General, de acuerdo con lo definido en </w:t>
            </w:r>
            <w:r w:rsidR="000B133B" w:rsidRPr="001A68E7">
              <w:rPr>
                <w:rFonts w:ascii="Arial" w:hAnsi="Arial" w:cs="Arial"/>
                <w:sz w:val="18"/>
                <w:szCs w:val="18"/>
                <w:lang w:val="es-ES_tradnl" w:eastAsia="es-CO"/>
              </w:rPr>
              <w:t>esta</w:t>
            </w:r>
            <w:r w:rsidRPr="001A68E7">
              <w:rPr>
                <w:rFonts w:ascii="Arial" w:hAnsi="Arial" w:cs="Arial"/>
                <w:sz w:val="18"/>
                <w:szCs w:val="18"/>
                <w:lang w:val="es-ES_tradnl" w:eastAsia="es-CO"/>
              </w:rPr>
              <w:t xml:space="preserve"> política contable y en los procedimientos internos directamente asociados. </w:t>
            </w:r>
          </w:p>
        </w:tc>
      </w:tr>
      <w:tr w:rsidR="00B26C22" w:rsidRPr="001A68E7" w14:paraId="1AFDB77C" w14:textId="77777777" w:rsidTr="00B26C22">
        <w:trPr>
          <w:jc w:val="center"/>
        </w:trPr>
        <w:tc>
          <w:tcPr>
            <w:tcW w:w="2764" w:type="dxa"/>
            <w:tcBorders>
              <w:top w:val="single" w:sz="12" w:space="0" w:color="3366CC"/>
              <w:bottom w:val="single" w:sz="12" w:space="0" w:color="3366CC"/>
            </w:tcBorders>
            <w:shd w:val="pct20" w:color="FFFFFF" w:fill="FFFFFF"/>
            <w:vAlign w:val="center"/>
          </w:tcPr>
          <w:p w14:paraId="4722293E" w14:textId="77777777" w:rsidR="00B26C22" w:rsidRPr="001A68E7" w:rsidRDefault="00B26C22" w:rsidP="00B26C22">
            <w:pPr>
              <w:spacing w:line="288" w:lineRule="auto"/>
              <w:jc w:val="center"/>
              <w:rPr>
                <w:rFonts w:ascii="Arial" w:hAnsi="Arial" w:cs="Arial"/>
                <w:sz w:val="18"/>
                <w:szCs w:val="18"/>
                <w:lang w:val="es-ES_tradnl" w:eastAsia="es-CO"/>
              </w:rPr>
            </w:pPr>
            <w:r w:rsidRPr="001A68E7">
              <w:rPr>
                <w:rFonts w:ascii="Arial" w:hAnsi="Arial" w:cs="Arial"/>
                <w:bCs/>
                <w:kern w:val="32"/>
                <w:sz w:val="18"/>
                <w:szCs w:val="18"/>
                <w:lang w:val="es-ES_tradnl"/>
              </w:rPr>
              <w:t>Subdirección Financiera/ Grupo de Contabilidad</w:t>
            </w:r>
          </w:p>
        </w:tc>
        <w:tc>
          <w:tcPr>
            <w:tcW w:w="6216" w:type="dxa"/>
            <w:tcBorders>
              <w:top w:val="single" w:sz="12" w:space="0" w:color="3366CC"/>
              <w:bottom w:val="single" w:sz="12" w:space="0" w:color="3366CC"/>
            </w:tcBorders>
            <w:shd w:val="pct20" w:color="FFFFFF" w:fill="FFFFFF"/>
            <w:vAlign w:val="center"/>
          </w:tcPr>
          <w:p w14:paraId="0495016D" w14:textId="77777777" w:rsidR="00B26C22" w:rsidRPr="001A68E7" w:rsidRDefault="00B26C2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Recibir la información suministrada por el área o áreas respectivas, para el registro</w:t>
            </w:r>
            <w:r>
              <w:rPr>
                <w:rFonts w:ascii="Arial" w:hAnsi="Arial" w:cs="Arial"/>
                <w:sz w:val="18"/>
                <w:szCs w:val="18"/>
                <w:lang w:val="es-ES_tradnl" w:eastAsia="es-CO"/>
              </w:rPr>
              <w:t xml:space="preserve">, medición </w:t>
            </w:r>
            <w:r w:rsidRPr="001A68E7">
              <w:rPr>
                <w:rFonts w:ascii="Arial" w:hAnsi="Arial" w:cs="Arial"/>
                <w:sz w:val="18"/>
                <w:szCs w:val="18"/>
                <w:lang w:val="es-ES_tradnl" w:eastAsia="es-CO"/>
              </w:rPr>
              <w:t xml:space="preserve">y revelación de los gastos en los Estados Financieros del Ministerio de Hacienda y Crédito Público – General. </w:t>
            </w:r>
          </w:p>
          <w:p w14:paraId="6364542A" w14:textId="77777777" w:rsidR="00B26C22" w:rsidRPr="001A68E7" w:rsidRDefault="00B26C22" w:rsidP="00343ECE">
            <w:pPr>
              <w:numPr>
                <w:ilvl w:val="0"/>
                <w:numId w:val="32"/>
              </w:numPr>
              <w:spacing w:line="288" w:lineRule="auto"/>
              <w:jc w:val="both"/>
              <w:rPr>
                <w:rFonts w:ascii="Arial" w:hAnsi="Arial" w:cs="Arial"/>
                <w:sz w:val="18"/>
                <w:szCs w:val="18"/>
                <w:lang w:val="es-ES_tradnl" w:eastAsia="es-CO"/>
              </w:rPr>
            </w:pPr>
            <w:r w:rsidRPr="001A68E7">
              <w:rPr>
                <w:rFonts w:ascii="Arial" w:hAnsi="Arial" w:cs="Arial"/>
                <w:sz w:val="18"/>
                <w:szCs w:val="18"/>
                <w:lang w:val="es-ES_tradnl" w:eastAsia="es-CO"/>
              </w:rPr>
              <w:t xml:space="preserve">Llevar a cabo el proceso de conciliación de las erogaciones registradas. </w:t>
            </w:r>
          </w:p>
        </w:tc>
      </w:tr>
    </w:tbl>
    <w:p w14:paraId="6436C488" w14:textId="343CBC36" w:rsidR="00B26C22" w:rsidRDefault="00B26C22" w:rsidP="007C2386">
      <w:pPr>
        <w:rPr>
          <w:rFonts w:ascii="Arial" w:hAnsi="Arial" w:cs="Arial"/>
          <w:b/>
          <w:sz w:val="22"/>
          <w:szCs w:val="22"/>
        </w:rPr>
      </w:pPr>
    </w:p>
    <w:p w14:paraId="0295AE93" w14:textId="77777777" w:rsidR="00510D51" w:rsidRPr="00FB5181" w:rsidRDefault="00510D51" w:rsidP="00CA76B9">
      <w:pPr>
        <w:spacing w:line="288" w:lineRule="auto"/>
        <w:jc w:val="both"/>
        <w:rPr>
          <w:rFonts w:ascii="Arial" w:hAnsi="Arial" w:cs="Arial"/>
          <w:sz w:val="22"/>
          <w:szCs w:val="22"/>
          <w:lang w:val="es-ES_tradnl" w:eastAsia="es-CO"/>
        </w:rPr>
      </w:pPr>
      <w:r>
        <w:rPr>
          <w:rFonts w:ascii="Arial" w:hAnsi="Arial" w:cs="Arial"/>
          <w:sz w:val="22"/>
          <w:szCs w:val="22"/>
          <w:lang w:val="es-ES_tradnl" w:eastAsia="es-CO"/>
        </w:rPr>
        <w:lastRenderedPageBreak/>
        <w:t xml:space="preserve">Conforme lo anterior, y según se presenten las operaciones, las áreas correspondientes deben enviar la información al Grupo de Contabilidad para su reconocimiento, medición y revelación.   </w:t>
      </w:r>
    </w:p>
    <w:p w14:paraId="190D361E" w14:textId="77777777" w:rsidR="00510D51" w:rsidRDefault="00510D51" w:rsidP="00CA76B9">
      <w:pPr>
        <w:spacing w:line="288" w:lineRule="auto"/>
        <w:rPr>
          <w:rFonts w:ascii="Arial" w:hAnsi="Arial" w:cs="Arial"/>
          <w:b/>
          <w:sz w:val="22"/>
          <w:szCs w:val="22"/>
        </w:rPr>
      </w:pPr>
    </w:p>
    <w:p w14:paraId="31D81415" w14:textId="77777777" w:rsidR="003277EA" w:rsidRDefault="003277EA" w:rsidP="00CA76B9">
      <w:pPr>
        <w:pStyle w:val="Ttulo1"/>
        <w:numPr>
          <w:ilvl w:val="0"/>
          <w:numId w:val="1"/>
        </w:numPr>
        <w:spacing w:line="288" w:lineRule="auto"/>
        <w:jc w:val="both"/>
        <w:rPr>
          <w:rFonts w:ascii="Arial" w:hAnsi="Arial" w:cs="Arial"/>
          <w:bCs/>
          <w:sz w:val="22"/>
          <w:szCs w:val="22"/>
          <w:lang w:eastAsia="es-CO"/>
        </w:rPr>
      </w:pPr>
      <w:bookmarkStart w:id="296" w:name="_Toc27411829"/>
      <w:bookmarkStart w:id="297" w:name="_Toc27412512"/>
      <w:bookmarkStart w:id="298" w:name="_Toc27411830"/>
      <w:bookmarkStart w:id="299" w:name="_Toc27412513"/>
      <w:bookmarkStart w:id="300" w:name="_Toc59377882"/>
      <w:bookmarkEnd w:id="296"/>
      <w:bookmarkEnd w:id="297"/>
      <w:bookmarkEnd w:id="298"/>
      <w:bookmarkEnd w:id="299"/>
      <w:r>
        <w:rPr>
          <w:rFonts w:ascii="Arial" w:hAnsi="Arial" w:cs="Arial"/>
          <w:bCs/>
          <w:sz w:val="22"/>
          <w:szCs w:val="22"/>
          <w:lang w:eastAsia="es-CO"/>
        </w:rPr>
        <w:t>DOCUMENTOS RELACIONADOS</w:t>
      </w:r>
      <w:bookmarkEnd w:id="300"/>
      <w:r>
        <w:rPr>
          <w:rFonts w:ascii="Arial" w:hAnsi="Arial" w:cs="Arial"/>
          <w:bCs/>
          <w:sz w:val="22"/>
          <w:szCs w:val="22"/>
          <w:lang w:eastAsia="es-CO"/>
        </w:rPr>
        <w:t xml:space="preserve"> </w:t>
      </w:r>
    </w:p>
    <w:p w14:paraId="49874531" w14:textId="77777777" w:rsidR="008553B4" w:rsidRDefault="008553B4" w:rsidP="00CA76B9">
      <w:pPr>
        <w:spacing w:line="288" w:lineRule="auto"/>
        <w:rPr>
          <w:lang w:eastAsia="es-CO"/>
        </w:rPr>
      </w:pPr>
    </w:p>
    <w:p w14:paraId="6576414A" w14:textId="77777777" w:rsidR="00A15BF6" w:rsidRDefault="00A15BF6" w:rsidP="00CA76B9">
      <w:pPr>
        <w:spacing w:line="288" w:lineRule="auto"/>
        <w:rPr>
          <w:rFonts w:ascii="Arial" w:hAnsi="Arial" w:cs="Arial"/>
          <w:sz w:val="22"/>
          <w:szCs w:val="22"/>
          <w:lang w:eastAsia="es-CO"/>
        </w:rPr>
      </w:pPr>
      <w:r>
        <w:rPr>
          <w:rFonts w:ascii="Arial" w:hAnsi="Arial" w:cs="Arial"/>
          <w:sz w:val="22"/>
          <w:szCs w:val="22"/>
          <w:lang w:eastAsia="es-CO"/>
        </w:rPr>
        <w:t>Para e</w:t>
      </w:r>
      <w:r w:rsidRPr="00A15BF6">
        <w:rPr>
          <w:rFonts w:ascii="Arial" w:hAnsi="Arial" w:cs="Arial"/>
          <w:sz w:val="22"/>
          <w:szCs w:val="22"/>
          <w:lang w:eastAsia="es-CO"/>
        </w:rPr>
        <w:t xml:space="preserve">l desarrollo de </w:t>
      </w:r>
      <w:r>
        <w:rPr>
          <w:rFonts w:ascii="Arial" w:hAnsi="Arial" w:cs="Arial"/>
          <w:sz w:val="22"/>
          <w:szCs w:val="22"/>
          <w:lang w:eastAsia="es-CO"/>
        </w:rPr>
        <w:t xml:space="preserve">la gestión contable, se emplean los siguientes formatos:  </w:t>
      </w:r>
    </w:p>
    <w:p w14:paraId="04B3A195" w14:textId="77777777" w:rsidR="00A15BF6" w:rsidRPr="00A15BF6" w:rsidRDefault="00A15BF6" w:rsidP="00CA76B9">
      <w:pPr>
        <w:spacing w:line="288" w:lineRule="auto"/>
        <w:rPr>
          <w:rFonts w:ascii="Arial" w:hAnsi="Arial" w:cs="Arial"/>
          <w:sz w:val="22"/>
          <w:szCs w:val="22"/>
          <w:lang w:eastAsia="es-CO"/>
        </w:rPr>
      </w:pPr>
    </w:p>
    <w:p w14:paraId="7A4A819B" w14:textId="12EC640F"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Apo.3.Man.3.Fr.1</w:t>
      </w:r>
      <w:r w:rsidR="00546119">
        <w:rPr>
          <w:rFonts w:ascii="Arial" w:hAnsi="Arial" w:cs="Arial"/>
          <w:sz w:val="22"/>
          <w:szCs w:val="22"/>
        </w:rPr>
        <w:t xml:space="preserve"> -</w:t>
      </w:r>
      <w:r w:rsidRPr="009A3CFE">
        <w:rPr>
          <w:rFonts w:ascii="Arial" w:hAnsi="Arial" w:cs="Arial"/>
          <w:sz w:val="22"/>
          <w:szCs w:val="22"/>
        </w:rPr>
        <w:t xml:space="preserve"> Ficha técnica Control de amortización de Activos Intangibles</w:t>
      </w:r>
    </w:p>
    <w:p w14:paraId="175B0528" w14:textId="776CCA7B"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 xml:space="preserve">Apo.3.Man.3.Fr.2 </w:t>
      </w:r>
      <w:r w:rsidR="00546119">
        <w:rPr>
          <w:rFonts w:ascii="Arial" w:hAnsi="Arial" w:cs="Arial"/>
          <w:sz w:val="22"/>
          <w:szCs w:val="22"/>
        </w:rPr>
        <w:t xml:space="preserve">- </w:t>
      </w:r>
      <w:r w:rsidRPr="009A3CFE">
        <w:rPr>
          <w:rFonts w:ascii="Arial" w:hAnsi="Arial" w:cs="Arial"/>
          <w:sz w:val="22"/>
          <w:szCs w:val="22"/>
        </w:rPr>
        <w:t>Inventario Intangibles (Licencias)</w:t>
      </w:r>
    </w:p>
    <w:p w14:paraId="19E18E19" w14:textId="1D5B5470"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 xml:space="preserve">Apo.3.Man.3.Fr.3 </w:t>
      </w:r>
      <w:r w:rsidR="00546119">
        <w:rPr>
          <w:rFonts w:ascii="Arial" w:hAnsi="Arial" w:cs="Arial"/>
          <w:sz w:val="22"/>
          <w:szCs w:val="22"/>
        </w:rPr>
        <w:t xml:space="preserve">- </w:t>
      </w:r>
      <w:r w:rsidRPr="009A3CFE">
        <w:rPr>
          <w:rFonts w:ascii="Arial" w:hAnsi="Arial" w:cs="Arial"/>
          <w:sz w:val="22"/>
          <w:szCs w:val="22"/>
        </w:rPr>
        <w:t>Inventario Intangibles (Software)</w:t>
      </w:r>
    </w:p>
    <w:p w14:paraId="7D152241" w14:textId="7601105A"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Apo.3.Man.3.Fr.4</w:t>
      </w:r>
      <w:r w:rsidR="00546119">
        <w:rPr>
          <w:rFonts w:ascii="Arial" w:hAnsi="Arial" w:cs="Arial"/>
          <w:sz w:val="22"/>
          <w:szCs w:val="22"/>
        </w:rPr>
        <w:t xml:space="preserve"> -</w:t>
      </w:r>
      <w:r w:rsidRPr="009A3CFE">
        <w:rPr>
          <w:rFonts w:ascii="Arial" w:hAnsi="Arial" w:cs="Arial"/>
          <w:sz w:val="22"/>
          <w:szCs w:val="22"/>
        </w:rPr>
        <w:t xml:space="preserve"> Conciliación de cartera</w:t>
      </w:r>
    </w:p>
    <w:p w14:paraId="2ED01B43" w14:textId="7D2209EE"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 xml:space="preserve">Apo.3.Man.3.Fr.5 </w:t>
      </w:r>
      <w:r w:rsidR="00546119">
        <w:rPr>
          <w:rFonts w:ascii="Arial" w:hAnsi="Arial" w:cs="Arial"/>
          <w:sz w:val="22"/>
          <w:szCs w:val="22"/>
        </w:rPr>
        <w:t xml:space="preserve">- </w:t>
      </w:r>
      <w:r w:rsidRPr="009A3CFE">
        <w:rPr>
          <w:rFonts w:ascii="Arial" w:hAnsi="Arial" w:cs="Arial"/>
          <w:sz w:val="22"/>
          <w:szCs w:val="22"/>
        </w:rPr>
        <w:t>Análisis de Información para aplicar el Método de Participación Patrimonial (MPP)</w:t>
      </w:r>
    </w:p>
    <w:p w14:paraId="00B2B8BA" w14:textId="2DE0BEAB" w:rsidR="009A3CFE" w:rsidRPr="0028261B" w:rsidRDefault="009A3CFE" w:rsidP="00343ECE">
      <w:pPr>
        <w:numPr>
          <w:ilvl w:val="0"/>
          <w:numId w:val="25"/>
        </w:numPr>
        <w:spacing w:line="288" w:lineRule="auto"/>
        <w:ind w:left="284" w:hanging="284"/>
        <w:rPr>
          <w:rFonts w:ascii="Arial" w:hAnsi="Arial" w:cs="Arial"/>
          <w:sz w:val="22"/>
          <w:szCs w:val="22"/>
        </w:rPr>
      </w:pPr>
      <w:r w:rsidRPr="0028261B">
        <w:rPr>
          <w:rFonts w:ascii="Arial" w:hAnsi="Arial" w:cs="Arial"/>
          <w:sz w:val="22"/>
          <w:szCs w:val="22"/>
        </w:rPr>
        <w:t xml:space="preserve">Apo.3.Man.3.Fr.6 </w:t>
      </w:r>
      <w:r w:rsidR="00546119" w:rsidRPr="007C2386">
        <w:rPr>
          <w:rFonts w:ascii="Arial" w:hAnsi="Arial" w:cs="Arial"/>
          <w:sz w:val="22"/>
          <w:szCs w:val="22"/>
        </w:rPr>
        <w:t xml:space="preserve">- </w:t>
      </w:r>
      <w:r w:rsidRPr="0028261B">
        <w:rPr>
          <w:rFonts w:ascii="Arial" w:hAnsi="Arial" w:cs="Arial"/>
          <w:sz w:val="22"/>
          <w:szCs w:val="22"/>
        </w:rPr>
        <w:t>Conciliación de Aportes a Organismos Internacionales</w:t>
      </w:r>
    </w:p>
    <w:p w14:paraId="636573D0" w14:textId="47E43AF1"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Apo.3.Man.3.Fr.7</w:t>
      </w:r>
      <w:r w:rsidR="00546119">
        <w:rPr>
          <w:rFonts w:ascii="Arial" w:hAnsi="Arial" w:cs="Arial"/>
          <w:sz w:val="22"/>
          <w:szCs w:val="22"/>
        </w:rPr>
        <w:t xml:space="preserve"> -</w:t>
      </w:r>
      <w:r w:rsidRPr="009A3CFE">
        <w:rPr>
          <w:rFonts w:ascii="Arial" w:hAnsi="Arial" w:cs="Arial"/>
          <w:sz w:val="22"/>
          <w:szCs w:val="22"/>
        </w:rPr>
        <w:t xml:space="preserve"> Conciliación de operaciones del portafolio FONPET</w:t>
      </w:r>
    </w:p>
    <w:p w14:paraId="4618CDE7" w14:textId="52FA0FF8" w:rsidR="009A3CFE" w:rsidRDefault="009A3CFE" w:rsidP="00343ECE">
      <w:pPr>
        <w:numPr>
          <w:ilvl w:val="0"/>
          <w:numId w:val="25"/>
        </w:numPr>
        <w:spacing w:line="288" w:lineRule="auto"/>
        <w:ind w:left="284" w:hanging="284"/>
        <w:rPr>
          <w:rFonts w:ascii="Arial" w:hAnsi="Arial" w:cs="Arial"/>
          <w:sz w:val="22"/>
          <w:szCs w:val="22"/>
        </w:rPr>
      </w:pPr>
      <w:r w:rsidRPr="009A3CFE">
        <w:rPr>
          <w:rFonts w:ascii="Arial" w:hAnsi="Arial" w:cs="Arial"/>
          <w:sz w:val="22"/>
          <w:szCs w:val="22"/>
        </w:rPr>
        <w:t xml:space="preserve">Apo.3.Man.3.Fr.8 </w:t>
      </w:r>
      <w:r w:rsidR="00546119">
        <w:rPr>
          <w:rFonts w:ascii="Arial" w:hAnsi="Arial" w:cs="Arial"/>
          <w:sz w:val="22"/>
          <w:szCs w:val="22"/>
        </w:rPr>
        <w:t xml:space="preserve">- </w:t>
      </w:r>
      <w:r w:rsidRPr="009A3CFE">
        <w:rPr>
          <w:rFonts w:ascii="Arial" w:hAnsi="Arial" w:cs="Arial"/>
          <w:sz w:val="22"/>
          <w:szCs w:val="22"/>
        </w:rPr>
        <w:t>Control contable Sistema General de Participaciones (SGP)</w:t>
      </w:r>
    </w:p>
    <w:p w14:paraId="409FE5F8" w14:textId="27F257DA" w:rsidR="005A0736" w:rsidRDefault="005A0736" w:rsidP="00343ECE">
      <w:pPr>
        <w:numPr>
          <w:ilvl w:val="0"/>
          <w:numId w:val="25"/>
        </w:numPr>
        <w:spacing w:line="288" w:lineRule="auto"/>
        <w:ind w:left="284" w:hanging="284"/>
        <w:rPr>
          <w:rFonts w:ascii="Arial" w:hAnsi="Arial" w:cs="Arial"/>
          <w:sz w:val="22"/>
          <w:szCs w:val="22"/>
        </w:rPr>
      </w:pPr>
      <w:r w:rsidRPr="005A0736">
        <w:rPr>
          <w:rFonts w:ascii="Arial" w:hAnsi="Arial" w:cs="Arial"/>
          <w:sz w:val="22"/>
          <w:szCs w:val="22"/>
        </w:rPr>
        <w:t>Apo.3.Man.3.Fr.9</w:t>
      </w:r>
      <w:r>
        <w:rPr>
          <w:rFonts w:ascii="Arial" w:hAnsi="Arial" w:cs="Arial"/>
          <w:sz w:val="22"/>
          <w:szCs w:val="22"/>
        </w:rPr>
        <w:t xml:space="preserve"> </w:t>
      </w:r>
      <w:r w:rsidR="00546119">
        <w:rPr>
          <w:rFonts w:ascii="Arial" w:hAnsi="Arial" w:cs="Arial"/>
          <w:sz w:val="22"/>
          <w:szCs w:val="22"/>
        </w:rPr>
        <w:t xml:space="preserve">- </w:t>
      </w:r>
      <w:r w:rsidRPr="005A0736">
        <w:rPr>
          <w:rFonts w:ascii="Arial" w:hAnsi="Arial" w:cs="Arial"/>
          <w:sz w:val="22"/>
          <w:szCs w:val="22"/>
        </w:rPr>
        <w:t>Conciliación de  operaciones de Bonos Pensionales</w:t>
      </w:r>
    </w:p>
    <w:p w14:paraId="3438EF91" w14:textId="48206A8B" w:rsidR="00CE2F47" w:rsidRPr="00CE2F47" w:rsidRDefault="00CE2F47" w:rsidP="00343ECE">
      <w:pPr>
        <w:numPr>
          <w:ilvl w:val="0"/>
          <w:numId w:val="25"/>
        </w:numPr>
        <w:spacing w:line="288" w:lineRule="auto"/>
        <w:ind w:left="284" w:hanging="284"/>
        <w:rPr>
          <w:rFonts w:ascii="Arial" w:hAnsi="Arial" w:cs="Arial"/>
          <w:sz w:val="22"/>
          <w:szCs w:val="22"/>
        </w:rPr>
      </w:pPr>
      <w:r w:rsidRPr="00CE2F47">
        <w:rPr>
          <w:rFonts w:ascii="Arial" w:hAnsi="Arial" w:cs="Arial"/>
          <w:sz w:val="22"/>
          <w:szCs w:val="22"/>
        </w:rPr>
        <w:t xml:space="preserve">Apo.3.Man.3.Fr.10 </w:t>
      </w:r>
      <w:r w:rsidR="00546119">
        <w:rPr>
          <w:rFonts w:ascii="Arial" w:hAnsi="Arial" w:cs="Arial"/>
          <w:sz w:val="22"/>
          <w:szCs w:val="22"/>
        </w:rPr>
        <w:t xml:space="preserve">- </w:t>
      </w:r>
      <w:r w:rsidRPr="00CE2F47">
        <w:rPr>
          <w:rFonts w:ascii="Arial" w:hAnsi="Arial" w:cs="Arial"/>
          <w:sz w:val="22"/>
          <w:szCs w:val="22"/>
        </w:rPr>
        <w:t>Formulario para la evaluación y medición del deterioro de valor de las cuentas por cobrar</w:t>
      </w:r>
    </w:p>
    <w:p w14:paraId="074B566F" w14:textId="26B6F210" w:rsidR="00CE2F47" w:rsidRPr="00CE2F47" w:rsidRDefault="00CE2F47" w:rsidP="00343ECE">
      <w:pPr>
        <w:numPr>
          <w:ilvl w:val="0"/>
          <w:numId w:val="25"/>
        </w:numPr>
        <w:spacing w:line="288" w:lineRule="auto"/>
        <w:ind w:left="284" w:hanging="284"/>
        <w:rPr>
          <w:rFonts w:ascii="Arial" w:hAnsi="Arial" w:cs="Arial"/>
          <w:sz w:val="22"/>
          <w:szCs w:val="22"/>
        </w:rPr>
      </w:pPr>
      <w:r w:rsidRPr="00CE2F47">
        <w:rPr>
          <w:rFonts w:ascii="Arial" w:hAnsi="Arial" w:cs="Arial"/>
          <w:sz w:val="22"/>
          <w:szCs w:val="22"/>
        </w:rPr>
        <w:t xml:space="preserve">Apo.3.Man.3.Fr.11 </w:t>
      </w:r>
      <w:r w:rsidR="00546119">
        <w:rPr>
          <w:rFonts w:ascii="Arial" w:hAnsi="Arial" w:cs="Arial"/>
          <w:sz w:val="22"/>
          <w:szCs w:val="22"/>
        </w:rPr>
        <w:t xml:space="preserve">- </w:t>
      </w:r>
      <w:r w:rsidRPr="00CE2F47">
        <w:rPr>
          <w:rFonts w:ascii="Arial" w:hAnsi="Arial" w:cs="Arial"/>
          <w:sz w:val="22"/>
          <w:szCs w:val="22"/>
        </w:rPr>
        <w:t>Cuestionario evaluación indicios de deterioro Software</w:t>
      </w:r>
    </w:p>
    <w:p w14:paraId="703FA21C" w14:textId="16DC64C0" w:rsidR="00CE2F47" w:rsidRPr="00CE2F47" w:rsidRDefault="00CE2F47" w:rsidP="00343ECE">
      <w:pPr>
        <w:numPr>
          <w:ilvl w:val="0"/>
          <w:numId w:val="25"/>
        </w:numPr>
        <w:spacing w:line="288" w:lineRule="auto"/>
        <w:ind w:left="284" w:hanging="284"/>
        <w:rPr>
          <w:rFonts w:ascii="Arial" w:hAnsi="Arial" w:cs="Arial"/>
          <w:sz w:val="22"/>
          <w:szCs w:val="22"/>
        </w:rPr>
      </w:pPr>
      <w:r w:rsidRPr="00CE2F47">
        <w:rPr>
          <w:rFonts w:ascii="Arial" w:hAnsi="Arial" w:cs="Arial"/>
          <w:sz w:val="22"/>
          <w:szCs w:val="22"/>
        </w:rPr>
        <w:t xml:space="preserve">Apo.3.Man.3.Fr.12 </w:t>
      </w:r>
      <w:r w:rsidR="00546119">
        <w:rPr>
          <w:rFonts w:ascii="Arial" w:hAnsi="Arial" w:cs="Arial"/>
          <w:sz w:val="22"/>
          <w:szCs w:val="22"/>
        </w:rPr>
        <w:t xml:space="preserve">- </w:t>
      </w:r>
      <w:r w:rsidRPr="00CE2F47">
        <w:rPr>
          <w:rFonts w:ascii="Arial" w:hAnsi="Arial" w:cs="Arial"/>
          <w:sz w:val="22"/>
          <w:szCs w:val="22"/>
        </w:rPr>
        <w:t>Cuestionario evaluación indicios de deterioro licencias</w:t>
      </w:r>
    </w:p>
    <w:p w14:paraId="543AF871" w14:textId="05275E80" w:rsidR="00CE2F47" w:rsidRPr="00CE2F47" w:rsidRDefault="00CE2F47" w:rsidP="00343ECE">
      <w:pPr>
        <w:numPr>
          <w:ilvl w:val="0"/>
          <w:numId w:val="25"/>
        </w:numPr>
        <w:spacing w:line="288" w:lineRule="auto"/>
        <w:ind w:left="284" w:hanging="284"/>
        <w:rPr>
          <w:rFonts w:ascii="Arial" w:hAnsi="Arial" w:cs="Arial"/>
          <w:sz w:val="22"/>
          <w:szCs w:val="22"/>
        </w:rPr>
      </w:pPr>
      <w:r w:rsidRPr="00CE2F47">
        <w:rPr>
          <w:rFonts w:ascii="Arial" w:hAnsi="Arial" w:cs="Arial"/>
          <w:sz w:val="22"/>
          <w:szCs w:val="22"/>
        </w:rPr>
        <w:t xml:space="preserve">Apo.3.Man.3.Fr.13 </w:t>
      </w:r>
      <w:r w:rsidR="00546119">
        <w:rPr>
          <w:rFonts w:ascii="Arial" w:hAnsi="Arial" w:cs="Arial"/>
          <w:sz w:val="22"/>
          <w:szCs w:val="22"/>
        </w:rPr>
        <w:t xml:space="preserve">- </w:t>
      </w:r>
      <w:r w:rsidRPr="00CE2F47">
        <w:rPr>
          <w:rFonts w:ascii="Arial" w:hAnsi="Arial" w:cs="Arial"/>
          <w:sz w:val="22"/>
          <w:szCs w:val="22"/>
        </w:rPr>
        <w:t>Cuestionario evaluación indicios de deterioro PPYE</w:t>
      </w:r>
    </w:p>
    <w:p w14:paraId="7559F305" w14:textId="274B044F" w:rsidR="00CE2F47" w:rsidRPr="00CE2F47" w:rsidRDefault="00CE2F47" w:rsidP="00343ECE">
      <w:pPr>
        <w:numPr>
          <w:ilvl w:val="0"/>
          <w:numId w:val="25"/>
        </w:numPr>
        <w:spacing w:line="288" w:lineRule="auto"/>
        <w:ind w:left="284" w:hanging="284"/>
        <w:rPr>
          <w:rFonts w:ascii="Arial" w:hAnsi="Arial" w:cs="Arial"/>
          <w:sz w:val="22"/>
          <w:szCs w:val="22"/>
        </w:rPr>
      </w:pPr>
      <w:r w:rsidRPr="00CE2F47">
        <w:rPr>
          <w:rFonts w:ascii="Arial" w:hAnsi="Arial" w:cs="Arial"/>
          <w:sz w:val="22"/>
          <w:szCs w:val="22"/>
        </w:rPr>
        <w:t xml:space="preserve">Apo.3.Man.3.Fr.14 </w:t>
      </w:r>
      <w:r w:rsidR="00546119">
        <w:rPr>
          <w:rFonts w:ascii="Arial" w:hAnsi="Arial" w:cs="Arial"/>
          <w:sz w:val="22"/>
          <w:szCs w:val="22"/>
        </w:rPr>
        <w:t xml:space="preserve">- </w:t>
      </w:r>
      <w:r w:rsidRPr="00CE2F47">
        <w:rPr>
          <w:rFonts w:ascii="Arial" w:hAnsi="Arial" w:cs="Arial"/>
          <w:sz w:val="22"/>
          <w:szCs w:val="22"/>
        </w:rPr>
        <w:t>Conciliación de Procesos Judiciales</w:t>
      </w:r>
    </w:p>
    <w:p w14:paraId="17DC7C24" w14:textId="7A84FF79" w:rsidR="00CE2F47" w:rsidRDefault="00CE2F47" w:rsidP="00343ECE">
      <w:pPr>
        <w:numPr>
          <w:ilvl w:val="0"/>
          <w:numId w:val="25"/>
        </w:numPr>
        <w:spacing w:line="288" w:lineRule="auto"/>
        <w:ind w:left="284" w:hanging="284"/>
        <w:jc w:val="both"/>
        <w:rPr>
          <w:rFonts w:ascii="Arial" w:hAnsi="Arial" w:cs="Arial"/>
          <w:sz w:val="22"/>
          <w:szCs w:val="22"/>
        </w:rPr>
      </w:pPr>
      <w:r w:rsidRPr="00CE2F47">
        <w:rPr>
          <w:rFonts w:ascii="Arial" w:hAnsi="Arial" w:cs="Arial"/>
          <w:sz w:val="22"/>
          <w:szCs w:val="22"/>
        </w:rPr>
        <w:t xml:space="preserve">Apo.3.Man.3.Fr.15 </w:t>
      </w:r>
      <w:r w:rsidR="00546119">
        <w:rPr>
          <w:rFonts w:ascii="Arial" w:hAnsi="Arial" w:cs="Arial"/>
          <w:sz w:val="22"/>
          <w:szCs w:val="22"/>
        </w:rPr>
        <w:t xml:space="preserve">- </w:t>
      </w:r>
      <w:r w:rsidRPr="00CE2F47">
        <w:rPr>
          <w:rFonts w:ascii="Arial" w:hAnsi="Arial" w:cs="Arial"/>
          <w:sz w:val="22"/>
          <w:szCs w:val="22"/>
        </w:rPr>
        <w:t>Evaluación de criterios contables para clasificación de bienes recibidos mediante contratos de comodato</w:t>
      </w:r>
    </w:p>
    <w:p w14:paraId="5B49CEC0" w14:textId="526E5F7B" w:rsidR="00D05C98" w:rsidRPr="00D05C98" w:rsidRDefault="00D05C98" w:rsidP="00343ECE">
      <w:pPr>
        <w:numPr>
          <w:ilvl w:val="0"/>
          <w:numId w:val="25"/>
        </w:numPr>
        <w:spacing w:line="288" w:lineRule="auto"/>
        <w:ind w:left="284" w:hanging="284"/>
        <w:jc w:val="both"/>
        <w:rPr>
          <w:rFonts w:ascii="Arial" w:hAnsi="Arial" w:cs="Arial"/>
          <w:sz w:val="22"/>
          <w:szCs w:val="22"/>
        </w:rPr>
      </w:pPr>
      <w:r w:rsidRPr="00D05C98">
        <w:rPr>
          <w:rFonts w:ascii="Arial" w:hAnsi="Arial" w:cs="Arial"/>
          <w:sz w:val="22"/>
          <w:szCs w:val="22"/>
        </w:rPr>
        <w:t>Apo.3.Man.3.Fr.16 - Evaluación de criterios contables para clasificación de bienes entregados mediante contratos</w:t>
      </w:r>
      <w:r>
        <w:rPr>
          <w:rFonts w:ascii="Arial" w:hAnsi="Arial" w:cs="Arial"/>
          <w:sz w:val="22"/>
          <w:szCs w:val="22"/>
        </w:rPr>
        <w:t xml:space="preserve"> </w:t>
      </w:r>
      <w:r w:rsidRPr="00D05C98">
        <w:rPr>
          <w:rFonts w:ascii="Arial" w:hAnsi="Arial" w:cs="Arial"/>
          <w:sz w:val="22"/>
          <w:szCs w:val="22"/>
        </w:rPr>
        <w:t>de comodato</w:t>
      </w:r>
    </w:p>
    <w:p w14:paraId="4603F761" w14:textId="297766AB" w:rsidR="00547CD6" w:rsidRDefault="00601EFE" w:rsidP="00343ECE">
      <w:pPr>
        <w:numPr>
          <w:ilvl w:val="0"/>
          <w:numId w:val="25"/>
        </w:numPr>
        <w:spacing w:line="288" w:lineRule="auto"/>
        <w:ind w:left="284" w:hanging="284"/>
        <w:jc w:val="both"/>
        <w:rPr>
          <w:rFonts w:ascii="Arial" w:hAnsi="Arial" w:cs="Arial"/>
          <w:sz w:val="22"/>
          <w:szCs w:val="22"/>
        </w:rPr>
      </w:pPr>
      <w:r w:rsidRPr="00601EFE">
        <w:rPr>
          <w:rFonts w:ascii="Arial" w:hAnsi="Arial" w:cs="Arial"/>
          <w:sz w:val="22"/>
          <w:szCs w:val="22"/>
        </w:rPr>
        <w:t>Apo.3.Man.3.Fr.1</w:t>
      </w:r>
      <w:r w:rsidR="009D35F2">
        <w:rPr>
          <w:rFonts w:ascii="Arial" w:hAnsi="Arial" w:cs="Arial"/>
          <w:sz w:val="22"/>
          <w:szCs w:val="22"/>
        </w:rPr>
        <w:t>7</w:t>
      </w:r>
      <w:r>
        <w:rPr>
          <w:rFonts w:ascii="Arial" w:hAnsi="Arial" w:cs="Arial"/>
          <w:sz w:val="22"/>
          <w:szCs w:val="22"/>
        </w:rPr>
        <w:t xml:space="preserve"> </w:t>
      </w:r>
      <w:r w:rsidR="00546119">
        <w:rPr>
          <w:rFonts w:ascii="Arial" w:hAnsi="Arial" w:cs="Arial"/>
          <w:sz w:val="22"/>
          <w:szCs w:val="22"/>
        </w:rPr>
        <w:t xml:space="preserve">- </w:t>
      </w:r>
      <w:r w:rsidRPr="00601EFE">
        <w:rPr>
          <w:rFonts w:ascii="Arial" w:hAnsi="Arial" w:cs="Arial"/>
          <w:sz w:val="22"/>
          <w:szCs w:val="22"/>
        </w:rPr>
        <w:t>Procesos judiciales interpuestos en contra del MHCP -</w:t>
      </w:r>
      <w:r>
        <w:rPr>
          <w:rFonts w:ascii="Arial" w:hAnsi="Arial" w:cs="Arial"/>
          <w:sz w:val="22"/>
          <w:szCs w:val="22"/>
        </w:rPr>
        <w:t xml:space="preserve"> </w:t>
      </w:r>
      <w:r w:rsidRPr="00601EFE">
        <w:rPr>
          <w:rFonts w:ascii="Arial" w:hAnsi="Arial" w:cs="Arial"/>
          <w:sz w:val="22"/>
          <w:szCs w:val="22"/>
        </w:rPr>
        <w:t>Procesos nuevos admitidos</w:t>
      </w:r>
    </w:p>
    <w:p w14:paraId="5C62F370" w14:textId="24FCAFF3" w:rsidR="00601EFE" w:rsidRPr="00E41BEC"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Apo.3.Man.3.Fr.18</w:t>
      </w:r>
      <w:r w:rsidR="00601EFE">
        <w:rPr>
          <w:rFonts w:ascii="Arial" w:hAnsi="Arial" w:cs="Arial"/>
          <w:sz w:val="22"/>
          <w:szCs w:val="22"/>
        </w:rPr>
        <w:t xml:space="preserve"> </w:t>
      </w:r>
      <w:r w:rsidR="00546119">
        <w:rPr>
          <w:rFonts w:ascii="Arial" w:hAnsi="Arial" w:cs="Arial"/>
          <w:sz w:val="22"/>
          <w:szCs w:val="22"/>
        </w:rPr>
        <w:t xml:space="preserve">- </w:t>
      </w:r>
      <w:r w:rsidR="00601EFE" w:rsidRPr="00601EFE">
        <w:rPr>
          <w:rFonts w:ascii="Arial" w:hAnsi="Arial" w:cs="Arial"/>
          <w:sz w:val="22"/>
          <w:szCs w:val="22"/>
        </w:rPr>
        <w:t>Procesos judiciales interpuestos en contra del MHCP</w:t>
      </w:r>
      <w:r w:rsidR="00601EFE">
        <w:rPr>
          <w:rFonts w:ascii="Arial" w:hAnsi="Arial" w:cs="Arial"/>
          <w:sz w:val="22"/>
          <w:szCs w:val="22"/>
        </w:rPr>
        <w:t xml:space="preserve"> - </w:t>
      </w:r>
      <w:r w:rsidR="00E41BEC">
        <w:rPr>
          <w:rFonts w:ascii="Arial" w:hAnsi="Arial" w:cs="Arial"/>
          <w:sz w:val="22"/>
          <w:szCs w:val="22"/>
        </w:rPr>
        <w:t xml:space="preserve"> </w:t>
      </w:r>
      <w:r w:rsidR="00601EFE" w:rsidRPr="00E41BEC">
        <w:rPr>
          <w:rFonts w:ascii="Arial" w:hAnsi="Arial" w:cs="Arial"/>
          <w:sz w:val="22"/>
          <w:szCs w:val="22"/>
        </w:rPr>
        <w:t>Procesos fallados favorablemente en primera instancia</w:t>
      </w:r>
    </w:p>
    <w:p w14:paraId="2BD73D17" w14:textId="01B04E51" w:rsidR="00601EFE"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Apo.3.Man.3.Fr.19</w:t>
      </w:r>
      <w:r w:rsidR="00601EFE">
        <w:rPr>
          <w:rFonts w:ascii="Arial" w:hAnsi="Arial" w:cs="Arial"/>
          <w:sz w:val="22"/>
          <w:szCs w:val="22"/>
        </w:rPr>
        <w:t xml:space="preserve"> </w:t>
      </w:r>
      <w:r w:rsidR="00546119">
        <w:rPr>
          <w:rFonts w:ascii="Arial" w:hAnsi="Arial" w:cs="Arial"/>
          <w:sz w:val="22"/>
          <w:szCs w:val="22"/>
        </w:rPr>
        <w:t xml:space="preserve">- </w:t>
      </w:r>
      <w:r w:rsidR="00601EFE" w:rsidRPr="00601EFE">
        <w:rPr>
          <w:rFonts w:ascii="Arial" w:hAnsi="Arial" w:cs="Arial"/>
          <w:sz w:val="22"/>
          <w:szCs w:val="22"/>
        </w:rPr>
        <w:t>Proces</w:t>
      </w:r>
      <w:r w:rsidR="00E41BEC">
        <w:rPr>
          <w:rFonts w:ascii="Arial" w:hAnsi="Arial" w:cs="Arial"/>
          <w:sz w:val="22"/>
          <w:szCs w:val="22"/>
        </w:rPr>
        <w:t>os judiciales interpuestos en contra</w:t>
      </w:r>
      <w:r w:rsidR="00601EFE" w:rsidRPr="00601EFE">
        <w:rPr>
          <w:rFonts w:ascii="Arial" w:hAnsi="Arial" w:cs="Arial"/>
          <w:sz w:val="22"/>
          <w:szCs w:val="22"/>
        </w:rPr>
        <w:t xml:space="preserve"> del MHCP -</w:t>
      </w:r>
      <w:r w:rsidR="00601EFE">
        <w:rPr>
          <w:rFonts w:ascii="Arial" w:hAnsi="Arial" w:cs="Arial"/>
          <w:sz w:val="22"/>
          <w:szCs w:val="22"/>
        </w:rPr>
        <w:t xml:space="preserve"> </w:t>
      </w:r>
      <w:r w:rsidR="00601EFE" w:rsidRPr="00601EFE">
        <w:rPr>
          <w:rFonts w:ascii="Arial" w:hAnsi="Arial" w:cs="Arial"/>
          <w:sz w:val="22"/>
          <w:szCs w:val="22"/>
        </w:rPr>
        <w:t>Procesos fallados desfavorablemente en primera instancia</w:t>
      </w:r>
    </w:p>
    <w:p w14:paraId="642436BE" w14:textId="71B1BEEC" w:rsidR="00601EFE" w:rsidRPr="00601EFE"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Apo.3.Man.3.Fr.20</w:t>
      </w:r>
      <w:r w:rsidR="00601EFE">
        <w:rPr>
          <w:rFonts w:ascii="Arial" w:hAnsi="Arial" w:cs="Arial"/>
          <w:sz w:val="22"/>
          <w:szCs w:val="22"/>
        </w:rPr>
        <w:t xml:space="preserve"> </w:t>
      </w:r>
      <w:r w:rsidR="00546119">
        <w:rPr>
          <w:rFonts w:ascii="Arial" w:hAnsi="Arial" w:cs="Arial"/>
          <w:sz w:val="22"/>
          <w:szCs w:val="22"/>
        </w:rPr>
        <w:t xml:space="preserve">- </w:t>
      </w:r>
      <w:r w:rsidR="00601EFE" w:rsidRPr="00601EFE">
        <w:rPr>
          <w:rFonts w:ascii="Arial" w:hAnsi="Arial" w:cs="Arial"/>
          <w:sz w:val="22"/>
          <w:szCs w:val="22"/>
        </w:rPr>
        <w:t>Procesos judiciales interpuestos en contra del MHCP</w:t>
      </w:r>
      <w:r w:rsidR="00601EFE">
        <w:rPr>
          <w:rFonts w:ascii="Arial" w:hAnsi="Arial" w:cs="Arial"/>
          <w:sz w:val="22"/>
          <w:szCs w:val="22"/>
        </w:rPr>
        <w:t xml:space="preserve"> - </w:t>
      </w:r>
      <w:r w:rsidR="00601EFE" w:rsidRPr="00601EFE">
        <w:rPr>
          <w:rFonts w:ascii="Arial" w:hAnsi="Arial" w:cs="Arial"/>
          <w:sz w:val="22"/>
          <w:szCs w:val="22"/>
        </w:rPr>
        <w:t>Procesos fallados favorablemente en segunda instancia</w:t>
      </w:r>
    </w:p>
    <w:p w14:paraId="2E5444E8" w14:textId="52800698" w:rsidR="00601EFE" w:rsidRPr="00601EFE"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Apo.3.Man.3.Fr.21</w:t>
      </w:r>
      <w:r w:rsidR="00601EFE">
        <w:rPr>
          <w:rFonts w:ascii="Arial" w:hAnsi="Arial" w:cs="Arial"/>
          <w:sz w:val="22"/>
          <w:szCs w:val="22"/>
        </w:rPr>
        <w:t xml:space="preserve"> </w:t>
      </w:r>
      <w:r w:rsidR="00546119">
        <w:rPr>
          <w:rFonts w:ascii="Arial" w:hAnsi="Arial" w:cs="Arial"/>
          <w:sz w:val="22"/>
          <w:szCs w:val="22"/>
        </w:rPr>
        <w:t xml:space="preserve">- </w:t>
      </w:r>
      <w:r w:rsidR="00601EFE" w:rsidRPr="00601EFE">
        <w:rPr>
          <w:rFonts w:ascii="Arial" w:hAnsi="Arial" w:cs="Arial"/>
          <w:sz w:val="22"/>
          <w:szCs w:val="22"/>
        </w:rPr>
        <w:t>Procesos judiciales interpuestos en contra del MHCP -</w:t>
      </w:r>
      <w:r w:rsidR="00601EFE">
        <w:rPr>
          <w:rFonts w:ascii="Arial" w:hAnsi="Arial" w:cs="Arial"/>
          <w:sz w:val="22"/>
          <w:szCs w:val="22"/>
        </w:rPr>
        <w:t xml:space="preserve"> </w:t>
      </w:r>
      <w:r w:rsidR="00601EFE" w:rsidRPr="00601EFE">
        <w:rPr>
          <w:rFonts w:ascii="Arial" w:hAnsi="Arial" w:cs="Arial"/>
          <w:sz w:val="22"/>
          <w:szCs w:val="22"/>
        </w:rPr>
        <w:t>Procesos fallados desfavorablemente en segunda instancia</w:t>
      </w:r>
    </w:p>
    <w:p w14:paraId="2225EA5C" w14:textId="368D207B" w:rsidR="00601EFE"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lastRenderedPageBreak/>
        <w:t>Apo.3.Man.3.Fr.22</w:t>
      </w:r>
      <w:r w:rsidR="00601EFE">
        <w:rPr>
          <w:rFonts w:ascii="Arial" w:hAnsi="Arial" w:cs="Arial"/>
          <w:sz w:val="22"/>
          <w:szCs w:val="22"/>
        </w:rPr>
        <w:t xml:space="preserve"> - </w:t>
      </w:r>
      <w:r w:rsidR="00601EFE" w:rsidRPr="00601EFE">
        <w:rPr>
          <w:rFonts w:ascii="Arial" w:hAnsi="Arial" w:cs="Arial"/>
          <w:sz w:val="22"/>
          <w:szCs w:val="22"/>
        </w:rPr>
        <w:t>Procesos judiciales interpuestos en contra del MHCP</w:t>
      </w:r>
      <w:r w:rsidR="00601EFE">
        <w:rPr>
          <w:rFonts w:ascii="Arial" w:hAnsi="Arial" w:cs="Arial"/>
          <w:sz w:val="22"/>
          <w:szCs w:val="22"/>
        </w:rPr>
        <w:t xml:space="preserve"> - </w:t>
      </w:r>
      <w:r w:rsidR="00601EFE" w:rsidRPr="00601EFE">
        <w:rPr>
          <w:rFonts w:ascii="Arial" w:hAnsi="Arial" w:cs="Arial"/>
          <w:sz w:val="22"/>
          <w:szCs w:val="22"/>
        </w:rPr>
        <w:t>Procesos fallados con recurso extraordinario</w:t>
      </w:r>
    </w:p>
    <w:p w14:paraId="0EB70AE5" w14:textId="243AEB09" w:rsidR="00601EFE" w:rsidRPr="00E41BEC"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Apo.3.Man.3.Fr.23</w:t>
      </w:r>
      <w:r w:rsidR="00601EFE" w:rsidRPr="00601EFE">
        <w:rPr>
          <w:rFonts w:ascii="Arial" w:hAnsi="Arial" w:cs="Arial"/>
          <w:sz w:val="22"/>
          <w:szCs w:val="22"/>
        </w:rPr>
        <w:t xml:space="preserve"> - Procesos judiciales interpuestos en contra del MHCP -</w:t>
      </w:r>
      <w:r w:rsidR="00601EFE" w:rsidRPr="00E41BEC">
        <w:rPr>
          <w:rFonts w:ascii="Arial" w:hAnsi="Arial" w:cs="Arial"/>
          <w:sz w:val="22"/>
          <w:szCs w:val="22"/>
        </w:rPr>
        <w:t xml:space="preserve">Procesos Terminados </w:t>
      </w:r>
    </w:p>
    <w:p w14:paraId="1A85F11C" w14:textId="699B7868" w:rsidR="00601EFE" w:rsidRDefault="00601EFE" w:rsidP="00343ECE">
      <w:pPr>
        <w:numPr>
          <w:ilvl w:val="0"/>
          <w:numId w:val="25"/>
        </w:numPr>
        <w:spacing w:line="288" w:lineRule="auto"/>
        <w:ind w:left="284" w:hanging="284"/>
        <w:jc w:val="both"/>
        <w:rPr>
          <w:rFonts w:ascii="Arial" w:hAnsi="Arial" w:cs="Arial"/>
          <w:sz w:val="22"/>
          <w:szCs w:val="22"/>
        </w:rPr>
      </w:pPr>
      <w:r w:rsidRPr="00601EFE">
        <w:rPr>
          <w:rFonts w:ascii="Arial" w:hAnsi="Arial" w:cs="Arial"/>
          <w:sz w:val="22"/>
          <w:szCs w:val="22"/>
        </w:rPr>
        <w:t>Apo.3.Man.3.Fr.2</w:t>
      </w:r>
      <w:r w:rsidR="009D35F2">
        <w:rPr>
          <w:rFonts w:ascii="Arial" w:hAnsi="Arial" w:cs="Arial"/>
          <w:sz w:val="22"/>
          <w:szCs w:val="22"/>
        </w:rPr>
        <w:t>4</w:t>
      </w:r>
      <w:r w:rsidRPr="00601EFE">
        <w:rPr>
          <w:rFonts w:ascii="Arial" w:hAnsi="Arial" w:cs="Arial"/>
          <w:sz w:val="22"/>
          <w:szCs w:val="22"/>
        </w:rPr>
        <w:t xml:space="preserve"> - Procesos judiciales interpuestos en contra del MHCP- Conciliaciones Extrajudiciales</w:t>
      </w:r>
    </w:p>
    <w:p w14:paraId="14512FE9" w14:textId="723AB96E" w:rsidR="00601EFE"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Apo.3.Man.3.Fr.25</w:t>
      </w:r>
      <w:r w:rsidR="00601EFE" w:rsidRPr="00601EFE">
        <w:rPr>
          <w:rFonts w:ascii="Arial" w:hAnsi="Arial" w:cs="Arial"/>
          <w:sz w:val="22"/>
          <w:szCs w:val="22"/>
        </w:rPr>
        <w:t xml:space="preserve"> - </w:t>
      </w:r>
      <w:r w:rsidR="00601EFE" w:rsidRPr="00CF0782">
        <w:rPr>
          <w:rFonts w:ascii="Arial" w:hAnsi="Arial" w:cs="Arial"/>
          <w:sz w:val="22"/>
          <w:szCs w:val="22"/>
        </w:rPr>
        <w:t>Procesos judiciales interpuestos en contra del MHCP - Informe de pagos</w:t>
      </w:r>
    </w:p>
    <w:p w14:paraId="3050A5AC" w14:textId="5FC567DF" w:rsidR="00CF0782" w:rsidRDefault="00CF0782" w:rsidP="00343ECE">
      <w:pPr>
        <w:numPr>
          <w:ilvl w:val="0"/>
          <w:numId w:val="25"/>
        </w:numPr>
        <w:spacing w:line="288" w:lineRule="auto"/>
        <w:ind w:left="284" w:hanging="284"/>
        <w:jc w:val="both"/>
        <w:rPr>
          <w:rFonts w:ascii="Arial" w:hAnsi="Arial" w:cs="Arial"/>
          <w:sz w:val="22"/>
          <w:szCs w:val="22"/>
        </w:rPr>
      </w:pPr>
      <w:r w:rsidRPr="00CF0782">
        <w:rPr>
          <w:rFonts w:ascii="Arial" w:hAnsi="Arial" w:cs="Arial"/>
          <w:sz w:val="22"/>
          <w:szCs w:val="22"/>
        </w:rPr>
        <w:t>Apo.3.Man.3.Fr.2</w:t>
      </w:r>
      <w:r w:rsidR="009D35F2">
        <w:rPr>
          <w:rFonts w:ascii="Arial" w:hAnsi="Arial" w:cs="Arial"/>
          <w:sz w:val="22"/>
          <w:szCs w:val="22"/>
        </w:rPr>
        <w:t>6</w:t>
      </w:r>
      <w:r w:rsidRPr="00CF0782">
        <w:rPr>
          <w:rFonts w:ascii="Arial" w:hAnsi="Arial" w:cs="Arial"/>
          <w:sz w:val="22"/>
          <w:szCs w:val="22"/>
        </w:rPr>
        <w:t xml:space="preserve"> - Procesos judiciales interpuestos en contra del MHCP -Pagos a cargo de terceros</w:t>
      </w:r>
    </w:p>
    <w:p w14:paraId="51AFE8EE" w14:textId="26236F1A" w:rsidR="00CF0782" w:rsidRDefault="00CF0782" w:rsidP="00343ECE">
      <w:pPr>
        <w:numPr>
          <w:ilvl w:val="0"/>
          <w:numId w:val="25"/>
        </w:numPr>
        <w:spacing w:line="288" w:lineRule="auto"/>
        <w:ind w:left="284" w:hanging="284"/>
        <w:jc w:val="both"/>
        <w:rPr>
          <w:rFonts w:ascii="Arial" w:hAnsi="Arial" w:cs="Arial"/>
          <w:sz w:val="22"/>
          <w:szCs w:val="22"/>
        </w:rPr>
      </w:pPr>
      <w:r w:rsidRPr="00CF0782">
        <w:rPr>
          <w:rFonts w:ascii="Arial" w:hAnsi="Arial" w:cs="Arial"/>
          <w:sz w:val="22"/>
          <w:szCs w:val="22"/>
        </w:rPr>
        <w:t>Apo.3.Man.3.Fr.2</w:t>
      </w:r>
      <w:r w:rsidR="009D35F2">
        <w:rPr>
          <w:rFonts w:ascii="Arial" w:hAnsi="Arial" w:cs="Arial"/>
          <w:sz w:val="22"/>
          <w:szCs w:val="22"/>
        </w:rPr>
        <w:t>7</w:t>
      </w:r>
      <w:r>
        <w:rPr>
          <w:rFonts w:ascii="Arial" w:hAnsi="Arial" w:cs="Arial"/>
          <w:sz w:val="22"/>
          <w:szCs w:val="22"/>
        </w:rPr>
        <w:t xml:space="preserve"> - </w:t>
      </w:r>
      <w:r w:rsidRPr="00CF0782">
        <w:rPr>
          <w:rFonts w:ascii="Arial" w:hAnsi="Arial" w:cs="Arial"/>
          <w:sz w:val="22"/>
          <w:szCs w:val="22"/>
        </w:rPr>
        <w:t>Informe Detallado de Embargos a Cuentas Corrientes del Tesoro Nacional o Pagaduría del MHCP</w:t>
      </w:r>
    </w:p>
    <w:p w14:paraId="0ABDF2D8" w14:textId="2E870D6A" w:rsidR="00CF0782"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Apo.3.Man.3.Fr.28</w:t>
      </w:r>
      <w:r w:rsidR="00CF0782">
        <w:rPr>
          <w:rFonts w:ascii="Arial" w:hAnsi="Arial" w:cs="Arial"/>
          <w:sz w:val="22"/>
          <w:szCs w:val="22"/>
        </w:rPr>
        <w:t xml:space="preserve"> - </w:t>
      </w:r>
      <w:r w:rsidR="00CF0782" w:rsidRPr="00CF0782">
        <w:rPr>
          <w:rFonts w:ascii="Arial" w:hAnsi="Arial" w:cs="Arial"/>
          <w:sz w:val="22"/>
          <w:szCs w:val="22"/>
        </w:rPr>
        <w:t>Informe Detallado de Laudos Arbitrales</w:t>
      </w:r>
    </w:p>
    <w:p w14:paraId="5BA1F7DC" w14:textId="02F626A1" w:rsidR="00CF0782" w:rsidRDefault="009D35F2"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Apo.3.Man.3.Fr.29</w:t>
      </w:r>
      <w:r w:rsidR="00CF0782">
        <w:rPr>
          <w:rFonts w:ascii="Arial" w:hAnsi="Arial" w:cs="Arial"/>
          <w:sz w:val="22"/>
          <w:szCs w:val="22"/>
        </w:rPr>
        <w:t xml:space="preserve"> - </w:t>
      </w:r>
      <w:r w:rsidR="00CF0782" w:rsidRPr="00CF0782">
        <w:rPr>
          <w:rFonts w:ascii="Arial" w:hAnsi="Arial" w:cs="Arial"/>
          <w:sz w:val="22"/>
          <w:szCs w:val="22"/>
        </w:rPr>
        <w:t>Informe detallado de las demandas interpuestas por el MHCP contra terceros</w:t>
      </w:r>
    </w:p>
    <w:p w14:paraId="3834923B" w14:textId="3033537D" w:rsidR="00354148" w:rsidRDefault="00354148" w:rsidP="00343ECE">
      <w:pPr>
        <w:numPr>
          <w:ilvl w:val="0"/>
          <w:numId w:val="25"/>
        </w:numPr>
        <w:spacing w:line="288" w:lineRule="auto"/>
        <w:ind w:left="284" w:hanging="284"/>
        <w:jc w:val="both"/>
        <w:rPr>
          <w:rFonts w:ascii="Arial" w:hAnsi="Arial" w:cs="Arial"/>
          <w:sz w:val="22"/>
          <w:szCs w:val="22"/>
        </w:rPr>
      </w:pPr>
      <w:r>
        <w:rPr>
          <w:rFonts w:ascii="Arial" w:hAnsi="Arial" w:cs="Arial"/>
          <w:sz w:val="22"/>
          <w:szCs w:val="22"/>
        </w:rPr>
        <w:t xml:space="preserve">Apo.3.Man.3.Fr.30 - </w:t>
      </w:r>
      <w:r w:rsidRPr="00354148">
        <w:rPr>
          <w:rFonts w:ascii="Arial" w:hAnsi="Arial" w:cs="Arial"/>
          <w:sz w:val="22"/>
          <w:szCs w:val="22"/>
        </w:rPr>
        <w:t>Variación de las participaciones patrimoniales efectuadas por el MHCP en empresas controladas</w:t>
      </w:r>
    </w:p>
    <w:p w14:paraId="3C16A5B2" w14:textId="25D7CD1F" w:rsidR="001E2E75" w:rsidRDefault="001E2E75" w:rsidP="00343ECE">
      <w:pPr>
        <w:numPr>
          <w:ilvl w:val="0"/>
          <w:numId w:val="25"/>
        </w:numPr>
        <w:spacing w:line="288" w:lineRule="auto"/>
        <w:ind w:left="284" w:hanging="284"/>
        <w:jc w:val="both"/>
        <w:rPr>
          <w:rFonts w:ascii="Arial" w:hAnsi="Arial" w:cs="Arial"/>
          <w:sz w:val="22"/>
          <w:szCs w:val="22"/>
        </w:rPr>
      </w:pPr>
      <w:r w:rsidRPr="001E2E75">
        <w:rPr>
          <w:rFonts w:ascii="Arial" w:hAnsi="Arial" w:cs="Arial"/>
          <w:sz w:val="22"/>
          <w:szCs w:val="22"/>
        </w:rPr>
        <w:t>Apo.3.Man.3.Fr.31</w:t>
      </w:r>
      <w:r>
        <w:rPr>
          <w:rFonts w:ascii="Arial" w:hAnsi="Arial" w:cs="Arial"/>
          <w:sz w:val="22"/>
          <w:szCs w:val="22"/>
        </w:rPr>
        <w:t xml:space="preserve"> - </w:t>
      </w:r>
      <w:r w:rsidRPr="001E2E75">
        <w:rPr>
          <w:rFonts w:ascii="Arial" w:hAnsi="Arial" w:cs="Arial"/>
          <w:sz w:val="22"/>
          <w:szCs w:val="22"/>
        </w:rPr>
        <w:t>Variación de las participaciones patrimoniales efectuadas por el MHCP en empresas asociadas</w:t>
      </w:r>
    </w:p>
    <w:p w14:paraId="62E4E3DE" w14:textId="55401ADF" w:rsidR="001E2E75" w:rsidRPr="00ED174F" w:rsidRDefault="001E2E75" w:rsidP="00343ECE">
      <w:pPr>
        <w:numPr>
          <w:ilvl w:val="0"/>
          <w:numId w:val="25"/>
        </w:numPr>
        <w:spacing w:line="288" w:lineRule="auto"/>
        <w:ind w:left="284" w:hanging="284"/>
        <w:jc w:val="both"/>
        <w:rPr>
          <w:rFonts w:ascii="Arial" w:hAnsi="Arial" w:cs="Arial"/>
          <w:sz w:val="22"/>
          <w:szCs w:val="22"/>
        </w:rPr>
      </w:pPr>
      <w:r w:rsidRPr="00ED174F">
        <w:rPr>
          <w:rFonts w:ascii="Arial" w:hAnsi="Arial" w:cs="Arial"/>
          <w:sz w:val="22"/>
          <w:szCs w:val="22"/>
        </w:rPr>
        <w:t xml:space="preserve">Apo.3.Man.3.Fr.32 - </w:t>
      </w:r>
      <w:r w:rsidR="007C2386" w:rsidRPr="00ED174F">
        <w:rPr>
          <w:rFonts w:ascii="Arial" w:hAnsi="Arial" w:cs="Arial"/>
          <w:sz w:val="22"/>
          <w:szCs w:val="22"/>
        </w:rPr>
        <w:t>Evaluación</w:t>
      </w:r>
      <w:r w:rsidRPr="00ED174F">
        <w:rPr>
          <w:rFonts w:ascii="Arial" w:hAnsi="Arial" w:cs="Arial"/>
          <w:sz w:val="22"/>
          <w:szCs w:val="22"/>
        </w:rPr>
        <w:t xml:space="preserve"> y </w:t>
      </w:r>
      <w:r w:rsidR="007C2386" w:rsidRPr="00ED174F">
        <w:rPr>
          <w:rFonts w:ascii="Arial" w:hAnsi="Arial" w:cs="Arial"/>
          <w:sz w:val="22"/>
          <w:szCs w:val="22"/>
        </w:rPr>
        <w:t>medición</w:t>
      </w:r>
      <w:r w:rsidRPr="00ED174F">
        <w:rPr>
          <w:rFonts w:ascii="Arial" w:hAnsi="Arial" w:cs="Arial"/>
          <w:sz w:val="22"/>
          <w:szCs w:val="22"/>
        </w:rPr>
        <w:t xml:space="preserve"> indicios de deterioro inversiones al costo</w:t>
      </w:r>
    </w:p>
    <w:p w14:paraId="118C1172" w14:textId="0AB87392" w:rsidR="00DC2E9D" w:rsidRPr="007C2386" w:rsidRDefault="00DC2E9D" w:rsidP="00343ECE">
      <w:pPr>
        <w:numPr>
          <w:ilvl w:val="0"/>
          <w:numId w:val="25"/>
        </w:numPr>
        <w:spacing w:line="288" w:lineRule="auto"/>
        <w:ind w:left="284" w:hanging="284"/>
        <w:jc w:val="both"/>
        <w:rPr>
          <w:rFonts w:ascii="Arial" w:hAnsi="Arial" w:cs="Arial"/>
          <w:sz w:val="22"/>
          <w:szCs w:val="22"/>
        </w:rPr>
      </w:pPr>
      <w:r w:rsidRPr="00ED174F">
        <w:rPr>
          <w:rFonts w:ascii="Arial" w:hAnsi="Arial" w:cs="Arial"/>
          <w:sz w:val="22"/>
          <w:szCs w:val="22"/>
        </w:rPr>
        <w:t>Apo</w:t>
      </w:r>
      <w:r w:rsidR="00CF0782" w:rsidRPr="007C2386">
        <w:rPr>
          <w:rFonts w:ascii="Arial" w:hAnsi="Arial" w:cs="Arial"/>
          <w:sz w:val="22"/>
          <w:szCs w:val="22"/>
        </w:rPr>
        <w:t>.3.Man.3.Fr.</w:t>
      </w:r>
      <w:r w:rsidR="001F1AAC" w:rsidRPr="007C2386">
        <w:rPr>
          <w:rFonts w:ascii="Arial" w:hAnsi="Arial" w:cs="Arial"/>
          <w:sz w:val="22"/>
          <w:szCs w:val="22"/>
        </w:rPr>
        <w:t>33</w:t>
      </w:r>
      <w:r w:rsidRPr="00ED174F">
        <w:rPr>
          <w:rFonts w:ascii="Arial" w:hAnsi="Arial" w:cs="Arial"/>
          <w:sz w:val="22"/>
          <w:szCs w:val="22"/>
        </w:rPr>
        <w:t xml:space="preserve"> </w:t>
      </w:r>
      <w:r w:rsidR="00546119" w:rsidRPr="007C2386">
        <w:rPr>
          <w:rFonts w:ascii="Arial" w:hAnsi="Arial" w:cs="Arial"/>
          <w:sz w:val="22"/>
          <w:szCs w:val="22"/>
        </w:rPr>
        <w:t xml:space="preserve">- </w:t>
      </w:r>
      <w:r w:rsidRPr="00ED174F">
        <w:rPr>
          <w:rFonts w:ascii="Arial" w:hAnsi="Arial" w:cs="Arial"/>
          <w:sz w:val="22"/>
          <w:szCs w:val="22"/>
        </w:rPr>
        <w:t xml:space="preserve">Ficha para el suministro de información relativa al Efectivo y Equivalentes al Efectivo </w:t>
      </w:r>
    </w:p>
    <w:p w14:paraId="61367104" w14:textId="653B3C07" w:rsidR="00040D9C" w:rsidRPr="00ED174F" w:rsidRDefault="00040D9C" w:rsidP="00343ECE">
      <w:pPr>
        <w:numPr>
          <w:ilvl w:val="0"/>
          <w:numId w:val="25"/>
        </w:numPr>
        <w:spacing w:line="288" w:lineRule="auto"/>
        <w:ind w:left="284" w:hanging="284"/>
        <w:jc w:val="both"/>
        <w:rPr>
          <w:rFonts w:ascii="Arial" w:hAnsi="Arial" w:cs="Arial"/>
          <w:sz w:val="22"/>
          <w:szCs w:val="22"/>
        </w:rPr>
      </w:pPr>
      <w:r w:rsidRPr="00ED174F">
        <w:rPr>
          <w:rFonts w:ascii="Arial" w:hAnsi="Arial" w:cs="Arial"/>
          <w:sz w:val="22"/>
          <w:szCs w:val="22"/>
        </w:rPr>
        <w:t>Apo.3.Man.3.Fr.34 Conciliación bienes muebles devolutivos MHCP</w:t>
      </w:r>
    </w:p>
    <w:p w14:paraId="2C7ACC89" w14:textId="23F67D05" w:rsidR="00ED174F" w:rsidRDefault="00ED174F" w:rsidP="00343ECE">
      <w:pPr>
        <w:numPr>
          <w:ilvl w:val="0"/>
          <w:numId w:val="25"/>
        </w:numPr>
        <w:spacing w:line="288" w:lineRule="auto"/>
        <w:ind w:left="284" w:hanging="284"/>
        <w:jc w:val="both"/>
        <w:rPr>
          <w:rFonts w:ascii="Arial" w:hAnsi="Arial" w:cs="Arial"/>
          <w:sz w:val="22"/>
          <w:szCs w:val="22"/>
        </w:rPr>
      </w:pPr>
      <w:r w:rsidRPr="00F24CB2">
        <w:rPr>
          <w:rFonts w:ascii="Arial" w:hAnsi="Arial" w:cs="Arial"/>
          <w:sz w:val="22"/>
          <w:szCs w:val="22"/>
        </w:rPr>
        <w:t>Apo.3.Man.3.Fr.3</w:t>
      </w:r>
      <w:r w:rsidRPr="00237D5B">
        <w:rPr>
          <w:rFonts w:ascii="Arial" w:hAnsi="Arial" w:cs="Arial"/>
          <w:sz w:val="22"/>
          <w:szCs w:val="22"/>
        </w:rPr>
        <w:t>5 Distribución de erogaciones realizadas a contratistas vinculados al desarrollo de activos intangibles generados internamente</w:t>
      </w:r>
    </w:p>
    <w:p w14:paraId="4226EB94" w14:textId="598A0959" w:rsidR="00F64C40" w:rsidRDefault="00F64C40" w:rsidP="00343ECE">
      <w:pPr>
        <w:numPr>
          <w:ilvl w:val="0"/>
          <w:numId w:val="25"/>
        </w:numPr>
        <w:spacing w:line="288" w:lineRule="auto"/>
        <w:ind w:left="284" w:hanging="284"/>
        <w:jc w:val="both"/>
        <w:rPr>
          <w:rFonts w:ascii="Arial" w:hAnsi="Arial" w:cs="Arial"/>
          <w:sz w:val="22"/>
          <w:szCs w:val="22"/>
        </w:rPr>
      </w:pPr>
      <w:r w:rsidRPr="00F64C40">
        <w:rPr>
          <w:rFonts w:ascii="Arial" w:hAnsi="Arial" w:cs="Arial"/>
          <w:sz w:val="22"/>
          <w:szCs w:val="22"/>
        </w:rPr>
        <w:t>Apo.3.Man.3.Fr.36</w:t>
      </w:r>
      <w:r>
        <w:rPr>
          <w:rFonts w:ascii="Arial" w:hAnsi="Arial" w:cs="Arial"/>
          <w:sz w:val="22"/>
          <w:szCs w:val="22"/>
        </w:rPr>
        <w:t xml:space="preserve"> </w:t>
      </w:r>
      <w:r w:rsidRPr="00F64C40">
        <w:rPr>
          <w:rFonts w:ascii="Arial" w:hAnsi="Arial" w:cs="Arial"/>
          <w:sz w:val="22"/>
          <w:szCs w:val="22"/>
        </w:rPr>
        <w:t>Informe detallado y consolidado contratos de comodato</w:t>
      </w:r>
    </w:p>
    <w:p w14:paraId="1F957D1E" w14:textId="00AE7C0B" w:rsidR="00AB7237" w:rsidRPr="00ED174F" w:rsidRDefault="00AB7237" w:rsidP="00343ECE">
      <w:pPr>
        <w:numPr>
          <w:ilvl w:val="0"/>
          <w:numId w:val="25"/>
        </w:numPr>
        <w:spacing w:line="288" w:lineRule="auto"/>
        <w:ind w:left="284" w:hanging="284"/>
        <w:jc w:val="both"/>
        <w:rPr>
          <w:rFonts w:ascii="Arial" w:hAnsi="Arial" w:cs="Arial"/>
          <w:sz w:val="22"/>
          <w:szCs w:val="22"/>
        </w:rPr>
      </w:pPr>
      <w:r w:rsidRPr="00AB7237">
        <w:rPr>
          <w:rFonts w:ascii="Arial" w:hAnsi="Arial" w:cs="Arial"/>
          <w:sz w:val="22"/>
          <w:szCs w:val="22"/>
        </w:rPr>
        <w:t>Apo.3 Man.3 Fr.37 Conciliación Activos Intangibles (Software)</w:t>
      </w:r>
    </w:p>
    <w:p w14:paraId="48B91E01" w14:textId="77777777" w:rsidR="00AB7237" w:rsidRPr="00AB7237" w:rsidRDefault="00AB7237" w:rsidP="00343ECE">
      <w:pPr>
        <w:numPr>
          <w:ilvl w:val="0"/>
          <w:numId w:val="25"/>
        </w:numPr>
        <w:spacing w:line="288" w:lineRule="auto"/>
        <w:ind w:left="284" w:hanging="284"/>
        <w:jc w:val="both"/>
        <w:rPr>
          <w:rFonts w:ascii="Arial" w:hAnsi="Arial" w:cs="Arial"/>
          <w:sz w:val="22"/>
          <w:szCs w:val="22"/>
        </w:rPr>
      </w:pPr>
      <w:r w:rsidRPr="00AB7237">
        <w:rPr>
          <w:rFonts w:ascii="Arial" w:hAnsi="Arial" w:cs="Arial"/>
          <w:sz w:val="22"/>
          <w:szCs w:val="22"/>
        </w:rPr>
        <w:t>Apo.3 Man.3 Fr.38 Conciliación Activos Intangibles (Licencias)</w:t>
      </w:r>
    </w:p>
    <w:p w14:paraId="514626C5" w14:textId="77777777" w:rsidR="009A3CFE" w:rsidRDefault="009A3CFE" w:rsidP="00CA76B9">
      <w:pPr>
        <w:spacing w:line="288" w:lineRule="auto"/>
        <w:ind w:left="720"/>
        <w:rPr>
          <w:rFonts w:ascii="Arial" w:hAnsi="Arial" w:cs="Arial"/>
          <w:sz w:val="22"/>
          <w:szCs w:val="22"/>
        </w:rPr>
      </w:pPr>
    </w:p>
    <w:p w14:paraId="5292AE14" w14:textId="77777777" w:rsidR="0046335B" w:rsidRPr="009B2209" w:rsidRDefault="0046335B" w:rsidP="00CA76B9">
      <w:pPr>
        <w:pStyle w:val="Ttulo1"/>
        <w:numPr>
          <w:ilvl w:val="0"/>
          <w:numId w:val="1"/>
        </w:numPr>
        <w:spacing w:line="288" w:lineRule="auto"/>
        <w:jc w:val="both"/>
        <w:rPr>
          <w:rFonts w:ascii="Arial" w:hAnsi="Arial" w:cs="Arial"/>
          <w:bCs/>
          <w:sz w:val="22"/>
          <w:szCs w:val="22"/>
          <w:lang w:eastAsia="es-CO"/>
        </w:rPr>
      </w:pPr>
      <w:bookmarkStart w:id="301" w:name="_Toc59377883"/>
      <w:r w:rsidRPr="009B2209">
        <w:rPr>
          <w:rFonts w:ascii="Arial" w:hAnsi="Arial" w:cs="Arial"/>
          <w:bCs/>
          <w:sz w:val="22"/>
          <w:szCs w:val="22"/>
          <w:lang w:eastAsia="es-CO"/>
        </w:rPr>
        <w:t>HISTORIAL DE CAMBIOS</w:t>
      </w:r>
      <w:bookmarkEnd w:id="301"/>
    </w:p>
    <w:p w14:paraId="602D14F3" w14:textId="77777777" w:rsidR="0046335B" w:rsidRPr="00290062" w:rsidRDefault="0046335B" w:rsidP="00A606C2">
      <w:pPr>
        <w:jc w:val="both"/>
        <w:rPr>
          <w:rFonts w:ascii="Arial Narrow" w:hAnsi="Arial Narrow" w:cs="Arial"/>
          <w:b/>
          <w:sz w:val="24"/>
          <w:szCs w:val="24"/>
        </w:rPr>
      </w:pPr>
    </w:p>
    <w:tbl>
      <w:tblPr>
        <w:tblW w:w="8788"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560"/>
        <w:gridCol w:w="3992"/>
        <w:gridCol w:w="1819"/>
      </w:tblGrid>
      <w:tr w:rsidR="0046335B" w:rsidRPr="007E269E" w14:paraId="2CAD3EB5" w14:textId="77777777" w:rsidTr="007E269E">
        <w:trPr>
          <w:trHeight w:val="346"/>
          <w:tblHeader/>
        </w:trPr>
        <w:tc>
          <w:tcPr>
            <w:tcW w:w="1417" w:type="dxa"/>
            <w:shd w:val="clear" w:color="auto" w:fill="D9D9D9"/>
            <w:tcMar>
              <w:top w:w="57" w:type="dxa"/>
              <w:left w:w="113" w:type="dxa"/>
              <w:bottom w:w="57" w:type="dxa"/>
            </w:tcMar>
            <w:vAlign w:val="center"/>
          </w:tcPr>
          <w:p w14:paraId="3C898665" w14:textId="77777777" w:rsidR="0046335B" w:rsidRPr="007E269E" w:rsidRDefault="0046335B" w:rsidP="00A606C2">
            <w:pPr>
              <w:jc w:val="center"/>
              <w:rPr>
                <w:rFonts w:ascii="Arial Narrow" w:hAnsi="Arial Narrow" w:cs="Arial"/>
                <w:b/>
                <w:sz w:val="22"/>
                <w:szCs w:val="22"/>
              </w:rPr>
            </w:pPr>
            <w:r w:rsidRPr="007E269E">
              <w:rPr>
                <w:rFonts w:ascii="Arial Narrow" w:hAnsi="Arial Narrow" w:cs="Arial"/>
                <w:b/>
                <w:sz w:val="22"/>
                <w:szCs w:val="22"/>
              </w:rPr>
              <w:t>FECHA</w:t>
            </w:r>
          </w:p>
        </w:tc>
        <w:tc>
          <w:tcPr>
            <w:tcW w:w="1560" w:type="dxa"/>
            <w:shd w:val="clear" w:color="auto" w:fill="D9D9D9"/>
            <w:tcMar>
              <w:top w:w="57" w:type="dxa"/>
              <w:left w:w="113" w:type="dxa"/>
              <w:bottom w:w="57" w:type="dxa"/>
            </w:tcMar>
            <w:vAlign w:val="center"/>
          </w:tcPr>
          <w:p w14:paraId="02F59B8C" w14:textId="77777777" w:rsidR="0046335B" w:rsidRPr="007E269E" w:rsidRDefault="0046335B" w:rsidP="00A606C2">
            <w:pPr>
              <w:jc w:val="center"/>
              <w:rPr>
                <w:rFonts w:ascii="Arial Narrow" w:hAnsi="Arial Narrow" w:cs="Arial"/>
                <w:b/>
                <w:sz w:val="22"/>
                <w:szCs w:val="22"/>
              </w:rPr>
            </w:pPr>
            <w:r w:rsidRPr="007E269E">
              <w:rPr>
                <w:rFonts w:ascii="Arial Narrow" w:hAnsi="Arial Narrow" w:cs="Arial"/>
                <w:b/>
                <w:sz w:val="22"/>
                <w:szCs w:val="22"/>
              </w:rPr>
              <w:t>VERSIÓN</w:t>
            </w:r>
          </w:p>
        </w:tc>
        <w:tc>
          <w:tcPr>
            <w:tcW w:w="3992" w:type="dxa"/>
            <w:shd w:val="clear" w:color="auto" w:fill="D9D9D9"/>
            <w:tcMar>
              <w:top w:w="57" w:type="dxa"/>
              <w:left w:w="113" w:type="dxa"/>
              <w:bottom w:w="57" w:type="dxa"/>
            </w:tcMar>
            <w:vAlign w:val="center"/>
          </w:tcPr>
          <w:p w14:paraId="235D0EF2" w14:textId="77777777" w:rsidR="0046335B" w:rsidRPr="007E269E" w:rsidRDefault="0046335B" w:rsidP="00A606C2">
            <w:pPr>
              <w:jc w:val="center"/>
              <w:rPr>
                <w:rFonts w:ascii="Arial Narrow" w:hAnsi="Arial Narrow" w:cs="Arial"/>
                <w:b/>
                <w:sz w:val="22"/>
                <w:szCs w:val="22"/>
              </w:rPr>
            </w:pPr>
            <w:r w:rsidRPr="007E269E">
              <w:rPr>
                <w:rFonts w:ascii="Arial Narrow" w:hAnsi="Arial Narrow" w:cs="Arial"/>
                <w:b/>
                <w:sz w:val="22"/>
                <w:szCs w:val="22"/>
              </w:rPr>
              <w:t>DESCRIPCIÓN DEL CAMBIO</w:t>
            </w:r>
          </w:p>
        </w:tc>
        <w:tc>
          <w:tcPr>
            <w:tcW w:w="1819" w:type="dxa"/>
            <w:shd w:val="clear" w:color="auto" w:fill="D9D9D9"/>
            <w:tcMar>
              <w:top w:w="57" w:type="dxa"/>
              <w:left w:w="113" w:type="dxa"/>
              <w:bottom w:w="57" w:type="dxa"/>
            </w:tcMar>
            <w:vAlign w:val="center"/>
          </w:tcPr>
          <w:p w14:paraId="44131F86" w14:textId="77777777" w:rsidR="0046335B" w:rsidRPr="007E269E" w:rsidRDefault="0046335B" w:rsidP="00A606C2">
            <w:pPr>
              <w:jc w:val="center"/>
              <w:rPr>
                <w:rFonts w:ascii="Arial Narrow" w:hAnsi="Arial Narrow" w:cs="Arial"/>
                <w:b/>
                <w:sz w:val="22"/>
                <w:szCs w:val="22"/>
              </w:rPr>
            </w:pPr>
            <w:r w:rsidRPr="007E269E">
              <w:rPr>
                <w:rFonts w:ascii="Arial Narrow" w:hAnsi="Arial Narrow" w:cs="Arial"/>
                <w:b/>
                <w:sz w:val="22"/>
                <w:szCs w:val="22"/>
              </w:rPr>
              <w:t>ASESOR SUG</w:t>
            </w:r>
          </w:p>
        </w:tc>
      </w:tr>
      <w:tr w:rsidR="0046335B" w:rsidRPr="007E269E" w14:paraId="1DC478AB" w14:textId="77777777" w:rsidTr="007E269E">
        <w:trPr>
          <w:trHeight w:val="541"/>
        </w:trPr>
        <w:tc>
          <w:tcPr>
            <w:tcW w:w="1417" w:type="dxa"/>
            <w:shd w:val="clear" w:color="auto" w:fill="auto"/>
            <w:tcMar>
              <w:top w:w="57" w:type="dxa"/>
              <w:left w:w="113" w:type="dxa"/>
              <w:bottom w:w="57" w:type="dxa"/>
            </w:tcMar>
            <w:vAlign w:val="center"/>
          </w:tcPr>
          <w:p w14:paraId="0D4B763B" w14:textId="77777777" w:rsidR="0046335B" w:rsidRPr="007E269E" w:rsidRDefault="00113B7C" w:rsidP="006A62D2">
            <w:pPr>
              <w:jc w:val="center"/>
              <w:rPr>
                <w:rFonts w:ascii="Arial Narrow" w:hAnsi="Arial Narrow" w:cs="Arial"/>
                <w:sz w:val="22"/>
                <w:szCs w:val="22"/>
              </w:rPr>
            </w:pPr>
            <w:r w:rsidRPr="007E269E">
              <w:rPr>
                <w:rFonts w:ascii="Arial Narrow" w:hAnsi="Arial Narrow" w:cs="Arial"/>
                <w:sz w:val="22"/>
                <w:szCs w:val="22"/>
              </w:rPr>
              <w:t>29</w:t>
            </w:r>
            <w:r w:rsidR="00A606C2" w:rsidRPr="007E269E">
              <w:rPr>
                <w:rFonts w:ascii="Arial Narrow" w:hAnsi="Arial Narrow" w:cs="Arial"/>
                <w:sz w:val="22"/>
                <w:szCs w:val="22"/>
              </w:rPr>
              <w:t>-</w:t>
            </w:r>
            <w:r w:rsidR="006A62D2" w:rsidRPr="007E269E">
              <w:rPr>
                <w:rFonts w:ascii="Arial Narrow" w:hAnsi="Arial Narrow" w:cs="Arial"/>
                <w:sz w:val="22"/>
                <w:szCs w:val="22"/>
              </w:rPr>
              <w:t>01</w:t>
            </w:r>
            <w:r w:rsidR="00A606C2" w:rsidRPr="007E269E">
              <w:rPr>
                <w:rFonts w:ascii="Arial Narrow" w:hAnsi="Arial Narrow" w:cs="Arial"/>
                <w:sz w:val="22"/>
                <w:szCs w:val="22"/>
              </w:rPr>
              <w:t>-201</w:t>
            </w:r>
            <w:r w:rsidR="006A62D2" w:rsidRPr="007E269E">
              <w:rPr>
                <w:rFonts w:ascii="Arial Narrow" w:hAnsi="Arial Narrow" w:cs="Arial"/>
                <w:sz w:val="22"/>
                <w:szCs w:val="22"/>
              </w:rPr>
              <w:t>9</w:t>
            </w:r>
          </w:p>
        </w:tc>
        <w:tc>
          <w:tcPr>
            <w:tcW w:w="1560" w:type="dxa"/>
            <w:shd w:val="clear" w:color="auto" w:fill="auto"/>
            <w:tcMar>
              <w:top w:w="57" w:type="dxa"/>
              <w:left w:w="113" w:type="dxa"/>
              <w:bottom w:w="57" w:type="dxa"/>
            </w:tcMar>
            <w:vAlign w:val="center"/>
          </w:tcPr>
          <w:p w14:paraId="23036C0F" w14:textId="77777777" w:rsidR="0046335B" w:rsidRPr="007E269E" w:rsidRDefault="006A62D2" w:rsidP="00290062">
            <w:pPr>
              <w:jc w:val="center"/>
              <w:rPr>
                <w:rFonts w:ascii="Arial Narrow" w:hAnsi="Arial Narrow" w:cs="Arial"/>
                <w:sz w:val="22"/>
                <w:szCs w:val="22"/>
              </w:rPr>
            </w:pPr>
            <w:r w:rsidRPr="007E269E">
              <w:rPr>
                <w:rFonts w:ascii="Arial Narrow" w:hAnsi="Arial Narrow" w:cs="Arial"/>
                <w:sz w:val="22"/>
                <w:szCs w:val="22"/>
              </w:rPr>
              <w:t>1</w:t>
            </w:r>
          </w:p>
        </w:tc>
        <w:tc>
          <w:tcPr>
            <w:tcW w:w="3992" w:type="dxa"/>
            <w:tcMar>
              <w:top w:w="57" w:type="dxa"/>
              <w:left w:w="113" w:type="dxa"/>
              <w:bottom w:w="57" w:type="dxa"/>
            </w:tcMar>
            <w:vAlign w:val="center"/>
          </w:tcPr>
          <w:p w14:paraId="55553EE2" w14:textId="77777777" w:rsidR="0046335B" w:rsidRPr="007E269E" w:rsidRDefault="00A606C2" w:rsidP="00DD47E2">
            <w:pPr>
              <w:jc w:val="both"/>
              <w:rPr>
                <w:rFonts w:ascii="Arial Narrow" w:hAnsi="Arial Narrow" w:cs="Arial"/>
                <w:sz w:val="22"/>
                <w:szCs w:val="22"/>
              </w:rPr>
            </w:pPr>
            <w:r w:rsidRPr="007E269E">
              <w:rPr>
                <w:rFonts w:ascii="Arial Narrow" w:hAnsi="Arial Narrow" w:cs="Arial"/>
                <w:sz w:val="22"/>
                <w:szCs w:val="22"/>
              </w:rPr>
              <w:t xml:space="preserve">El Manual </w:t>
            </w:r>
            <w:r w:rsidR="00DD47E2" w:rsidRPr="007E269E">
              <w:rPr>
                <w:rFonts w:ascii="Arial Narrow" w:hAnsi="Arial Narrow" w:cs="Arial"/>
                <w:sz w:val="22"/>
                <w:szCs w:val="22"/>
              </w:rPr>
              <w:t xml:space="preserve">operativo para la gestión contable </w:t>
            </w:r>
            <w:r w:rsidRPr="007E269E">
              <w:rPr>
                <w:rFonts w:ascii="Arial Narrow" w:hAnsi="Arial Narrow" w:cs="Arial"/>
                <w:sz w:val="22"/>
                <w:szCs w:val="22"/>
              </w:rPr>
              <w:t>surgió como resultado de incorporar a las políticas</w:t>
            </w:r>
            <w:r w:rsidR="00DD47E2" w:rsidRPr="007E269E">
              <w:rPr>
                <w:rFonts w:ascii="Arial Narrow" w:hAnsi="Arial Narrow" w:cs="Arial"/>
                <w:sz w:val="22"/>
                <w:szCs w:val="22"/>
              </w:rPr>
              <w:t xml:space="preserve"> y procedimientos existentes, lo</w:t>
            </w:r>
            <w:r w:rsidRPr="007E269E">
              <w:rPr>
                <w:rFonts w:ascii="Arial Narrow" w:hAnsi="Arial Narrow" w:cs="Arial"/>
                <w:sz w:val="22"/>
                <w:szCs w:val="22"/>
              </w:rPr>
              <w:t xml:space="preserve">s </w:t>
            </w:r>
            <w:r w:rsidR="00D41492" w:rsidRPr="007E269E">
              <w:rPr>
                <w:rFonts w:ascii="Arial Narrow" w:hAnsi="Arial Narrow" w:cs="Arial"/>
                <w:sz w:val="22"/>
                <w:szCs w:val="22"/>
              </w:rPr>
              <w:t>nuev</w:t>
            </w:r>
            <w:r w:rsidR="00DD47E2" w:rsidRPr="007E269E">
              <w:rPr>
                <w:rFonts w:ascii="Arial Narrow" w:hAnsi="Arial Narrow" w:cs="Arial"/>
                <w:sz w:val="22"/>
                <w:szCs w:val="22"/>
              </w:rPr>
              <w:t>o</w:t>
            </w:r>
            <w:r w:rsidR="00D41492" w:rsidRPr="007E269E">
              <w:rPr>
                <w:rFonts w:ascii="Arial Narrow" w:hAnsi="Arial Narrow" w:cs="Arial"/>
                <w:sz w:val="22"/>
                <w:szCs w:val="22"/>
              </w:rPr>
              <w:t xml:space="preserve">s </w:t>
            </w:r>
            <w:r w:rsidR="00DD47E2" w:rsidRPr="007E269E">
              <w:rPr>
                <w:rFonts w:ascii="Arial Narrow" w:hAnsi="Arial Narrow" w:cs="Arial"/>
                <w:sz w:val="22"/>
                <w:szCs w:val="22"/>
              </w:rPr>
              <w:t xml:space="preserve">lineamientos </w:t>
            </w:r>
            <w:r w:rsidR="00D41492" w:rsidRPr="007E269E">
              <w:rPr>
                <w:rFonts w:ascii="Arial Narrow" w:hAnsi="Arial Narrow" w:cs="Arial"/>
                <w:sz w:val="22"/>
                <w:szCs w:val="22"/>
              </w:rPr>
              <w:t>operativ</w:t>
            </w:r>
            <w:r w:rsidR="00DD47E2" w:rsidRPr="007E269E">
              <w:rPr>
                <w:rFonts w:ascii="Arial Narrow" w:hAnsi="Arial Narrow" w:cs="Arial"/>
                <w:sz w:val="22"/>
                <w:szCs w:val="22"/>
              </w:rPr>
              <w:t>o</w:t>
            </w:r>
            <w:r w:rsidR="00D41492" w:rsidRPr="007E269E">
              <w:rPr>
                <w:rFonts w:ascii="Arial Narrow" w:hAnsi="Arial Narrow" w:cs="Arial"/>
                <w:sz w:val="22"/>
                <w:szCs w:val="22"/>
              </w:rPr>
              <w:t xml:space="preserve">s </w:t>
            </w:r>
            <w:r w:rsidR="00DD47E2" w:rsidRPr="007E269E">
              <w:rPr>
                <w:rFonts w:ascii="Arial Narrow" w:hAnsi="Arial Narrow" w:cs="Arial"/>
                <w:sz w:val="22"/>
                <w:szCs w:val="22"/>
              </w:rPr>
              <w:t>establecido</w:t>
            </w:r>
            <w:r w:rsidRPr="007E269E">
              <w:rPr>
                <w:rFonts w:ascii="Arial Narrow" w:hAnsi="Arial Narrow" w:cs="Arial"/>
                <w:sz w:val="22"/>
                <w:szCs w:val="22"/>
              </w:rPr>
              <w:t>s en virtud del Nuevo Marco Normativo para Entidades de Gobierno, definido por la Contaduría General de la Nación.</w:t>
            </w:r>
          </w:p>
        </w:tc>
        <w:tc>
          <w:tcPr>
            <w:tcW w:w="1819" w:type="dxa"/>
            <w:tcMar>
              <w:top w:w="57" w:type="dxa"/>
              <w:left w:w="113" w:type="dxa"/>
              <w:bottom w:w="57" w:type="dxa"/>
            </w:tcMar>
            <w:vAlign w:val="center"/>
          </w:tcPr>
          <w:p w14:paraId="425A5039" w14:textId="77777777" w:rsidR="0046335B" w:rsidRPr="007E269E" w:rsidRDefault="006A62D2" w:rsidP="007E269E">
            <w:pPr>
              <w:jc w:val="both"/>
              <w:rPr>
                <w:rFonts w:ascii="Arial Narrow" w:hAnsi="Arial Narrow" w:cs="Arial"/>
                <w:sz w:val="22"/>
                <w:szCs w:val="22"/>
              </w:rPr>
            </w:pPr>
            <w:r w:rsidRPr="007E269E">
              <w:rPr>
                <w:rFonts w:ascii="Arial Narrow" w:hAnsi="Arial Narrow" w:cs="Arial"/>
                <w:sz w:val="22"/>
                <w:szCs w:val="22"/>
              </w:rPr>
              <w:t>Andrea Catalina Cuesta Ruíz</w:t>
            </w:r>
          </w:p>
        </w:tc>
      </w:tr>
      <w:tr w:rsidR="00BE7EE6" w:rsidRPr="007E269E" w14:paraId="02F30A79" w14:textId="77777777" w:rsidTr="007E269E">
        <w:trPr>
          <w:trHeight w:val="541"/>
        </w:trPr>
        <w:tc>
          <w:tcPr>
            <w:tcW w:w="1417" w:type="dxa"/>
            <w:shd w:val="clear" w:color="auto" w:fill="auto"/>
            <w:tcMar>
              <w:top w:w="57" w:type="dxa"/>
              <w:left w:w="113" w:type="dxa"/>
              <w:bottom w:w="57" w:type="dxa"/>
            </w:tcMar>
            <w:vAlign w:val="center"/>
          </w:tcPr>
          <w:p w14:paraId="1556096C" w14:textId="77777777" w:rsidR="00BE7EE6" w:rsidRPr="007E269E" w:rsidRDefault="00470FDA" w:rsidP="00470FDA">
            <w:pPr>
              <w:jc w:val="center"/>
              <w:rPr>
                <w:rFonts w:ascii="Arial Narrow" w:hAnsi="Arial Narrow" w:cs="Arial"/>
                <w:sz w:val="22"/>
                <w:szCs w:val="22"/>
              </w:rPr>
            </w:pPr>
            <w:r w:rsidRPr="007E269E">
              <w:rPr>
                <w:rFonts w:ascii="Arial Narrow" w:hAnsi="Arial Narrow" w:cs="Arial"/>
                <w:sz w:val="22"/>
                <w:szCs w:val="22"/>
              </w:rPr>
              <w:lastRenderedPageBreak/>
              <w:t>11</w:t>
            </w:r>
            <w:r w:rsidR="00BE7EE6" w:rsidRPr="007E269E">
              <w:rPr>
                <w:rFonts w:ascii="Arial Narrow" w:hAnsi="Arial Narrow" w:cs="Arial"/>
                <w:sz w:val="22"/>
                <w:szCs w:val="22"/>
              </w:rPr>
              <w:t>-2-2019</w:t>
            </w:r>
          </w:p>
        </w:tc>
        <w:tc>
          <w:tcPr>
            <w:tcW w:w="1560" w:type="dxa"/>
            <w:shd w:val="clear" w:color="auto" w:fill="auto"/>
            <w:tcMar>
              <w:top w:w="57" w:type="dxa"/>
              <w:left w:w="113" w:type="dxa"/>
              <w:bottom w:w="57" w:type="dxa"/>
            </w:tcMar>
            <w:vAlign w:val="center"/>
          </w:tcPr>
          <w:p w14:paraId="20B42AC9" w14:textId="77777777" w:rsidR="00BE7EE6" w:rsidRPr="007E269E" w:rsidRDefault="00BE7EE6" w:rsidP="00BE7EE6">
            <w:pPr>
              <w:jc w:val="center"/>
              <w:rPr>
                <w:rFonts w:ascii="Arial Narrow" w:hAnsi="Arial Narrow" w:cs="Arial"/>
                <w:sz w:val="22"/>
                <w:szCs w:val="22"/>
              </w:rPr>
            </w:pPr>
            <w:r w:rsidRPr="007E269E">
              <w:rPr>
                <w:rFonts w:ascii="Arial Narrow" w:hAnsi="Arial Narrow" w:cs="Arial"/>
                <w:sz w:val="22"/>
                <w:szCs w:val="22"/>
              </w:rPr>
              <w:t>2</w:t>
            </w:r>
          </w:p>
        </w:tc>
        <w:tc>
          <w:tcPr>
            <w:tcW w:w="3992" w:type="dxa"/>
            <w:tcMar>
              <w:top w:w="57" w:type="dxa"/>
              <w:left w:w="113" w:type="dxa"/>
              <w:bottom w:w="57" w:type="dxa"/>
            </w:tcMar>
            <w:vAlign w:val="center"/>
          </w:tcPr>
          <w:p w14:paraId="3ADA1D7D" w14:textId="77777777" w:rsidR="00BE7EE6" w:rsidRPr="007E269E" w:rsidRDefault="00BA7829" w:rsidP="00BA7829">
            <w:pPr>
              <w:jc w:val="both"/>
              <w:rPr>
                <w:rFonts w:ascii="Arial Narrow" w:hAnsi="Arial Narrow" w:cs="Arial"/>
                <w:sz w:val="22"/>
                <w:szCs w:val="22"/>
              </w:rPr>
            </w:pPr>
            <w:r w:rsidRPr="007E269E">
              <w:rPr>
                <w:rFonts w:ascii="Arial Narrow" w:hAnsi="Arial Narrow" w:cs="Arial"/>
                <w:sz w:val="22"/>
                <w:szCs w:val="22"/>
              </w:rPr>
              <w:t>Como consecuencia de la expedición por parte de la Contaduría General de la Nación del Nuevo Marco Normativo Contable para las Entidades de Gobierno, s</w:t>
            </w:r>
            <w:r w:rsidR="00BE7EE6" w:rsidRPr="007E269E">
              <w:rPr>
                <w:rFonts w:ascii="Arial Narrow" w:hAnsi="Arial Narrow" w:cs="Arial"/>
                <w:sz w:val="22"/>
                <w:szCs w:val="22"/>
              </w:rPr>
              <w:t>e incluyen</w:t>
            </w:r>
            <w:r w:rsidR="00E3677C" w:rsidRPr="007E269E">
              <w:rPr>
                <w:rFonts w:ascii="Arial Narrow" w:hAnsi="Arial Narrow" w:cs="Arial"/>
                <w:sz w:val="22"/>
                <w:szCs w:val="22"/>
              </w:rPr>
              <w:t xml:space="preserve"> como parte del </w:t>
            </w:r>
            <w:r w:rsidR="00BE7EE6" w:rsidRPr="007E269E">
              <w:rPr>
                <w:rFonts w:ascii="Arial Narrow" w:hAnsi="Arial Narrow" w:cs="Arial"/>
                <w:sz w:val="22"/>
                <w:szCs w:val="22"/>
              </w:rPr>
              <w:t>Manual Operativo para la Gestión Contable</w:t>
            </w:r>
            <w:r w:rsidR="008C2552" w:rsidRPr="007E269E">
              <w:rPr>
                <w:rFonts w:ascii="Arial Narrow" w:hAnsi="Arial Narrow" w:cs="Arial"/>
                <w:sz w:val="22"/>
                <w:szCs w:val="22"/>
              </w:rPr>
              <w:t xml:space="preserve"> (Apo.3.Man.3)</w:t>
            </w:r>
            <w:r w:rsidR="00BE7EE6" w:rsidRPr="007E269E">
              <w:rPr>
                <w:rFonts w:ascii="Arial Narrow" w:hAnsi="Arial Narrow" w:cs="Arial"/>
                <w:sz w:val="22"/>
                <w:szCs w:val="22"/>
              </w:rPr>
              <w:t>, los formatos que se encontraban asociados a</w:t>
            </w:r>
            <w:r w:rsidR="008C2552" w:rsidRPr="007E269E">
              <w:rPr>
                <w:rFonts w:ascii="Arial Narrow" w:hAnsi="Arial Narrow" w:cs="Arial"/>
                <w:sz w:val="22"/>
                <w:szCs w:val="22"/>
              </w:rPr>
              <w:t xml:space="preserve"> </w:t>
            </w:r>
            <w:r w:rsidR="00BE7EE6" w:rsidRPr="007E269E">
              <w:rPr>
                <w:rFonts w:ascii="Arial Narrow" w:hAnsi="Arial Narrow" w:cs="Arial"/>
                <w:sz w:val="22"/>
                <w:szCs w:val="22"/>
              </w:rPr>
              <w:t>l</w:t>
            </w:r>
            <w:r w:rsidR="008C2552" w:rsidRPr="007E269E">
              <w:rPr>
                <w:rFonts w:ascii="Arial Narrow" w:hAnsi="Arial Narrow" w:cs="Arial"/>
                <w:sz w:val="22"/>
                <w:szCs w:val="22"/>
              </w:rPr>
              <w:t xml:space="preserve">a versión 2 del </w:t>
            </w:r>
            <w:r w:rsidR="00BE7EE6" w:rsidRPr="007E269E">
              <w:rPr>
                <w:rFonts w:ascii="Arial Narrow" w:hAnsi="Arial Narrow" w:cs="Arial"/>
                <w:sz w:val="22"/>
                <w:szCs w:val="22"/>
              </w:rPr>
              <w:t xml:space="preserve">Manual de Políticas </w:t>
            </w:r>
            <w:r w:rsidR="008C2552" w:rsidRPr="007E269E">
              <w:rPr>
                <w:rFonts w:ascii="Arial Narrow" w:hAnsi="Arial Narrow" w:cs="Arial"/>
                <w:sz w:val="22"/>
                <w:szCs w:val="22"/>
              </w:rPr>
              <w:t>Contables (Apo.3.Man.2), la cual f</w:t>
            </w:r>
            <w:r w:rsidRPr="007E269E">
              <w:rPr>
                <w:rFonts w:ascii="Arial Narrow" w:hAnsi="Arial Narrow" w:cs="Arial"/>
                <w:sz w:val="22"/>
                <w:szCs w:val="22"/>
              </w:rPr>
              <w:t>ue reemplazada por la versión 3.</w:t>
            </w:r>
          </w:p>
        </w:tc>
        <w:tc>
          <w:tcPr>
            <w:tcW w:w="1819" w:type="dxa"/>
            <w:tcMar>
              <w:top w:w="57" w:type="dxa"/>
              <w:left w:w="113" w:type="dxa"/>
              <w:bottom w:w="57" w:type="dxa"/>
            </w:tcMar>
            <w:vAlign w:val="center"/>
          </w:tcPr>
          <w:p w14:paraId="5CAA0E4A" w14:textId="77777777" w:rsidR="00BE7EE6" w:rsidRPr="007E269E" w:rsidRDefault="00BE7EE6" w:rsidP="007E269E">
            <w:pPr>
              <w:jc w:val="both"/>
              <w:rPr>
                <w:rFonts w:ascii="Arial Narrow" w:hAnsi="Arial Narrow" w:cs="Arial"/>
                <w:sz w:val="22"/>
                <w:szCs w:val="22"/>
              </w:rPr>
            </w:pPr>
            <w:r w:rsidRPr="007E269E">
              <w:rPr>
                <w:rFonts w:ascii="Arial Narrow" w:hAnsi="Arial Narrow" w:cs="Arial"/>
                <w:sz w:val="22"/>
                <w:szCs w:val="22"/>
              </w:rPr>
              <w:t>Andrea Catalina Cuesta Ruíz</w:t>
            </w:r>
          </w:p>
        </w:tc>
      </w:tr>
      <w:tr w:rsidR="008C702D" w:rsidRPr="007E269E" w14:paraId="0D46FBCA" w14:textId="77777777" w:rsidTr="007E269E">
        <w:trPr>
          <w:trHeight w:val="541"/>
        </w:trPr>
        <w:tc>
          <w:tcPr>
            <w:tcW w:w="1417" w:type="dxa"/>
            <w:shd w:val="clear" w:color="auto" w:fill="auto"/>
            <w:tcMar>
              <w:top w:w="57" w:type="dxa"/>
              <w:left w:w="113" w:type="dxa"/>
              <w:bottom w:w="57" w:type="dxa"/>
            </w:tcMar>
            <w:vAlign w:val="center"/>
          </w:tcPr>
          <w:p w14:paraId="1E059D0F" w14:textId="27238301" w:rsidR="008C702D" w:rsidRPr="007E269E" w:rsidRDefault="00783FEB" w:rsidP="00470FDA">
            <w:pPr>
              <w:jc w:val="center"/>
              <w:rPr>
                <w:rFonts w:ascii="Arial Narrow" w:hAnsi="Arial Narrow" w:cs="Arial"/>
                <w:sz w:val="22"/>
                <w:szCs w:val="22"/>
              </w:rPr>
            </w:pPr>
            <w:r w:rsidRPr="007E269E">
              <w:rPr>
                <w:rFonts w:ascii="Arial Narrow" w:hAnsi="Arial Narrow" w:cs="Arial"/>
                <w:sz w:val="22"/>
                <w:szCs w:val="22"/>
              </w:rPr>
              <w:t>26</w:t>
            </w:r>
            <w:r w:rsidR="00F64C40" w:rsidRPr="007E269E">
              <w:rPr>
                <w:rFonts w:ascii="Arial Narrow" w:hAnsi="Arial Narrow" w:cs="Arial"/>
                <w:sz w:val="22"/>
                <w:szCs w:val="22"/>
              </w:rPr>
              <w:t>-12-</w:t>
            </w:r>
            <w:r w:rsidR="009D77D4" w:rsidRPr="007E269E">
              <w:rPr>
                <w:rFonts w:ascii="Arial Narrow" w:hAnsi="Arial Narrow" w:cs="Arial"/>
                <w:sz w:val="22"/>
                <w:szCs w:val="22"/>
              </w:rPr>
              <w:t>2019</w:t>
            </w:r>
          </w:p>
        </w:tc>
        <w:tc>
          <w:tcPr>
            <w:tcW w:w="1560" w:type="dxa"/>
            <w:shd w:val="clear" w:color="auto" w:fill="auto"/>
            <w:tcMar>
              <w:top w:w="57" w:type="dxa"/>
              <w:left w:w="113" w:type="dxa"/>
              <w:bottom w:w="57" w:type="dxa"/>
            </w:tcMar>
            <w:vAlign w:val="center"/>
          </w:tcPr>
          <w:p w14:paraId="5866FAA6" w14:textId="2467A203" w:rsidR="008C702D" w:rsidRPr="007E269E" w:rsidRDefault="008C702D" w:rsidP="00BE7EE6">
            <w:pPr>
              <w:jc w:val="center"/>
              <w:rPr>
                <w:rFonts w:ascii="Arial Narrow" w:hAnsi="Arial Narrow" w:cs="Arial"/>
                <w:sz w:val="22"/>
                <w:szCs w:val="22"/>
              </w:rPr>
            </w:pPr>
            <w:r w:rsidRPr="007E269E">
              <w:rPr>
                <w:rFonts w:ascii="Arial Narrow" w:hAnsi="Arial Narrow" w:cs="Arial"/>
                <w:sz w:val="22"/>
                <w:szCs w:val="22"/>
              </w:rPr>
              <w:t>3</w:t>
            </w:r>
          </w:p>
        </w:tc>
        <w:tc>
          <w:tcPr>
            <w:tcW w:w="3992" w:type="dxa"/>
            <w:tcMar>
              <w:top w:w="57" w:type="dxa"/>
              <w:left w:w="113" w:type="dxa"/>
              <w:bottom w:w="57" w:type="dxa"/>
            </w:tcMar>
            <w:vAlign w:val="center"/>
          </w:tcPr>
          <w:p w14:paraId="01AAA6F9" w14:textId="36F28FC1" w:rsidR="008C702D" w:rsidRPr="007E269E" w:rsidRDefault="008C702D" w:rsidP="00BA7829">
            <w:pPr>
              <w:jc w:val="both"/>
              <w:rPr>
                <w:rFonts w:ascii="Arial Narrow" w:hAnsi="Arial Narrow" w:cs="Arial"/>
                <w:sz w:val="22"/>
                <w:szCs w:val="22"/>
              </w:rPr>
            </w:pPr>
            <w:r w:rsidRPr="007E269E">
              <w:rPr>
                <w:rFonts w:ascii="Arial Narrow" w:hAnsi="Arial Narrow" w:cs="Arial"/>
                <w:sz w:val="22"/>
                <w:szCs w:val="22"/>
              </w:rPr>
              <w:t xml:space="preserve">Se incluyen los ajustes derivados de la creación de nuevos formatos y la definición de nuevas políticas contables </w:t>
            </w:r>
          </w:p>
        </w:tc>
        <w:tc>
          <w:tcPr>
            <w:tcW w:w="1819" w:type="dxa"/>
            <w:tcMar>
              <w:top w:w="57" w:type="dxa"/>
              <w:left w:w="113" w:type="dxa"/>
              <w:bottom w:w="57" w:type="dxa"/>
            </w:tcMar>
            <w:vAlign w:val="center"/>
          </w:tcPr>
          <w:p w14:paraId="0AD44AD1" w14:textId="6BF69E4D" w:rsidR="008C702D" w:rsidRPr="007E269E" w:rsidRDefault="00557552" w:rsidP="007E269E">
            <w:pPr>
              <w:jc w:val="both"/>
              <w:rPr>
                <w:rFonts w:ascii="Arial Narrow" w:hAnsi="Arial Narrow" w:cs="Arial"/>
                <w:sz w:val="22"/>
                <w:szCs w:val="22"/>
              </w:rPr>
            </w:pPr>
            <w:r w:rsidRPr="007E269E">
              <w:rPr>
                <w:rFonts w:ascii="Arial Narrow" w:hAnsi="Arial Narrow" w:cs="Arial"/>
                <w:sz w:val="22"/>
                <w:szCs w:val="22"/>
              </w:rPr>
              <w:t>Liliana Parra Ramirez</w:t>
            </w:r>
          </w:p>
        </w:tc>
      </w:tr>
      <w:tr w:rsidR="00AB7237" w:rsidRPr="007E269E" w14:paraId="741A69B8" w14:textId="77777777" w:rsidTr="007E269E">
        <w:trPr>
          <w:trHeight w:val="541"/>
        </w:trPr>
        <w:tc>
          <w:tcPr>
            <w:tcW w:w="1417" w:type="dxa"/>
            <w:shd w:val="clear" w:color="auto" w:fill="auto"/>
            <w:tcMar>
              <w:top w:w="57" w:type="dxa"/>
              <w:left w:w="113" w:type="dxa"/>
              <w:bottom w:w="57" w:type="dxa"/>
            </w:tcMar>
            <w:vAlign w:val="center"/>
          </w:tcPr>
          <w:p w14:paraId="74F8CEDD" w14:textId="498D2C69" w:rsidR="00AB7237" w:rsidRPr="00AB7237" w:rsidRDefault="00AB7237" w:rsidP="00470FDA">
            <w:pPr>
              <w:jc w:val="center"/>
              <w:rPr>
                <w:rFonts w:ascii="Arial Narrow" w:hAnsi="Arial Narrow" w:cs="Arial"/>
                <w:sz w:val="22"/>
                <w:szCs w:val="22"/>
              </w:rPr>
            </w:pPr>
            <w:r>
              <w:rPr>
                <w:rFonts w:ascii="Arial Narrow" w:hAnsi="Arial Narrow" w:cs="Arial"/>
                <w:sz w:val="22"/>
                <w:szCs w:val="22"/>
              </w:rPr>
              <w:t>21-12-2020</w:t>
            </w:r>
          </w:p>
        </w:tc>
        <w:tc>
          <w:tcPr>
            <w:tcW w:w="1560" w:type="dxa"/>
            <w:shd w:val="clear" w:color="auto" w:fill="auto"/>
            <w:tcMar>
              <w:top w:w="57" w:type="dxa"/>
              <w:left w:w="113" w:type="dxa"/>
              <w:bottom w:w="57" w:type="dxa"/>
            </w:tcMar>
            <w:vAlign w:val="center"/>
          </w:tcPr>
          <w:p w14:paraId="0824D911" w14:textId="47ED9F52" w:rsidR="00AB7237" w:rsidRPr="00AB7237" w:rsidRDefault="00AB7237" w:rsidP="00BE7EE6">
            <w:pPr>
              <w:jc w:val="center"/>
              <w:rPr>
                <w:rFonts w:ascii="Arial Narrow" w:hAnsi="Arial Narrow" w:cs="Arial"/>
                <w:sz w:val="22"/>
                <w:szCs w:val="22"/>
              </w:rPr>
            </w:pPr>
            <w:r>
              <w:rPr>
                <w:rFonts w:ascii="Arial Narrow" w:hAnsi="Arial Narrow" w:cs="Arial"/>
                <w:sz w:val="22"/>
                <w:szCs w:val="22"/>
              </w:rPr>
              <w:t>4</w:t>
            </w:r>
          </w:p>
        </w:tc>
        <w:tc>
          <w:tcPr>
            <w:tcW w:w="3992" w:type="dxa"/>
            <w:tcMar>
              <w:top w:w="57" w:type="dxa"/>
              <w:left w:w="113" w:type="dxa"/>
              <w:bottom w:w="57" w:type="dxa"/>
            </w:tcMar>
            <w:vAlign w:val="center"/>
          </w:tcPr>
          <w:p w14:paraId="08A8207E" w14:textId="3F2F443E" w:rsidR="00AB7237" w:rsidRPr="00AB7237" w:rsidRDefault="00AB7237" w:rsidP="00BA7829">
            <w:pPr>
              <w:jc w:val="both"/>
              <w:rPr>
                <w:rFonts w:ascii="Arial Narrow" w:hAnsi="Arial Narrow" w:cs="Arial"/>
                <w:sz w:val="22"/>
                <w:szCs w:val="22"/>
              </w:rPr>
            </w:pPr>
            <w:r w:rsidRPr="00BD1F0A">
              <w:rPr>
                <w:rFonts w:ascii="Arial Narrow" w:hAnsi="Arial Narrow" w:cs="Arial"/>
                <w:sz w:val="22"/>
                <w:szCs w:val="22"/>
              </w:rPr>
              <w:t xml:space="preserve">Se incluyen los ajustes derivados de la </w:t>
            </w:r>
            <w:r>
              <w:rPr>
                <w:rFonts w:ascii="Arial Narrow" w:hAnsi="Arial Narrow" w:cs="Arial"/>
                <w:sz w:val="22"/>
                <w:szCs w:val="22"/>
              </w:rPr>
              <w:t>actualización del Manual de Políticas Contables del MHPC, la cual fue autorizada en el mes de diciembre de 2020 por la Dirección Administrativa y la Secretaría General  del MHCP</w:t>
            </w:r>
          </w:p>
        </w:tc>
        <w:tc>
          <w:tcPr>
            <w:tcW w:w="1819" w:type="dxa"/>
            <w:tcMar>
              <w:top w:w="57" w:type="dxa"/>
              <w:left w:w="113" w:type="dxa"/>
              <w:bottom w:w="57" w:type="dxa"/>
            </w:tcMar>
            <w:vAlign w:val="center"/>
          </w:tcPr>
          <w:p w14:paraId="34F347E8" w14:textId="4F4D0A1E" w:rsidR="00AB7237" w:rsidRPr="00AB7237" w:rsidRDefault="00AB7237" w:rsidP="00AB7237">
            <w:pPr>
              <w:jc w:val="both"/>
              <w:rPr>
                <w:rFonts w:ascii="Arial Narrow" w:hAnsi="Arial Narrow" w:cs="Arial"/>
                <w:sz w:val="22"/>
                <w:szCs w:val="22"/>
              </w:rPr>
            </w:pPr>
            <w:r>
              <w:rPr>
                <w:rFonts w:ascii="Arial Narrow" w:hAnsi="Arial Narrow" w:cs="Arial"/>
                <w:sz w:val="22"/>
                <w:szCs w:val="22"/>
              </w:rPr>
              <w:t>Yeinmy Yolanda Rozo Morales</w:t>
            </w:r>
          </w:p>
        </w:tc>
      </w:tr>
    </w:tbl>
    <w:p w14:paraId="40E5726A" w14:textId="2B87AB04" w:rsidR="0046335B" w:rsidRDefault="00AB7237" w:rsidP="00A606C2">
      <w:pPr>
        <w:jc w:val="both"/>
        <w:rPr>
          <w:rFonts w:ascii="Arial Narrow" w:hAnsi="Arial Narrow" w:cs="Arial"/>
          <w:b/>
          <w:sz w:val="24"/>
          <w:szCs w:val="24"/>
        </w:rPr>
      </w:pPr>
      <w:r>
        <w:rPr>
          <w:rFonts w:ascii="Arial Narrow" w:hAnsi="Arial Narrow" w:cs="Arial"/>
          <w:b/>
          <w:sz w:val="24"/>
          <w:szCs w:val="24"/>
        </w:rPr>
        <w:t xml:space="preserve"> </w:t>
      </w:r>
    </w:p>
    <w:p w14:paraId="2AEDC37B" w14:textId="77777777" w:rsidR="005A46EB" w:rsidRPr="009B2209" w:rsidRDefault="0046335B" w:rsidP="009B2209">
      <w:pPr>
        <w:pStyle w:val="Ttulo1"/>
        <w:numPr>
          <w:ilvl w:val="0"/>
          <w:numId w:val="1"/>
        </w:numPr>
        <w:spacing w:line="288" w:lineRule="auto"/>
        <w:jc w:val="both"/>
        <w:rPr>
          <w:rFonts w:ascii="Arial" w:hAnsi="Arial" w:cs="Arial"/>
          <w:bCs/>
          <w:sz w:val="22"/>
          <w:szCs w:val="22"/>
          <w:lang w:eastAsia="es-CO"/>
        </w:rPr>
      </w:pPr>
      <w:bookmarkStart w:id="302" w:name="_Toc59377884"/>
      <w:r w:rsidRPr="009B2209">
        <w:rPr>
          <w:rFonts w:ascii="Arial" w:hAnsi="Arial" w:cs="Arial"/>
          <w:bCs/>
          <w:sz w:val="22"/>
          <w:szCs w:val="22"/>
          <w:lang w:eastAsia="es-CO"/>
        </w:rPr>
        <w:t>APROBACIÓN</w:t>
      </w:r>
      <w:bookmarkEnd w:id="302"/>
    </w:p>
    <w:p w14:paraId="7E711807" w14:textId="77777777" w:rsidR="005A46EB" w:rsidRDefault="005A46EB" w:rsidP="005A46EB">
      <w:pPr>
        <w:jc w:val="both"/>
        <w:rPr>
          <w:rFonts w:ascii="Arial Narrow" w:hAnsi="Arial Narrow" w:cs="Arial"/>
          <w:b/>
          <w:sz w:val="24"/>
          <w:szCs w:val="24"/>
        </w:rPr>
      </w:pPr>
    </w:p>
    <w:tbl>
      <w:tblPr>
        <w:tblW w:w="8852"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16"/>
        <w:gridCol w:w="5936"/>
      </w:tblGrid>
      <w:tr w:rsidR="005A46EB" w:rsidRPr="007E269E" w14:paraId="10409BA1" w14:textId="77777777" w:rsidTr="007E269E">
        <w:trPr>
          <w:trHeight w:val="847"/>
        </w:trPr>
        <w:tc>
          <w:tcPr>
            <w:tcW w:w="291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3B3B649" w14:textId="77777777" w:rsidR="005A46EB" w:rsidRPr="007E269E" w:rsidRDefault="005A46EB" w:rsidP="002D39A3">
            <w:pPr>
              <w:pStyle w:val="Piedepgina"/>
              <w:ind w:right="360"/>
              <w:jc w:val="both"/>
              <w:rPr>
                <w:rFonts w:ascii="Arial Narrow" w:hAnsi="Arial Narrow" w:cs="Arial"/>
                <w:b/>
                <w:sz w:val="22"/>
                <w:szCs w:val="22"/>
              </w:rPr>
            </w:pPr>
            <w:r w:rsidRPr="007E269E">
              <w:rPr>
                <w:rFonts w:ascii="Arial Narrow" w:hAnsi="Arial Narrow" w:cs="Arial"/>
                <w:b/>
                <w:sz w:val="22"/>
                <w:szCs w:val="22"/>
              </w:rPr>
              <w:t xml:space="preserve">ELABORADO POR: </w:t>
            </w:r>
          </w:p>
        </w:tc>
        <w:tc>
          <w:tcPr>
            <w:tcW w:w="59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64DE2B" w14:textId="77777777" w:rsidR="005A46EB" w:rsidRPr="007E269E" w:rsidRDefault="005A46EB" w:rsidP="002D39A3">
            <w:pPr>
              <w:pStyle w:val="Piedepgina"/>
              <w:tabs>
                <w:tab w:val="clear" w:pos="4252"/>
                <w:tab w:val="left" w:pos="4536"/>
              </w:tabs>
              <w:ind w:right="71"/>
              <w:jc w:val="both"/>
              <w:rPr>
                <w:rFonts w:ascii="Arial Narrow" w:hAnsi="Arial Narrow" w:cs="Arial"/>
                <w:sz w:val="22"/>
                <w:szCs w:val="22"/>
              </w:rPr>
            </w:pPr>
            <w:r w:rsidRPr="007E269E">
              <w:rPr>
                <w:rFonts w:ascii="Arial Narrow" w:hAnsi="Arial Narrow" w:cs="Arial"/>
                <w:b/>
                <w:sz w:val="22"/>
                <w:szCs w:val="22"/>
              </w:rPr>
              <w:t xml:space="preserve">Nombre:          </w:t>
            </w:r>
            <w:r w:rsidRPr="007E269E">
              <w:rPr>
                <w:rFonts w:ascii="Arial Narrow" w:hAnsi="Arial Narrow" w:cs="Arial"/>
                <w:i/>
                <w:sz w:val="22"/>
                <w:szCs w:val="22"/>
              </w:rPr>
              <w:t>Martha Rubiela Granados Molina</w:t>
            </w:r>
            <w:r w:rsidRPr="007E269E">
              <w:rPr>
                <w:rFonts w:ascii="Arial Narrow" w:hAnsi="Arial Narrow" w:cs="Arial"/>
                <w:sz w:val="22"/>
                <w:szCs w:val="22"/>
              </w:rPr>
              <w:t xml:space="preserve"> </w:t>
            </w:r>
          </w:p>
          <w:p w14:paraId="28ABF4AF" w14:textId="77777777" w:rsidR="005A46EB" w:rsidRPr="007E269E" w:rsidRDefault="005A46EB" w:rsidP="002D39A3">
            <w:pPr>
              <w:pStyle w:val="Piedepgina"/>
              <w:ind w:right="360"/>
              <w:jc w:val="both"/>
              <w:rPr>
                <w:rFonts w:ascii="Arial Narrow" w:hAnsi="Arial Narrow" w:cs="Arial"/>
                <w:sz w:val="22"/>
                <w:szCs w:val="22"/>
              </w:rPr>
            </w:pPr>
            <w:r w:rsidRPr="007E269E">
              <w:rPr>
                <w:rFonts w:ascii="Arial Narrow" w:hAnsi="Arial Narrow" w:cs="Arial"/>
                <w:b/>
                <w:sz w:val="22"/>
                <w:szCs w:val="22"/>
              </w:rPr>
              <w:t xml:space="preserve">Cargo:             </w:t>
            </w:r>
            <w:r w:rsidRPr="007E269E">
              <w:rPr>
                <w:rFonts w:ascii="Arial Narrow" w:hAnsi="Arial Narrow" w:cs="Arial"/>
                <w:i/>
                <w:sz w:val="22"/>
                <w:szCs w:val="22"/>
              </w:rPr>
              <w:t xml:space="preserve">Asesor </w:t>
            </w:r>
          </w:p>
          <w:p w14:paraId="67D6A7FA" w14:textId="77777777" w:rsidR="005A46EB" w:rsidRPr="007E269E" w:rsidRDefault="005A46EB" w:rsidP="002D39A3">
            <w:pPr>
              <w:pStyle w:val="Piedepgina"/>
              <w:ind w:right="360"/>
              <w:rPr>
                <w:rFonts w:ascii="Arial Narrow" w:hAnsi="Arial Narrow" w:cs="Arial"/>
                <w:sz w:val="22"/>
                <w:szCs w:val="22"/>
              </w:rPr>
            </w:pPr>
            <w:r w:rsidRPr="007E269E">
              <w:rPr>
                <w:rFonts w:ascii="Arial Narrow" w:hAnsi="Arial Narrow" w:cs="Arial"/>
                <w:b/>
                <w:sz w:val="22"/>
                <w:szCs w:val="22"/>
              </w:rPr>
              <w:t>Dependencia:</w:t>
            </w:r>
            <w:r w:rsidRPr="007E269E">
              <w:rPr>
                <w:rFonts w:ascii="Arial Narrow" w:hAnsi="Arial Narrow" w:cs="Arial"/>
                <w:sz w:val="22"/>
                <w:szCs w:val="22"/>
              </w:rPr>
              <w:t xml:space="preserve"> </w:t>
            </w:r>
            <w:r w:rsidRPr="007E269E">
              <w:rPr>
                <w:rFonts w:ascii="Arial Narrow" w:hAnsi="Arial Narrow" w:cs="Arial"/>
                <w:i/>
                <w:sz w:val="22"/>
                <w:szCs w:val="22"/>
              </w:rPr>
              <w:t>Grupo de Contabilidad</w:t>
            </w:r>
          </w:p>
          <w:p w14:paraId="30F709D2" w14:textId="2A935652" w:rsidR="005A46EB" w:rsidRPr="007E269E" w:rsidRDefault="005A46EB" w:rsidP="00840437">
            <w:pPr>
              <w:pStyle w:val="Piedepgina"/>
              <w:ind w:right="360"/>
              <w:jc w:val="both"/>
              <w:rPr>
                <w:rFonts w:ascii="Arial Narrow" w:hAnsi="Arial Narrow" w:cs="Arial"/>
                <w:b/>
                <w:sz w:val="22"/>
                <w:szCs w:val="22"/>
              </w:rPr>
            </w:pPr>
            <w:r w:rsidRPr="007E269E">
              <w:rPr>
                <w:rFonts w:ascii="Arial Narrow" w:hAnsi="Arial Narrow" w:cs="Arial"/>
                <w:b/>
                <w:sz w:val="22"/>
                <w:szCs w:val="22"/>
              </w:rPr>
              <w:t xml:space="preserve">Fecha:             </w:t>
            </w:r>
            <w:r w:rsidR="00D20C27">
              <w:rPr>
                <w:rFonts w:ascii="Arial Narrow" w:hAnsi="Arial Narrow" w:cs="Arial"/>
                <w:i/>
                <w:sz w:val="22"/>
                <w:szCs w:val="22"/>
              </w:rPr>
              <w:t>21</w:t>
            </w:r>
            <w:r w:rsidRPr="007E269E">
              <w:rPr>
                <w:rFonts w:ascii="Arial Narrow" w:hAnsi="Arial Narrow" w:cs="Arial"/>
                <w:i/>
                <w:sz w:val="22"/>
                <w:szCs w:val="22"/>
              </w:rPr>
              <w:t>-</w:t>
            </w:r>
            <w:r w:rsidR="00840437" w:rsidRPr="007E269E">
              <w:rPr>
                <w:rFonts w:ascii="Arial Narrow" w:hAnsi="Arial Narrow" w:cs="Arial"/>
                <w:i/>
                <w:sz w:val="22"/>
                <w:szCs w:val="22"/>
              </w:rPr>
              <w:t>12</w:t>
            </w:r>
            <w:r w:rsidRPr="007E269E">
              <w:rPr>
                <w:rFonts w:ascii="Arial Narrow" w:hAnsi="Arial Narrow" w:cs="Arial"/>
                <w:i/>
                <w:sz w:val="22"/>
                <w:szCs w:val="22"/>
              </w:rPr>
              <w:t>-20</w:t>
            </w:r>
            <w:r w:rsidR="00D20C27">
              <w:rPr>
                <w:rFonts w:ascii="Arial Narrow" w:hAnsi="Arial Narrow" w:cs="Arial"/>
                <w:i/>
                <w:sz w:val="22"/>
                <w:szCs w:val="22"/>
              </w:rPr>
              <w:t>20</w:t>
            </w:r>
          </w:p>
        </w:tc>
      </w:tr>
      <w:tr w:rsidR="005A46EB" w:rsidRPr="007E269E" w14:paraId="65F183AE" w14:textId="77777777" w:rsidTr="007E269E">
        <w:trPr>
          <w:trHeight w:val="680"/>
        </w:trPr>
        <w:tc>
          <w:tcPr>
            <w:tcW w:w="291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99F16E7" w14:textId="77777777" w:rsidR="005A46EB" w:rsidRPr="007E269E" w:rsidRDefault="005A46EB" w:rsidP="002D39A3">
            <w:pPr>
              <w:pStyle w:val="Piedepgina"/>
              <w:ind w:right="360"/>
              <w:jc w:val="both"/>
              <w:rPr>
                <w:rFonts w:ascii="Arial Narrow" w:hAnsi="Arial Narrow" w:cs="Arial"/>
                <w:b/>
                <w:sz w:val="22"/>
                <w:szCs w:val="22"/>
              </w:rPr>
            </w:pPr>
            <w:r w:rsidRPr="007E269E">
              <w:rPr>
                <w:rFonts w:ascii="Arial Narrow" w:hAnsi="Arial Narrow" w:cs="Arial"/>
                <w:b/>
                <w:sz w:val="22"/>
                <w:szCs w:val="22"/>
              </w:rPr>
              <w:t>REVISADO POR:</w:t>
            </w:r>
          </w:p>
        </w:tc>
        <w:tc>
          <w:tcPr>
            <w:tcW w:w="5936" w:type="dxa"/>
            <w:tcBorders>
              <w:top w:val="single" w:sz="6" w:space="0" w:color="auto"/>
              <w:left w:val="single" w:sz="6" w:space="0" w:color="auto"/>
              <w:bottom w:val="single" w:sz="6" w:space="0" w:color="auto"/>
              <w:right w:val="single" w:sz="6" w:space="0" w:color="auto"/>
            </w:tcBorders>
            <w:vAlign w:val="center"/>
          </w:tcPr>
          <w:p w14:paraId="073E643A" w14:textId="77777777" w:rsidR="005A46EB" w:rsidRPr="007E269E" w:rsidRDefault="005A46EB" w:rsidP="002D39A3">
            <w:pPr>
              <w:pStyle w:val="Piedepgina"/>
              <w:ind w:right="360"/>
              <w:jc w:val="both"/>
              <w:rPr>
                <w:rFonts w:ascii="Arial Narrow" w:hAnsi="Arial Narrow" w:cs="Arial"/>
                <w:i/>
                <w:sz w:val="22"/>
                <w:szCs w:val="22"/>
              </w:rPr>
            </w:pPr>
            <w:r w:rsidRPr="007E269E">
              <w:rPr>
                <w:rFonts w:ascii="Arial Narrow" w:hAnsi="Arial Narrow" w:cs="Arial"/>
                <w:b/>
                <w:sz w:val="22"/>
                <w:szCs w:val="22"/>
              </w:rPr>
              <w:t xml:space="preserve">Nombre:          </w:t>
            </w:r>
            <w:r w:rsidRPr="007E269E">
              <w:rPr>
                <w:rFonts w:ascii="Arial Narrow" w:hAnsi="Arial Narrow" w:cs="Arial"/>
                <w:i/>
                <w:sz w:val="22"/>
                <w:szCs w:val="22"/>
              </w:rPr>
              <w:t>Claudia Yadira Pérez Gil</w:t>
            </w:r>
          </w:p>
          <w:p w14:paraId="7F97C368" w14:textId="77777777" w:rsidR="005A46EB" w:rsidRPr="007E269E" w:rsidRDefault="005A46EB" w:rsidP="002D39A3">
            <w:pPr>
              <w:pStyle w:val="Piedepgina"/>
              <w:ind w:right="360"/>
              <w:jc w:val="both"/>
              <w:rPr>
                <w:rFonts w:ascii="Arial Narrow" w:hAnsi="Arial Narrow" w:cs="Arial"/>
                <w:sz w:val="22"/>
                <w:szCs w:val="22"/>
              </w:rPr>
            </w:pPr>
            <w:r w:rsidRPr="007E269E">
              <w:rPr>
                <w:rFonts w:ascii="Arial Narrow" w:hAnsi="Arial Narrow" w:cs="Arial"/>
                <w:b/>
                <w:sz w:val="22"/>
                <w:szCs w:val="22"/>
              </w:rPr>
              <w:t xml:space="preserve">Cargo:             </w:t>
            </w:r>
            <w:r w:rsidRPr="007E269E">
              <w:rPr>
                <w:rFonts w:ascii="Arial Narrow" w:hAnsi="Arial Narrow" w:cs="Arial"/>
                <w:i/>
                <w:sz w:val="22"/>
                <w:szCs w:val="22"/>
              </w:rPr>
              <w:t>Coordinadora Grupo de Contabilidad</w:t>
            </w:r>
            <w:r w:rsidRPr="007E269E">
              <w:rPr>
                <w:rFonts w:ascii="Arial Narrow" w:hAnsi="Arial Narrow" w:cs="Arial"/>
                <w:sz w:val="22"/>
                <w:szCs w:val="22"/>
              </w:rPr>
              <w:t xml:space="preserve"> </w:t>
            </w:r>
          </w:p>
          <w:p w14:paraId="7C3071C7" w14:textId="77777777" w:rsidR="005A46EB" w:rsidRPr="007E269E" w:rsidRDefault="005A46EB" w:rsidP="002D39A3">
            <w:pPr>
              <w:pStyle w:val="Piedepgina"/>
              <w:ind w:right="360"/>
              <w:jc w:val="both"/>
              <w:rPr>
                <w:rFonts w:ascii="Arial Narrow" w:hAnsi="Arial Narrow" w:cs="Arial"/>
                <w:i/>
                <w:sz w:val="22"/>
                <w:szCs w:val="22"/>
              </w:rPr>
            </w:pPr>
            <w:r w:rsidRPr="007E269E">
              <w:rPr>
                <w:rFonts w:ascii="Arial Narrow" w:hAnsi="Arial Narrow" w:cs="Arial"/>
                <w:b/>
                <w:sz w:val="22"/>
                <w:szCs w:val="22"/>
              </w:rPr>
              <w:t>Dependencia:</w:t>
            </w:r>
            <w:r w:rsidRPr="007E269E">
              <w:rPr>
                <w:rFonts w:ascii="Arial Narrow" w:hAnsi="Arial Narrow" w:cs="Arial"/>
                <w:sz w:val="22"/>
                <w:szCs w:val="22"/>
              </w:rPr>
              <w:t xml:space="preserve"> </w:t>
            </w:r>
            <w:r w:rsidRPr="007E269E">
              <w:rPr>
                <w:rFonts w:ascii="Arial Narrow" w:hAnsi="Arial Narrow" w:cs="Arial"/>
                <w:i/>
                <w:sz w:val="22"/>
                <w:szCs w:val="22"/>
              </w:rPr>
              <w:t>Grupo de Contabilidad</w:t>
            </w:r>
          </w:p>
          <w:p w14:paraId="6989C904" w14:textId="78F101EC" w:rsidR="005A46EB" w:rsidRPr="007E269E" w:rsidRDefault="005A46EB" w:rsidP="00840437">
            <w:pPr>
              <w:pStyle w:val="Piedepgina"/>
              <w:ind w:right="360"/>
              <w:jc w:val="both"/>
              <w:rPr>
                <w:rFonts w:ascii="Arial Narrow" w:hAnsi="Arial Narrow" w:cs="Arial"/>
                <w:b/>
                <w:sz w:val="22"/>
                <w:szCs w:val="22"/>
              </w:rPr>
            </w:pPr>
            <w:r w:rsidRPr="007E269E">
              <w:rPr>
                <w:rFonts w:ascii="Arial Narrow" w:hAnsi="Arial Narrow" w:cs="Arial"/>
                <w:b/>
                <w:sz w:val="22"/>
                <w:szCs w:val="22"/>
              </w:rPr>
              <w:t xml:space="preserve">Fecha:             </w:t>
            </w:r>
            <w:r w:rsidR="00255042" w:rsidRPr="007E269E">
              <w:rPr>
                <w:rFonts w:ascii="Arial Narrow" w:hAnsi="Arial Narrow" w:cs="Arial"/>
                <w:i/>
                <w:sz w:val="22"/>
                <w:szCs w:val="22"/>
              </w:rPr>
              <w:t>2</w:t>
            </w:r>
            <w:r w:rsidR="00D20C27">
              <w:rPr>
                <w:rFonts w:ascii="Arial Narrow" w:hAnsi="Arial Narrow" w:cs="Arial"/>
                <w:i/>
                <w:sz w:val="22"/>
                <w:szCs w:val="22"/>
              </w:rPr>
              <w:t>1</w:t>
            </w:r>
            <w:r w:rsidRPr="007E269E">
              <w:rPr>
                <w:rFonts w:ascii="Arial Narrow" w:hAnsi="Arial Narrow" w:cs="Arial"/>
                <w:i/>
                <w:sz w:val="22"/>
                <w:szCs w:val="22"/>
              </w:rPr>
              <w:t>-</w:t>
            </w:r>
            <w:r w:rsidR="00840437" w:rsidRPr="007E269E">
              <w:rPr>
                <w:rFonts w:ascii="Arial Narrow" w:hAnsi="Arial Narrow" w:cs="Arial"/>
                <w:i/>
                <w:sz w:val="22"/>
                <w:szCs w:val="22"/>
              </w:rPr>
              <w:t>12</w:t>
            </w:r>
            <w:r w:rsidRPr="007E269E">
              <w:rPr>
                <w:rFonts w:ascii="Arial Narrow" w:hAnsi="Arial Narrow" w:cs="Arial"/>
                <w:i/>
                <w:sz w:val="22"/>
                <w:szCs w:val="22"/>
              </w:rPr>
              <w:t>-20</w:t>
            </w:r>
            <w:r w:rsidR="00D20C27">
              <w:rPr>
                <w:rFonts w:ascii="Arial Narrow" w:hAnsi="Arial Narrow" w:cs="Arial"/>
                <w:i/>
                <w:sz w:val="22"/>
                <w:szCs w:val="22"/>
              </w:rPr>
              <w:t>20</w:t>
            </w:r>
          </w:p>
        </w:tc>
      </w:tr>
      <w:tr w:rsidR="005A46EB" w:rsidRPr="007E269E" w14:paraId="2CBA1F40" w14:textId="77777777" w:rsidTr="007E269E">
        <w:trPr>
          <w:trHeight w:val="814"/>
        </w:trPr>
        <w:tc>
          <w:tcPr>
            <w:tcW w:w="291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D559342" w14:textId="77777777" w:rsidR="005A46EB" w:rsidRPr="007E269E" w:rsidRDefault="005A46EB" w:rsidP="002D39A3">
            <w:pPr>
              <w:pStyle w:val="Piedepgina"/>
              <w:ind w:right="360"/>
              <w:jc w:val="both"/>
              <w:rPr>
                <w:rFonts w:ascii="Arial Narrow" w:hAnsi="Arial Narrow" w:cs="Arial"/>
                <w:b/>
                <w:sz w:val="22"/>
                <w:szCs w:val="22"/>
              </w:rPr>
            </w:pPr>
            <w:r w:rsidRPr="007E269E">
              <w:rPr>
                <w:rFonts w:ascii="Arial Narrow" w:hAnsi="Arial Narrow" w:cs="Arial"/>
                <w:b/>
                <w:sz w:val="22"/>
                <w:szCs w:val="22"/>
              </w:rPr>
              <w:t>APROBADO POR:</w:t>
            </w:r>
          </w:p>
        </w:tc>
        <w:tc>
          <w:tcPr>
            <w:tcW w:w="5936" w:type="dxa"/>
            <w:tcBorders>
              <w:top w:val="single" w:sz="6" w:space="0" w:color="auto"/>
              <w:left w:val="single" w:sz="6" w:space="0" w:color="auto"/>
              <w:bottom w:val="single" w:sz="6" w:space="0" w:color="auto"/>
              <w:right w:val="single" w:sz="6" w:space="0" w:color="auto"/>
            </w:tcBorders>
            <w:vAlign w:val="center"/>
            <w:hideMark/>
          </w:tcPr>
          <w:p w14:paraId="56FF3E24" w14:textId="77777777" w:rsidR="005A46EB" w:rsidRPr="007E269E" w:rsidRDefault="005A46EB" w:rsidP="002D39A3">
            <w:pPr>
              <w:pStyle w:val="Piedepgina"/>
              <w:ind w:right="360"/>
              <w:jc w:val="both"/>
              <w:rPr>
                <w:rFonts w:ascii="Arial Narrow" w:hAnsi="Arial Narrow" w:cs="Arial"/>
                <w:b/>
                <w:sz w:val="22"/>
                <w:szCs w:val="22"/>
              </w:rPr>
            </w:pPr>
            <w:r w:rsidRPr="007E269E">
              <w:rPr>
                <w:rFonts w:ascii="Arial Narrow" w:hAnsi="Arial Narrow" w:cs="Arial"/>
                <w:b/>
                <w:sz w:val="22"/>
                <w:szCs w:val="22"/>
              </w:rPr>
              <w:t xml:space="preserve">Nombre:          </w:t>
            </w:r>
            <w:r w:rsidRPr="007E269E">
              <w:rPr>
                <w:rFonts w:ascii="Arial Narrow" w:hAnsi="Arial Narrow" w:cs="Arial"/>
                <w:i/>
                <w:sz w:val="22"/>
                <w:szCs w:val="22"/>
              </w:rPr>
              <w:t>Marcial Gilberto Grueso</w:t>
            </w:r>
          </w:p>
          <w:p w14:paraId="18FFCBF7" w14:textId="77777777" w:rsidR="005A46EB" w:rsidRPr="007E269E" w:rsidRDefault="005A46EB" w:rsidP="002D39A3">
            <w:pPr>
              <w:pStyle w:val="Piedepgina"/>
              <w:tabs>
                <w:tab w:val="clear" w:pos="4252"/>
                <w:tab w:val="center" w:pos="4325"/>
              </w:tabs>
              <w:ind w:right="-70"/>
              <w:jc w:val="both"/>
              <w:rPr>
                <w:rFonts w:ascii="Arial Narrow" w:hAnsi="Arial Narrow" w:cs="Arial"/>
                <w:i/>
                <w:sz w:val="22"/>
                <w:szCs w:val="22"/>
              </w:rPr>
            </w:pPr>
            <w:r w:rsidRPr="007E269E">
              <w:rPr>
                <w:rFonts w:ascii="Arial Narrow" w:hAnsi="Arial Narrow" w:cs="Arial"/>
                <w:b/>
                <w:sz w:val="22"/>
                <w:szCs w:val="22"/>
              </w:rPr>
              <w:t xml:space="preserve">Cargo:             </w:t>
            </w:r>
            <w:r w:rsidRPr="007E269E">
              <w:rPr>
                <w:rFonts w:ascii="Arial Narrow" w:hAnsi="Arial Narrow" w:cs="Arial"/>
                <w:i/>
                <w:sz w:val="22"/>
                <w:szCs w:val="22"/>
              </w:rPr>
              <w:t>Subdirector Financiero</w:t>
            </w:r>
          </w:p>
          <w:p w14:paraId="284070E3" w14:textId="77777777" w:rsidR="005A46EB" w:rsidRPr="007E269E" w:rsidRDefault="005A46EB" w:rsidP="002D39A3">
            <w:pPr>
              <w:pStyle w:val="Piedepgina"/>
              <w:ind w:right="360"/>
              <w:jc w:val="both"/>
              <w:rPr>
                <w:rFonts w:ascii="Arial Narrow" w:hAnsi="Arial Narrow" w:cs="Arial"/>
                <w:sz w:val="22"/>
                <w:szCs w:val="22"/>
              </w:rPr>
            </w:pPr>
            <w:r w:rsidRPr="007E269E">
              <w:rPr>
                <w:rFonts w:ascii="Arial Narrow" w:hAnsi="Arial Narrow" w:cs="Arial"/>
                <w:b/>
                <w:sz w:val="22"/>
                <w:szCs w:val="22"/>
              </w:rPr>
              <w:t>Dependencia:</w:t>
            </w:r>
            <w:r w:rsidRPr="007E269E">
              <w:rPr>
                <w:rFonts w:ascii="Arial Narrow" w:hAnsi="Arial Narrow" w:cs="Arial"/>
                <w:sz w:val="22"/>
                <w:szCs w:val="22"/>
              </w:rPr>
              <w:t xml:space="preserve"> </w:t>
            </w:r>
            <w:r w:rsidRPr="007E269E">
              <w:rPr>
                <w:rFonts w:ascii="Arial Narrow" w:hAnsi="Arial Narrow" w:cs="Arial"/>
                <w:i/>
                <w:sz w:val="22"/>
                <w:szCs w:val="22"/>
              </w:rPr>
              <w:t>Subdirección Financiera</w:t>
            </w:r>
          </w:p>
          <w:p w14:paraId="4B378A1C" w14:textId="7343E515" w:rsidR="005A46EB" w:rsidRPr="007E269E" w:rsidRDefault="005A46EB" w:rsidP="00652463">
            <w:pPr>
              <w:pStyle w:val="Piedepgina"/>
              <w:ind w:right="360"/>
              <w:jc w:val="both"/>
              <w:rPr>
                <w:rFonts w:ascii="Arial Narrow" w:hAnsi="Arial Narrow" w:cs="Arial"/>
                <w:b/>
                <w:sz w:val="22"/>
                <w:szCs w:val="22"/>
              </w:rPr>
            </w:pPr>
            <w:r w:rsidRPr="007E269E">
              <w:rPr>
                <w:rFonts w:ascii="Arial Narrow" w:hAnsi="Arial Narrow" w:cs="Arial"/>
                <w:b/>
                <w:sz w:val="22"/>
                <w:szCs w:val="22"/>
              </w:rPr>
              <w:t xml:space="preserve">Fecha:             </w:t>
            </w:r>
            <w:r w:rsidR="00D20C27">
              <w:rPr>
                <w:rFonts w:ascii="Arial Narrow" w:hAnsi="Arial Narrow" w:cs="Arial"/>
                <w:i/>
                <w:sz w:val="22"/>
                <w:szCs w:val="22"/>
              </w:rPr>
              <w:t>21</w:t>
            </w:r>
            <w:r w:rsidRPr="007E269E">
              <w:rPr>
                <w:rFonts w:ascii="Arial Narrow" w:hAnsi="Arial Narrow" w:cs="Arial"/>
                <w:i/>
                <w:sz w:val="22"/>
                <w:szCs w:val="22"/>
              </w:rPr>
              <w:t>-</w:t>
            </w:r>
            <w:r w:rsidR="00840437" w:rsidRPr="007E269E">
              <w:rPr>
                <w:rFonts w:ascii="Arial Narrow" w:hAnsi="Arial Narrow" w:cs="Arial"/>
                <w:i/>
                <w:sz w:val="22"/>
                <w:szCs w:val="22"/>
              </w:rPr>
              <w:t>12</w:t>
            </w:r>
            <w:r w:rsidRPr="007E269E">
              <w:rPr>
                <w:rFonts w:ascii="Arial Narrow" w:hAnsi="Arial Narrow" w:cs="Arial"/>
                <w:i/>
                <w:sz w:val="22"/>
                <w:szCs w:val="22"/>
              </w:rPr>
              <w:t>-20</w:t>
            </w:r>
            <w:r w:rsidR="00D20C27">
              <w:rPr>
                <w:rFonts w:ascii="Arial Narrow" w:hAnsi="Arial Narrow" w:cs="Arial"/>
                <w:i/>
                <w:sz w:val="22"/>
                <w:szCs w:val="22"/>
              </w:rPr>
              <w:t>20</w:t>
            </w:r>
          </w:p>
        </w:tc>
      </w:tr>
      <w:bookmarkEnd w:id="29"/>
      <w:bookmarkEnd w:id="270"/>
    </w:tbl>
    <w:p w14:paraId="51DE2515" w14:textId="77777777" w:rsidR="00E56F22" w:rsidRPr="00290062" w:rsidRDefault="00E56F22" w:rsidP="00023705">
      <w:pPr>
        <w:jc w:val="both"/>
        <w:rPr>
          <w:rFonts w:ascii="Arial Narrow" w:hAnsi="Arial Narrow" w:cs="Arial"/>
          <w:b/>
          <w:sz w:val="24"/>
          <w:szCs w:val="24"/>
        </w:rPr>
      </w:pPr>
    </w:p>
    <w:sectPr w:rsidR="00E56F22" w:rsidRPr="00290062" w:rsidSect="00A33E48">
      <w:headerReference w:type="default" r:id="rId38"/>
      <w:footerReference w:type="default" r:id="rId39"/>
      <w:pgSz w:w="12242" w:h="15842"/>
      <w:pgMar w:top="1418"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03A6A" w14:textId="77777777" w:rsidR="00475983" w:rsidRDefault="00475983">
      <w:r>
        <w:separator/>
      </w:r>
    </w:p>
  </w:endnote>
  <w:endnote w:type="continuationSeparator" w:id="0">
    <w:p w14:paraId="337A14F0" w14:textId="77777777" w:rsidR="00475983" w:rsidRDefault="0047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Ubuntu">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ormata LightCondensed">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7D549" w14:textId="77777777" w:rsidR="00EF3D59" w:rsidRDefault="00EF3D59" w:rsidP="004A0461">
    <w:pPr>
      <w:pStyle w:val="Piedepgina"/>
      <w:rPr>
        <w:rFonts w:ascii="Arial Narrow" w:hAnsi="Arial Narrow"/>
        <w:sz w:val="16"/>
        <w:szCs w:val="16"/>
        <w:lang w:val="es-CO"/>
      </w:rPr>
    </w:pPr>
  </w:p>
  <w:p w14:paraId="7BDE1494" w14:textId="77777777" w:rsidR="00EF3D59" w:rsidRDefault="00EF3D59" w:rsidP="004A0461">
    <w:pPr>
      <w:pStyle w:val="Piedepgina"/>
      <w:rPr>
        <w:rFonts w:ascii="Arial Narrow" w:hAnsi="Arial Narrow"/>
        <w:sz w:val="16"/>
        <w:szCs w:val="16"/>
        <w:lang w:val="es-CO"/>
      </w:rPr>
    </w:pPr>
  </w:p>
  <w:p w14:paraId="11C86169" w14:textId="77777777" w:rsidR="00EF3D59" w:rsidRPr="00ED2BFC" w:rsidRDefault="00EF3D59">
    <w:pPr>
      <w:pStyle w:val="Piedepgina"/>
      <w:rPr>
        <w:lang w:val="es-CO"/>
      </w:rPr>
    </w:pPr>
    <w:r>
      <w:rPr>
        <w:rFonts w:ascii="Arial Narrow" w:hAnsi="Arial Narrow"/>
        <w:sz w:val="16"/>
        <w:szCs w:val="16"/>
        <w:lang w:val="es-CO"/>
      </w:rPr>
      <w:t xml:space="preserve">Est.1.4.Fr8 Plantilla Instructivo o Manual  </w:t>
    </w:r>
    <w:r w:rsidRPr="00C52040">
      <w:rPr>
        <w:rFonts w:ascii="Arial Narrow" w:hAnsi="Arial Narrow"/>
        <w:sz w:val="16"/>
        <w:szCs w:val="16"/>
        <w:lang w:val="es-CO"/>
      </w:rPr>
      <w:t>V.</w:t>
    </w:r>
    <w:r>
      <w:rPr>
        <w:rFonts w:ascii="Arial Narrow" w:hAnsi="Arial Narrow"/>
        <w:sz w:val="16"/>
        <w:szCs w:val="16"/>
        <w:lang w:val="es-CO"/>
      </w:rPr>
      <w:t>1</w:t>
    </w:r>
  </w:p>
  <w:p w14:paraId="4F4DC57F" w14:textId="77777777" w:rsidR="00EF3D59" w:rsidRDefault="00EF3D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C329D" w14:textId="77777777" w:rsidR="00475983" w:rsidRDefault="00475983">
      <w:r>
        <w:separator/>
      </w:r>
    </w:p>
  </w:footnote>
  <w:footnote w:type="continuationSeparator" w:id="0">
    <w:p w14:paraId="722829D4" w14:textId="77777777" w:rsidR="00475983" w:rsidRDefault="00475983">
      <w:r>
        <w:continuationSeparator/>
      </w:r>
    </w:p>
  </w:footnote>
  <w:footnote w:id="1">
    <w:p w14:paraId="5900B708" w14:textId="2464812B" w:rsidR="00EF3D59" w:rsidRPr="00CA76B9" w:rsidRDefault="00EF3D59" w:rsidP="00FE68CE">
      <w:pPr>
        <w:pStyle w:val="Textonotapie"/>
        <w:spacing w:line="288" w:lineRule="auto"/>
        <w:jc w:val="both"/>
        <w:rPr>
          <w:rFonts w:ascii="Arial" w:hAnsi="Arial" w:cs="Arial"/>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Ver Ayuda de memoria de reunión celebrada en la Dirección Administrativa el 20 de diciembre de 2012, cuyo objetivo principal consistía en analizar las acciones de mejora producto de la visita de auditoría a la vigencia fiscal 2011- Creación Comité de Sostenibilidad Contable. </w:t>
      </w:r>
    </w:p>
    <w:p w14:paraId="0B7A9743" w14:textId="77777777" w:rsidR="00EF3D59" w:rsidRPr="00FE68CE" w:rsidRDefault="00EF3D59" w:rsidP="00FE68CE">
      <w:pPr>
        <w:pStyle w:val="Textonotapie"/>
        <w:jc w:val="both"/>
        <w:rPr>
          <w:rFonts w:ascii="Arial" w:hAnsi="Arial" w:cs="Arial"/>
        </w:rPr>
      </w:pPr>
    </w:p>
  </w:footnote>
  <w:footnote w:id="2">
    <w:p w14:paraId="7909984A" w14:textId="77777777" w:rsidR="00EF3D59" w:rsidRPr="00CA76B9" w:rsidRDefault="00EF3D59" w:rsidP="0046335B">
      <w:pPr>
        <w:pStyle w:val="Textonotapie"/>
        <w:rPr>
          <w:rFonts w:ascii="Arial" w:hAnsi="Arial" w:cs="Arial"/>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Artículo 2.9.1.1.2. del Decreto 1068 de 2015</w:t>
      </w:r>
    </w:p>
  </w:footnote>
  <w:footnote w:id="3">
    <w:p w14:paraId="00243C82" w14:textId="42A23915" w:rsidR="00EF3D59" w:rsidRPr="00CA76B9" w:rsidRDefault="00EF3D59" w:rsidP="00DE1B37">
      <w:pPr>
        <w:pStyle w:val="Textonotapie"/>
        <w:spacing w:line="288" w:lineRule="auto"/>
        <w:jc w:val="both"/>
        <w:rPr>
          <w:rFonts w:ascii="Arial" w:hAnsi="Arial" w:cs="Arial"/>
          <w:color w:val="000000"/>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Para el registro de la información en SIIF, la administración del sistema ha publicado documentos y guías orientativas, las cuales pueden ser consultadas en el siguiente enlace: </w:t>
      </w:r>
      <w:hyperlink r:id="rId1" w:history="1">
        <w:r w:rsidRPr="00CA76B9">
          <w:rPr>
            <w:rStyle w:val="Hipervnculo"/>
            <w:rFonts w:ascii="Arial" w:hAnsi="Arial" w:cs="Arial"/>
            <w:sz w:val="16"/>
            <w:szCs w:val="16"/>
          </w:rPr>
          <w:t>https://www.minhacienda.gov.co/webcenter/portal/SIIFNacion</w:t>
        </w:r>
      </w:hyperlink>
    </w:p>
    <w:p w14:paraId="0931F0D1" w14:textId="77777777" w:rsidR="00EF3D59" w:rsidRPr="00CA76B9" w:rsidRDefault="00EF3D59" w:rsidP="00DE1B37">
      <w:pPr>
        <w:pStyle w:val="Textonotapie"/>
        <w:spacing w:line="288" w:lineRule="auto"/>
        <w:jc w:val="both"/>
        <w:rPr>
          <w:rFonts w:ascii="Arial" w:hAnsi="Arial" w:cs="Arial"/>
          <w:sz w:val="16"/>
          <w:szCs w:val="16"/>
        </w:rPr>
      </w:pPr>
    </w:p>
  </w:footnote>
  <w:footnote w:id="4">
    <w:p w14:paraId="5BF02E22" w14:textId="1C8D0E51" w:rsidR="00EF3D59" w:rsidRPr="00CA76B9" w:rsidRDefault="00EF3D59" w:rsidP="00DE1B37">
      <w:pPr>
        <w:pStyle w:val="Textonotapie"/>
        <w:spacing w:line="288" w:lineRule="auto"/>
        <w:jc w:val="both"/>
        <w:rPr>
          <w:rFonts w:ascii="Arial" w:hAnsi="Arial" w:cs="Arial"/>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Para mayor información, consulte el instructivo que se encuentra publicado en la página web de la Contaduría General de la Nación, en el enlace: www.contaduria.gov.co/productos/sistemas de información/SIIF, en el que además se encuentra documentación que orienta acerca de la Implementación de normas, procedimientos y doctrina contable en el SIIF Nación. </w:t>
      </w:r>
    </w:p>
    <w:p w14:paraId="2826BD03" w14:textId="77777777" w:rsidR="00EF3D59" w:rsidRPr="00AE3131" w:rsidRDefault="00EF3D59" w:rsidP="0046335B">
      <w:pPr>
        <w:pStyle w:val="Textonotapie"/>
        <w:rPr>
          <w:rFonts w:ascii="Arial" w:hAnsi="Arial" w:cs="Arial"/>
          <w:sz w:val="16"/>
          <w:szCs w:val="16"/>
        </w:rPr>
      </w:pPr>
    </w:p>
  </w:footnote>
  <w:footnote w:id="5">
    <w:p w14:paraId="712DF181" w14:textId="77777777" w:rsidR="00EF3D59" w:rsidRPr="00CA76B9" w:rsidRDefault="00EF3D59" w:rsidP="0046335B">
      <w:pPr>
        <w:jc w:val="both"/>
        <w:rPr>
          <w:rFonts w:ascii="Arial" w:hAnsi="Arial" w:cs="Arial"/>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Para el caso del Ministerio de Hacienda y Crédito Público, el código de consolidación asignado es el 011500000.</w:t>
      </w:r>
    </w:p>
    <w:p w14:paraId="0A96E4C4" w14:textId="77777777" w:rsidR="00EF3D59" w:rsidRPr="001A7788" w:rsidRDefault="00EF3D59" w:rsidP="0046335B">
      <w:pPr>
        <w:pStyle w:val="Textonotapie"/>
        <w:rPr>
          <w:lang w:val="es-ES"/>
        </w:rPr>
      </w:pPr>
    </w:p>
  </w:footnote>
  <w:footnote w:id="6">
    <w:p w14:paraId="799B65B9" w14:textId="77777777" w:rsidR="00EF3D59" w:rsidRPr="00FA37EB" w:rsidRDefault="00EF3D59" w:rsidP="00FA37EB">
      <w:pPr>
        <w:jc w:val="both"/>
        <w:rPr>
          <w:rFonts w:ascii="Arial" w:hAnsi="Arial" w:cs="Arial"/>
          <w:sz w:val="10"/>
          <w:szCs w:val="10"/>
        </w:rPr>
      </w:pPr>
      <w:r w:rsidRPr="00DB6F34">
        <w:rPr>
          <w:rStyle w:val="Refdenotaalpie"/>
          <w:rFonts w:ascii="Arial" w:hAnsi="Arial" w:cs="Arial"/>
          <w:sz w:val="16"/>
          <w:szCs w:val="16"/>
        </w:rPr>
        <w:footnoteRef/>
      </w:r>
      <w:r w:rsidRPr="00DB6F34">
        <w:rPr>
          <w:rFonts w:ascii="Arial" w:hAnsi="Arial" w:cs="Arial"/>
          <w:sz w:val="16"/>
          <w:szCs w:val="16"/>
        </w:rPr>
        <w:t xml:space="preserve"> El detalle de la gestión contable de la caja menor puede ser consultado en el documento denominado  “Registro de los hechos económicos relacionados con los recursos de caja menor en los sistemas de información integrados nacionales (SIIF y SPGR)”, el cual puede ser consultado en:</w:t>
      </w:r>
      <w:r w:rsidRPr="00CA77F2">
        <w:rPr>
          <w:rFonts w:ascii="Arial" w:hAnsi="Arial" w:cs="Arial"/>
          <w:sz w:val="16"/>
          <w:szCs w:val="16"/>
        </w:rPr>
        <w:t xml:space="preserve"> </w:t>
      </w:r>
      <w:r w:rsidRPr="00FA37EB">
        <w:rPr>
          <w:rFonts w:ascii="Arial" w:hAnsi="Arial" w:cs="Arial"/>
          <w:sz w:val="10"/>
          <w:szCs w:val="10"/>
        </w:rPr>
        <w:t>https://www.contaduria.gov.co/sistemas-de-informacion/-/document_library/zAj5jkw77X2x/view_file/46612?_com_liferay_document_library_web_portlet_DLPortlet_INSTANCE_zAj5jkw77X2x_redirect=https%3A%2F%2Fwww.contaduria.gov.co%3A443%2Fsistemas-de-informacion%2F-%2Fdocument_library%2FzAj5jkw77X2x%2Fview%2F36246%3F_com_liferay_document_library_web_portlet_DLPortlet_INSTANCE_zAj5jkw77X2x_navigation%3Dhome%26_com_liferay_document_library_web_portlet_DLPortlet_INSTANCE_zAj5jkw77X2x_deltaFolder%3D%26_com_liferay_document_library_web_portlet_DLPortlet_INSTANCE_zAj5jkw77X2x_orderByCol%3DmodifiedDate%26_com_liferay_document_library_web_portlet_DLPortlet_INSTANCE_zAj5jkw77X2x_curFolder%3D%26_com_liferay_document_library_web_portlet_DLPortlet_INSTANCE_zAj5jkw77X2x_curEntry%3D1%26_com_liferay_document_library_web_portlet_DLPortlet_INSTANCE_zAj5jkw77X2x_orderByType%3Ddesc%26p_r_p_resetCur%3Dfalse%26_com_liferay_document_library_web_portlet_DLPortlet_INSTANCE_zAj5jkw77X2x_deltaEntry%3D10</w:t>
      </w:r>
    </w:p>
    <w:p w14:paraId="59D2F344" w14:textId="599A6CCE" w:rsidR="00EF3D59" w:rsidRPr="00CA77F2" w:rsidRDefault="00EF3D59" w:rsidP="00CA77F2">
      <w:pPr>
        <w:pStyle w:val="Textonotapie"/>
        <w:spacing w:line="288" w:lineRule="auto"/>
        <w:jc w:val="both"/>
        <w:rPr>
          <w:rFonts w:ascii="Arial" w:hAnsi="Arial" w:cs="Arial"/>
          <w:sz w:val="16"/>
          <w:szCs w:val="16"/>
        </w:rPr>
      </w:pPr>
    </w:p>
    <w:p w14:paraId="0CCB5D29" w14:textId="77777777" w:rsidR="00EF3D59" w:rsidRPr="00CA77F2" w:rsidRDefault="00EF3D59" w:rsidP="00CA77F2">
      <w:pPr>
        <w:pStyle w:val="Textonotapie"/>
        <w:spacing w:line="288" w:lineRule="auto"/>
        <w:jc w:val="both"/>
        <w:rPr>
          <w:rFonts w:ascii="Arial" w:hAnsi="Arial" w:cs="Arial"/>
          <w:sz w:val="16"/>
          <w:szCs w:val="16"/>
        </w:rPr>
      </w:pPr>
      <w:r w:rsidRPr="00CA77F2">
        <w:rPr>
          <w:rFonts w:ascii="Arial" w:hAnsi="Arial" w:cs="Arial"/>
          <w:sz w:val="16"/>
          <w:szCs w:val="16"/>
        </w:rPr>
        <w:tab/>
      </w:r>
    </w:p>
  </w:footnote>
  <w:footnote w:id="7">
    <w:p w14:paraId="269FFABF" w14:textId="7F1E179E" w:rsidR="00EF3D59" w:rsidRPr="00CA77F2" w:rsidRDefault="00EF3D59" w:rsidP="00EB68D4">
      <w:pPr>
        <w:pStyle w:val="Textonotapie"/>
        <w:spacing w:line="288" w:lineRule="auto"/>
        <w:jc w:val="both"/>
        <w:rPr>
          <w:rFonts w:ascii="Arial" w:hAnsi="Arial" w:cs="Arial"/>
          <w:sz w:val="16"/>
          <w:szCs w:val="16"/>
        </w:rPr>
      </w:pPr>
      <w:r w:rsidRPr="00CA77F2">
        <w:rPr>
          <w:rStyle w:val="Refdenotaalpie"/>
          <w:rFonts w:ascii="Arial" w:hAnsi="Arial" w:cs="Arial"/>
          <w:sz w:val="16"/>
          <w:szCs w:val="16"/>
        </w:rPr>
        <w:footnoteRef/>
      </w:r>
      <w:r w:rsidRPr="00CA77F2">
        <w:rPr>
          <w:rFonts w:ascii="Arial" w:hAnsi="Arial" w:cs="Arial"/>
          <w:sz w:val="16"/>
          <w:szCs w:val="16"/>
        </w:rPr>
        <w:t xml:space="preserve"> Ver detalle en el documento de la Contaduría General de la Nación denominado </w:t>
      </w:r>
      <w:r w:rsidRPr="00D419F3">
        <w:rPr>
          <w:rFonts w:ascii="Arial" w:hAnsi="Arial" w:cs="Arial"/>
          <w:i/>
          <w:iCs/>
          <w:sz w:val="16"/>
          <w:szCs w:val="16"/>
        </w:rPr>
        <w:t xml:space="preserve">“Definición contable rubros de funcionamiento e inversión, retención en la fuente y auxiliar tercero”, </w:t>
      </w:r>
      <w:r w:rsidRPr="00CA77F2">
        <w:rPr>
          <w:rFonts w:ascii="Arial" w:hAnsi="Arial" w:cs="Arial"/>
          <w:sz w:val="16"/>
          <w:szCs w:val="16"/>
        </w:rPr>
        <w:t xml:space="preserve">el cual puede ser consultado en el siguiente enlace: </w:t>
      </w:r>
      <w:r w:rsidRPr="00EB68D4">
        <w:rPr>
          <w:rFonts w:ascii="Arial" w:hAnsi="Arial" w:cs="Arial"/>
          <w:sz w:val="10"/>
          <w:szCs w:val="10"/>
        </w:rPr>
        <w:t>https://www.contaduria.gov.co/sistemas-de-informacion/-/document_library/zAj5jkw77X2x/view_file/46631?_com_liferay_document_library_web_portlet_DLPortlet_INSTANCE_zAj5jkw77X2x_redirect=https%3A%2F%2Fwww.contaduria.gov.co%3A443%2Fsistemas-de-informacion%3Fp_p_id%3Dcom_liferay_document_library_web_portlet_DLPortlet_INSTANCE_zAj5jkw77X2x%26p_p_lifecycle%3D0%26p_p_state%3Dnormal%26p_p_mode%3Dview%26_com_liferay_document_library_web_portlet_DLPortlet_INSTANCE_zAj5jkw77X2x_mvcRenderCommandName%3D%252Fdocument_library%252Fsearch%26_com_liferay_document_library_web_portlet_DLPortlet_INSTANCE_zAj5jkw77X2x_searchFolderId%3D36246%26_com_liferay_document_library_web_portlet_DLPortlet_INSTANCE_zAj5jkw77X2x_searchRepositoryId%3D20127%26_com_liferay_document_library_web_portlet_DLPortlet_INSTANCE_zAj5jkw77X2x_keywords%3DCIRCULAR%2BEXTERNA%2B%26_com_liferay_document_library_web_portlet_DLPortlet_INSTANCE_zAj5jkw77X2x_showSearchInfo%3Dtrue%26_com_liferay_document_library_web_portlet_DLPortlet_INSTANCE_zAj5jkw77X2x_repositoryId%3D20127%26p_r_p_resetCur%3Dfalse%26_com_liferay_document_library_web_portlet_DLPortlet_INSTANCE_zAj5jkw77X2x_folderId%3D36246</w:t>
      </w:r>
    </w:p>
  </w:footnote>
  <w:footnote w:id="8">
    <w:p w14:paraId="3AE33340" w14:textId="7D385A08" w:rsidR="00EF3D59" w:rsidRPr="00CA77F2" w:rsidRDefault="00EF3D59" w:rsidP="00DE1B37">
      <w:pPr>
        <w:pStyle w:val="Textonotapie"/>
        <w:spacing w:line="288" w:lineRule="auto"/>
        <w:jc w:val="both"/>
        <w:rPr>
          <w:rFonts w:ascii="Arial" w:hAnsi="Arial" w:cs="Arial"/>
          <w:sz w:val="16"/>
          <w:szCs w:val="16"/>
        </w:rPr>
      </w:pPr>
      <w:r w:rsidRPr="00CA77F2">
        <w:rPr>
          <w:rStyle w:val="Refdenotaalpie"/>
          <w:rFonts w:ascii="Arial" w:hAnsi="Arial" w:cs="Arial"/>
          <w:sz w:val="16"/>
          <w:szCs w:val="16"/>
        </w:rPr>
        <w:footnoteRef/>
      </w:r>
      <w:r w:rsidRPr="00CA77F2">
        <w:rPr>
          <w:rFonts w:ascii="Arial" w:hAnsi="Arial" w:cs="Arial"/>
          <w:sz w:val="16"/>
          <w:szCs w:val="16"/>
        </w:rPr>
        <w:t xml:space="preserve"> Las tablas de retención documental actualizadas pueden ser consultadas en el enlace:  </w:t>
      </w:r>
      <w:hyperlink r:id="rId2" w:history="1">
        <w:r w:rsidRPr="00CA77F2">
          <w:rPr>
            <w:rStyle w:val="Hipervnculo"/>
            <w:rFonts w:ascii="Arial" w:hAnsi="Arial" w:cs="Arial"/>
            <w:sz w:val="16"/>
            <w:szCs w:val="16"/>
          </w:rPr>
          <w:t>https://www.minhacienda.gov.co/webcenter/portal/GestinDocumental/pages_instrumentosdegestinpblica1/tablasderetencindocumental</w:t>
        </w:r>
      </w:hyperlink>
    </w:p>
    <w:p w14:paraId="75E2E136" w14:textId="77777777" w:rsidR="00EF3D59" w:rsidRDefault="00EF3D59" w:rsidP="00140BBA">
      <w:pPr>
        <w:pStyle w:val="Textonotapie"/>
        <w:jc w:val="both"/>
      </w:pPr>
    </w:p>
  </w:footnote>
  <w:footnote w:id="9">
    <w:p w14:paraId="44B646C3" w14:textId="77777777" w:rsidR="00EF3D59" w:rsidRPr="00DB6F34" w:rsidRDefault="00EF3D59" w:rsidP="00DE1B37">
      <w:pPr>
        <w:pStyle w:val="Ttulo7"/>
        <w:spacing w:line="288" w:lineRule="auto"/>
        <w:rPr>
          <w:rFonts w:ascii="Arial" w:hAnsi="Arial" w:cs="Arial"/>
          <w:b w:val="0"/>
          <w:color w:val="000000"/>
          <w:sz w:val="16"/>
          <w:szCs w:val="16"/>
        </w:rPr>
      </w:pPr>
      <w:r w:rsidRPr="00477A91">
        <w:rPr>
          <w:rStyle w:val="Refdenotaalpie"/>
          <w:rFonts w:ascii="Arial" w:hAnsi="Arial" w:cs="Arial"/>
          <w:b w:val="0"/>
          <w:sz w:val="16"/>
          <w:szCs w:val="16"/>
        </w:rPr>
        <w:footnoteRef/>
      </w:r>
      <w:r w:rsidRPr="00477A91">
        <w:rPr>
          <w:rFonts w:ascii="Arial" w:hAnsi="Arial" w:cs="Arial"/>
          <w:b w:val="0"/>
          <w:sz w:val="16"/>
          <w:szCs w:val="16"/>
        </w:rPr>
        <w:t xml:space="preserve"> </w:t>
      </w:r>
      <w:r w:rsidRPr="00DB6F34">
        <w:rPr>
          <w:rFonts w:ascii="Arial" w:hAnsi="Arial" w:cs="Arial"/>
          <w:b w:val="0"/>
          <w:sz w:val="16"/>
          <w:szCs w:val="16"/>
        </w:rPr>
        <w:t>Corresponde a un conjunto de agrupaciones de subcuentas, que identifican las diferentes Operaciones Recíprocas efectuadas entre las entidades contables públicas. Estas operaciones se eliminan en el proceso de consolidación, con el fin de evitar la sobrestimación generada por la doble acumulación de valores. Deberán utilizarse al momento de registrar la información en los formularios: CGN2005_001_SALDOS_Y_MOVIMIENTOS y CGN2005_002_SALDOS_DE_</w:t>
      </w:r>
      <w:r w:rsidRPr="00DB6F34">
        <w:rPr>
          <w:rFonts w:ascii="Arial" w:hAnsi="Arial" w:cs="Arial"/>
          <w:b w:val="0"/>
          <w:color w:val="000000"/>
          <w:sz w:val="16"/>
          <w:szCs w:val="16"/>
        </w:rPr>
        <w:t xml:space="preserve">OPERACIONES_RECIPROCAS. </w:t>
      </w:r>
    </w:p>
    <w:p w14:paraId="1FC575E4" w14:textId="77777777" w:rsidR="00EF3D59" w:rsidRPr="00DB6F34" w:rsidRDefault="00EF3D59" w:rsidP="00DE1B37">
      <w:pPr>
        <w:spacing w:line="288" w:lineRule="auto"/>
        <w:rPr>
          <w:rFonts w:ascii="Arial" w:hAnsi="Arial" w:cs="Arial"/>
          <w:sz w:val="16"/>
          <w:szCs w:val="16"/>
        </w:rPr>
      </w:pPr>
    </w:p>
    <w:p w14:paraId="75487781" w14:textId="43369F6A" w:rsidR="00EF3D59" w:rsidRPr="00DB6F34" w:rsidRDefault="00EF3D59" w:rsidP="00DE1B37">
      <w:pPr>
        <w:spacing w:line="288" w:lineRule="auto"/>
        <w:jc w:val="both"/>
        <w:rPr>
          <w:rFonts w:ascii="Arial" w:hAnsi="Arial" w:cs="Arial"/>
          <w:color w:val="000000"/>
          <w:sz w:val="16"/>
          <w:szCs w:val="16"/>
        </w:rPr>
      </w:pPr>
      <w:r w:rsidRPr="00DB6F34">
        <w:rPr>
          <w:rFonts w:ascii="Arial" w:hAnsi="Arial" w:cs="Arial"/>
          <w:color w:val="000000"/>
          <w:sz w:val="16"/>
          <w:szCs w:val="16"/>
        </w:rPr>
        <w:t xml:space="preserve">Para consultar las reglas de eliminación vigentes para cada periodo, se debe ingresar a la página web de la Contaduría General de la Nación </w:t>
      </w:r>
      <w:hyperlink r:id="rId3" w:history="1">
        <w:r w:rsidRPr="00DB6F34">
          <w:rPr>
            <w:rStyle w:val="Hipervnculo"/>
            <w:rFonts w:ascii="Arial" w:hAnsi="Arial" w:cs="Arial"/>
            <w:sz w:val="16"/>
            <w:szCs w:val="16"/>
          </w:rPr>
          <w:t>www.contaduria.gov.co</w:t>
        </w:r>
      </w:hyperlink>
      <w:r w:rsidRPr="00DB6F34">
        <w:rPr>
          <w:rFonts w:ascii="Arial" w:hAnsi="Arial" w:cs="Arial"/>
          <w:color w:val="000000"/>
          <w:sz w:val="16"/>
          <w:szCs w:val="16"/>
        </w:rPr>
        <w:t>, en la opción Productos/Reglas de eliminación.</w:t>
      </w:r>
    </w:p>
    <w:p w14:paraId="781D7B3C" w14:textId="77777777" w:rsidR="00EF3D59" w:rsidRPr="00F06806" w:rsidRDefault="00EF3D59" w:rsidP="0046335B">
      <w:pPr>
        <w:jc w:val="both"/>
        <w:rPr>
          <w:rFonts w:ascii="Arial" w:hAnsi="Arial" w:cs="Arial"/>
          <w:color w:val="000000"/>
          <w:sz w:val="16"/>
          <w:szCs w:val="16"/>
        </w:rPr>
      </w:pPr>
      <w:r w:rsidRPr="00F06806">
        <w:rPr>
          <w:rFonts w:ascii="Arial" w:hAnsi="Arial" w:cs="Arial"/>
          <w:color w:val="000000"/>
          <w:sz w:val="16"/>
          <w:szCs w:val="16"/>
        </w:rPr>
        <w:t xml:space="preserve"> </w:t>
      </w:r>
    </w:p>
    <w:p w14:paraId="1E0D91E1" w14:textId="77777777" w:rsidR="00EF3D59" w:rsidRDefault="00EF3D59" w:rsidP="0046335B">
      <w:pPr>
        <w:pStyle w:val="Textonotapie"/>
      </w:pPr>
    </w:p>
  </w:footnote>
  <w:footnote w:id="10">
    <w:p w14:paraId="38A24851" w14:textId="1FC03593" w:rsidR="00EF3D59" w:rsidRPr="00DB6F34" w:rsidRDefault="00EF3D59" w:rsidP="00F2733A">
      <w:pPr>
        <w:pStyle w:val="Textonotapie"/>
        <w:jc w:val="both"/>
        <w:rPr>
          <w:rFonts w:ascii="Arial" w:hAnsi="Arial" w:cs="Arial"/>
          <w:sz w:val="16"/>
          <w:szCs w:val="16"/>
          <w:lang w:val="es-MX"/>
        </w:rPr>
      </w:pPr>
      <w:r w:rsidRPr="00DB6F34">
        <w:rPr>
          <w:rStyle w:val="Refdenotaalpie"/>
          <w:rFonts w:ascii="Arial" w:hAnsi="Arial" w:cs="Arial"/>
          <w:sz w:val="16"/>
          <w:szCs w:val="16"/>
        </w:rPr>
        <w:footnoteRef/>
      </w:r>
      <w:r w:rsidRPr="00DB6F34">
        <w:rPr>
          <w:rFonts w:ascii="Arial" w:hAnsi="Arial" w:cs="Arial"/>
          <w:sz w:val="16"/>
          <w:szCs w:val="16"/>
        </w:rPr>
        <w:t xml:space="preserve"> Para el detalle de las operaciones, véase:</w:t>
      </w:r>
      <w:r w:rsidRPr="00DB6F34">
        <w:rPr>
          <w:rFonts w:ascii="Arial" w:hAnsi="Arial" w:cs="Arial"/>
          <w:i/>
          <w:iCs/>
          <w:sz w:val="16"/>
          <w:szCs w:val="16"/>
        </w:rPr>
        <w:t xml:space="preserve"> </w:t>
      </w:r>
      <w:r w:rsidRPr="00DB6F34">
        <w:rPr>
          <w:rFonts w:ascii="Arial" w:hAnsi="Arial" w:cs="Arial"/>
          <w:sz w:val="16"/>
          <w:szCs w:val="16"/>
        </w:rPr>
        <w:t xml:space="preserve">el procedimiento </w:t>
      </w:r>
      <w:r w:rsidRPr="00DB6F34">
        <w:rPr>
          <w:rFonts w:ascii="Arial" w:hAnsi="Arial" w:cs="Arial"/>
          <w:i/>
          <w:iCs/>
          <w:sz w:val="16"/>
          <w:szCs w:val="16"/>
        </w:rPr>
        <w:t>“Apo.3.Pro.5. Preparación, presentación y publicación de los Estados Financieros, y demás reportes e informes financieros y contables del MHCP- Gestión General”</w:t>
      </w:r>
      <w:r w:rsidRPr="00DB6F34">
        <w:rPr>
          <w:rFonts w:ascii="Arial" w:hAnsi="Arial" w:cs="Arial"/>
          <w:sz w:val="16"/>
          <w:szCs w:val="16"/>
        </w:rPr>
        <w:t xml:space="preserve">, y los instructivos </w:t>
      </w:r>
      <w:r w:rsidRPr="00DB6F34">
        <w:rPr>
          <w:rFonts w:ascii="Arial" w:hAnsi="Arial" w:cs="Arial"/>
          <w:i/>
          <w:iCs/>
          <w:sz w:val="16"/>
          <w:szCs w:val="16"/>
        </w:rPr>
        <w:t>“Apo.3.Pro.5.Ins.3. Consulta de reportes contables, en el Sistema de Información Integrado ORACLE- FINANCIERO</w:t>
      </w:r>
      <w:r w:rsidRPr="00DB6F34">
        <w:rPr>
          <w:rFonts w:ascii="Arial" w:hAnsi="Arial" w:cs="Arial"/>
          <w:sz w:val="16"/>
          <w:szCs w:val="16"/>
        </w:rPr>
        <w:t xml:space="preserve">” y </w:t>
      </w:r>
      <w:r w:rsidRPr="00DB6F34">
        <w:rPr>
          <w:rFonts w:ascii="Arial" w:hAnsi="Arial" w:cs="Arial"/>
          <w:i/>
          <w:iCs/>
          <w:sz w:val="16"/>
          <w:szCs w:val="16"/>
        </w:rPr>
        <w:t>“Apo.3.Pro.5.Ins.5. Elaboración, presentación y publicación de reportes, estados contables, y demás informes”.</w:t>
      </w:r>
    </w:p>
  </w:footnote>
  <w:footnote w:id="11">
    <w:p w14:paraId="09A21991" w14:textId="77777777" w:rsidR="00EF3D59" w:rsidRDefault="00EF3D59" w:rsidP="002C7D53">
      <w:pPr>
        <w:pStyle w:val="Textonotapie"/>
        <w:spacing w:line="288" w:lineRule="auto"/>
        <w:jc w:val="both"/>
        <w:rPr>
          <w:rFonts w:ascii="Arial" w:hAnsi="Arial" w:cs="Arial"/>
          <w:sz w:val="16"/>
          <w:szCs w:val="16"/>
        </w:rPr>
      </w:pPr>
      <w:r w:rsidRPr="0075284A">
        <w:rPr>
          <w:rStyle w:val="Refdenotaalpie"/>
          <w:rFonts w:ascii="Arial" w:hAnsi="Arial" w:cs="Arial"/>
          <w:sz w:val="16"/>
          <w:szCs w:val="16"/>
        </w:rPr>
        <w:footnoteRef/>
      </w:r>
      <w:r w:rsidRPr="0075284A">
        <w:rPr>
          <w:rFonts w:ascii="Arial" w:hAnsi="Arial" w:cs="Arial"/>
          <w:sz w:val="16"/>
          <w:szCs w:val="16"/>
        </w:rPr>
        <w:t xml:space="preserve"> De acuerdo con lo establecido en el parágrafo transitorio del artículo </w:t>
      </w:r>
      <w:r w:rsidRPr="0075284A">
        <w:rPr>
          <w:rFonts w:ascii="Arial" w:hAnsi="Arial" w:cs="Arial"/>
          <w:b/>
          <w:sz w:val="16"/>
          <w:szCs w:val="16"/>
        </w:rPr>
        <w:t xml:space="preserve">2°. Vigencia y derogatorias </w:t>
      </w:r>
      <w:r w:rsidRPr="0075284A">
        <w:rPr>
          <w:rFonts w:ascii="Arial" w:hAnsi="Arial" w:cs="Arial"/>
          <w:sz w:val="16"/>
          <w:szCs w:val="16"/>
        </w:rPr>
        <w:t>de la Resolución 182 de 2017, las entidades sujetas al Marco Normativo para Entidades de Gobierno presentarán la información comparativa, a partir de enero de 2019.</w:t>
      </w:r>
    </w:p>
    <w:p w14:paraId="2ABB8553" w14:textId="77777777" w:rsidR="00EF3D59" w:rsidRPr="0075284A" w:rsidRDefault="00EF3D59" w:rsidP="0075284A">
      <w:pPr>
        <w:pStyle w:val="Textonotapie"/>
        <w:jc w:val="both"/>
        <w:rPr>
          <w:rFonts w:ascii="Arial" w:hAnsi="Arial" w:cs="Arial"/>
          <w:sz w:val="16"/>
          <w:szCs w:val="16"/>
        </w:rPr>
      </w:pPr>
    </w:p>
  </w:footnote>
  <w:footnote w:id="12">
    <w:p w14:paraId="76F69D16" w14:textId="77777777" w:rsidR="00EF3D59" w:rsidRDefault="00EF3D59" w:rsidP="00DE1B37">
      <w:pPr>
        <w:pStyle w:val="Textonotapie"/>
        <w:spacing w:line="288" w:lineRule="auto"/>
        <w:jc w:val="both"/>
        <w:rPr>
          <w:rFonts w:ascii="Arial" w:hAnsi="Arial" w:cs="Arial"/>
          <w:sz w:val="16"/>
          <w:szCs w:val="16"/>
        </w:rPr>
      </w:pPr>
      <w:r w:rsidRPr="00062EEE">
        <w:rPr>
          <w:rStyle w:val="Refdenotaalpie"/>
          <w:rFonts w:ascii="Arial" w:hAnsi="Arial" w:cs="Arial"/>
          <w:sz w:val="16"/>
          <w:szCs w:val="16"/>
        </w:rPr>
        <w:footnoteRef/>
      </w:r>
      <w:r w:rsidRPr="00062EEE">
        <w:rPr>
          <w:rFonts w:ascii="Arial" w:hAnsi="Arial" w:cs="Arial"/>
          <w:sz w:val="16"/>
          <w:szCs w:val="16"/>
        </w:rPr>
        <w:t xml:space="preserve"> </w:t>
      </w:r>
      <w:r>
        <w:rPr>
          <w:rFonts w:ascii="Arial" w:hAnsi="Arial" w:cs="Arial"/>
          <w:sz w:val="16"/>
          <w:szCs w:val="16"/>
        </w:rPr>
        <w:t xml:space="preserve">En el mes de diciembre, el Ministerio de Hacienda y Crédito Público elaborará el </w:t>
      </w:r>
      <w:r w:rsidRPr="00062EEE">
        <w:rPr>
          <w:rFonts w:ascii="Arial" w:hAnsi="Arial" w:cs="Arial"/>
          <w:sz w:val="16"/>
          <w:szCs w:val="16"/>
        </w:rPr>
        <w:t>Juego completo de los Estados Financieros</w:t>
      </w:r>
      <w:r>
        <w:rPr>
          <w:rFonts w:ascii="Arial" w:hAnsi="Arial" w:cs="Arial"/>
          <w:sz w:val="16"/>
          <w:szCs w:val="16"/>
        </w:rPr>
        <w:t>.</w:t>
      </w:r>
      <w:r w:rsidRPr="00062EEE">
        <w:rPr>
          <w:rFonts w:ascii="Arial" w:hAnsi="Arial" w:cs="Arial"/>
          <w:sz w:val="16"/>
          <w:szCs w:val="16"/>
        </w:rPr>
        <w:t xml:space="preserve"> </w:t>
      </w:r>
    </w:p>
    <w:p w14:paraId="6DF55052" w14:textId="77777777" w:rsidR="00EF3D59" w:rsidRDefault="00EF3D59" w:rsidP="00DE1B37">
      <w:pPr>
        <w:pStyle w:val="Textonotapie"/>
        <w:spacing w:line="288" w:lineRule="auto"/>
        <w:jc w:val="both"/>
      </w:pPr>
    </w:p>
  </w:footnote>
  <w:footnote w:id="13">
    <w:p w14:paraId="77175964" w14:textId="77777777" w:rsidR="00EF3D59" w:rsidRDefault="00EF3D59" w:rsidP="00DE1B37">
      <w:pPr>
        <w:pStyle w:val="Textonotapie"/>
        <w:spacing w:line="288" w:lineRule="auto"/>
      </w:pPr>
      <w:r w:rsidRPr="00D303C4">
        <w:rPr>
          <w:rStyle w:val="Refdenotaalpie"/>
          <w:rFonts w:ascii="Arial" w:hAnsi="Arial" w:cs="Arial"/>
          <w:sz w:val="16"/>
          <w:szCs w:val="16"/>
        </w:rPr>
        <w:footnoteRef/>
      </w:r>
      <w:r w:rsidRPr="00D303C4">
        <w:rPr>
          <w:rFonts w:ascii="Arial" w:hAnsi="Arial" w:cs="Arial"/>
          <w:sz w:val="16"/>
          <w:szCs w:val="16"/>
        </w:rPr>
        <w:t xml:space="preserve"> </w:t>
      </w:r>
      <w:r>
        <w:rPr>
          <w:rFonts w:ascii="Arial" w:hAnsi="Arial" w:cs="Arial"/>
          <w:sz w:val="16"/>
          <w:szCs w:val="16"/>
        </w:rPr>
        <w:t xml:space="preserve">Lo anterior, sin perjuicio de los actos administrativos expedidos por la Contaduría General de la Nación que modifiquen o prorroguen los plazos. </w:t>
      </w:r>
    </w:p>
  </w:footnote>
  <w:footnote w:id="14">
    <w:p w14:paraId="6314181C" w14:textId="17FC5682" w:rsidR="00EF3D59" w:rsidRDefault="00EF3D59" w:rsidP="00CA77F2">
      <w:pPr>
        <w:pStyle w:val="Textonotapie"/>
        <w:spacing w:line="288" w:lineRule="auto"/>
        <w:jc w:val="both"/>
        <w:rPr>
          <w:rFonts w:ascii="Arial" w:hAnsi="Arial" w:cs="Arial"/>
          <w:sz w:val="16"/>
          <w:szCs w:val="16"/>
        </w:rPr>
      </w:pPr>
      <w:r w:rsidRPr="00866FA5">
        <w:rPr>
          <w:rStyle w:val="Refdenotaalpie"/>
          <w:rFonts w:ascii="Arial" w:hAnsi="Arial" w:cs="Arial"/>
          <w:sz w:val="16"/>
          <w:szCs w:val="16"/>
        </w:rPr>
        <w:footnoteRef/>
      </w:r>
      <w:r w:rsidRPr="00866FA5">
        <w:rPr>
          <w:rFonts w:ascii="Arial" w:hAnsi="Arial" w:cs="Arial"/>
          <w:sz w:val="16"/>
          <w:szCs w:val="16"/>
        </w:rPr>
        <w:t xml:space="preserve"> Lo anterior, sin perjuicio de los actos administrativos expedidos por la Contaduría General de la Nación que modifiquen o prorroguen los plazos de reporte de información con corte a 31 de diciembre.</w:t>
      </w:r>
    </w:p>
    <w:p w14:paraId="468F880D" w14:textId="77777777" w:rsidR="00EF3D59" w:rsidRPr="00866FA5" w:rsidRDefault="00EF3D59" w:rsidP="00CA77F2">
      <w:pPr>
        <w:pStyle w:val="Textonotapie"/>
        <w:spacing w:line="288" w:lineRule="auto"/>
        <w:jc w:val="both"/>
        <w:rPr>
          <w:rFonts w:ascii="Arial" w:hAnsi="Arial" w:cs="Arial"/>
          <w:sz w:val="16"/>
          <w:szCs w:val="16"/>
        </w:rPr>
      </w:pPr>
    </w:p>
  </w:footnote>
  <w:footnote w:id="15">
    <w:p w14:paraId="49C0392D" w14:textId="59817F99" w:rsidR="00EF3D59" w:rsidRPr="00DE1B37" w:rsidRDefault="00EF3D59" w:rsidP="00CA77F2">
      <w:pPr>
        <w:pStyle w:val="Textonotapie"/>
        <w:spacing w:line="288" w:lineRule="auto"/>
        <w:jc w:val="both"/>
        <w:rPr>
          <w:rFonts w:ascii="Arial" w:hAnsi="Arial" w:cs="Arial"/>
          <w:sz w:val="16"/>
          <w:szCs w:val="16"/>
        </w:rPr>
      </w:pPr>
      <w:r w:rsidRPr="00CA77F2">
        <w:rPr>
          <w:rStyle w:val="Refdenotaalpie"/>
          <w:rFonts w:ascii="Arial" w:hAnsi="Arial" w:cs="Arial"/>
          <w:sz w:val="16"/>
          <w:szCs w:val="16"/>
        </w:rPr>
        <w:footnoteRef/>
      </w:r>
      <w:r w:rsidRPr="00CA77F2">
        <w:rPr>
          <w:rFonts w:ascii="Arial" w:hAnsi="Arial" w:cs="Arial"/>
          <w:sz w:val="16"/>
          <w:szCs w:val="16"/>
        </w:rPr>
        <w:t xml:space="preserve"> La </w:t>
      </w:r>
      <w:r>
        <w:rPr>
          <w:rFonts w:ascii="Arial" w:hAnsi="Arial" w:cs="Arial"/>
          <w:sz w:val="16"/>
          <w:szCs w:val="16"/>
        </w:rPr>
        <w:t>regulación vigente corresponde a la Resolución N°706 de 2016 y sus modificatorias, p</w:t>
      </w:r>
      <w:r w:rsidRPr="00866FA5">
        <w:rPr>
          <w:rFonts w:ascii="Arial" w:hAnsi="Arial" w:cs="Arial"/>
          <w:sz w:val="16"/>
          <w:szCs w:val="16"/>
        </w:rPr>
        <w:t>or la cual se establece la información a reportar, los requisitos y los plazos de envío a la Contaduría General de la Nación</w:t>
      </w:r>
    </w:p>
  </w:footnote>
  <w:footnote w:id="16">
    <w:p w14:paraId="41BA9E91" w14:textId="77777777" w:rsidR="00EF3D59" w:rsidRDefault="00EF3D59" w:rsidP="00DE1B37">
      <w:pPr>
        <w:pStyle w:val="Textonotapie"/>
        <w:spacing w:line="288" w:lineRule="auto"/>
        <w:jc w:val="both"/>
        <w:rPr>
          <w:rFonts w:ascii="Arial" w:hAnsi="Arial" w:cs="Arial"/>
          <w:sz w:val="16"/>
          <w:szCs w:val="16"/>
        </w:rPr>
      </w:pPr>
    </w:p>
    <w:p w14:paraId="02E6DD59" w14:textId="331BD7A7" w:rsidR="00EF3D59" w:rsidRDefault="00EF3D59" w:rsidP="00A116FE">
      <w:pPr>
        <w:pStyle w:val="Textonotapie"/>
        <w:spacing w:line="288" w:lineRule="auto"/>
        <w:jc w:val="both"/>
        <w:rPr>
          <w:rFonts w:ascii="Arial" w:hAnsi="Arial" w:cs="Arial"/>
          <w:sz w:val="16"/>
          <w:szCs w:val="16"/>
        </w:rPr>
      </w:pPr>
      <w:r w:rsidRPr="00866FA5">
        <w:rPr>
          <w:rStyle w:val="Refdenotaalpie"/>
          <w:rFonts w:ascii="Arial" w:hAnsi="Arial" w:cs="Arial"/>
          <w:sz w:val="16"/>
          <w:szCs w:val="16"/>
        </w:rPr>
        <w:footnoteRef/>
      </w:r>
      <w:r w:rsidRPr="00866FA5">
        <w:rPr>
          <w:rFonts w:ascii="Arial" w:hAnsi="Arial" w:cs="Arial"/>
          <w:sz w:val="16"/>
          <w:szCs w:val="16"/>
        </w:rPr>
        <w:t xml:space="preserve"> Sin perjuicio de los actos administrativos expedidos por la Contaduría General de la Nación que modifiquen o prorroguen los plazos de reporte de información.</w:t>
      </w:r>
    </w:p>
    <w:p w14:paraId="4E2CFA15" w14:textId="77777777" w:rsidR="00EF3D59" w:rsidRPr="00A116FE" w:rsidRDefault="00EF3D59" w:rsidP="00A116FE">
      <w:pPr>
        <w:pStyle w:val="Textonotapie"/>
        <w:spacing w:line="288" w:lineRule="auto"/>
        <w:jc w:val="both"/>
        <w:rPr>
          <w:rFonts w:ascii="Arial" w:hAnsi="Arial" w:cs="Arial"/>
          <w:sz w:val="16"/>
          <w:szCs w:val="16"/>
        </w:rPr>
      </w:pPr>
    </w:p>
  </w:footnote>
  <w:footnote w:id="17">
    <w:p w14:paraId="3D664DE4" w14:textId="080D9FDF" w:rsidR="00EF3D59" w:rsidRPr="00CA76B9" w:rsidRDefault="00EF3D59" w:rsidP="00A116FE">
      <w:pPr>
        <w:pStyle w:val="Textonotapie"/>
        <w:jc w:val="both"/>
        <w:rPr>
          <w:rFonts w:ascii="Arial" w:hAnsi="Arial" w:cs="Arial"/>
          <w:sz w:val="16"/>
          <w:szCs w:val="16"/>
        </w:rPr>
      </w:pPr>
      <w:r w:rsidRPr="00CA76B9">
        <w:rPr>
          <w:rStyle w:val="Refdenotaalpie"/>
          <w:rFonts w:ascii="Arial" w:hAnsi="Arial" w:cs="Arial"/>
          <w:sz w:val="16"/>
          <w:szCs w:val="16"/>
        </w:rPr>
        <w:footnoteRef/>
      </w:r>
      <w:r w:rsidRPr="00CA76B9">
        <w:rPr>
          <w:rFonts w:ascii="Arial" w:hAnsi="Arial" w:cs="Arial"/>
          <w:sz w:val="16"/>
          <w:szCs w:val="16"/>
        </w:rPr>
        <w:t xml:space="preserve"> No obstante, mediante Resolución 109 de 2020 </w:t>
      </w:r>
      <w:r w:rsidRPr="00CA76B9">
        <w:rPr>
          <w:rFonts w:ascii="Arial" w:hAnsi="Arial" w:cs="Arial"/>
          <w:i/>
          <w:iCs/>
          <w:sz w:val="16"/>
          <w:szCs w:val="16"/>
        </w:rPr>
        <w:t>“Por la cual se adiciona un formulario de reporte en los términos del artículo 7° de la Resolución No. 706 de diciembre 16 de 2016 (modificada por las resoluciones No. 043 de febrero 8 de 2017, 097 de marzo 15 de 2017 y 441 de diciembre 26 de 2019), para la presentación y reporte de la información financiera específica, correspondiente a los periodos abril - junio de 2020 y siguientes hasta que duren los impactos generados por el COVID-19</w:t>
      </w:r>
      <w:r w:rsidRPr="00CA76B9">
        <w:rPr>
          <w:rFonts w:ascii="Arial" w:hAnsi="Arial" w:cs="Arial"/>
          <w:sz w:val="16"/>
          <w:szCs w:val="16"/>
        </w:rPr>
        <w:t xml:space="preserve">”, la Contaduría General de la Nación determinó la presentación del formulario </w:t>
      </w:r>
      <w:r w:rsidRPr="00CA76B9">
        <w:rPr>
          <w:rFonts w:ascii="Arial" w:hAnsi="Arial" w:cs="Arial"/>
          <w:b/>
          <w:bCs/>
          <w:i/>
          <w:iCs/>
          <w:sz w:val="16"/>
          <w:szCs w:val="16"/>
        </w:rPr>
        <w:t>CGN2020_004_COVID_19</w:t>
      </w:r>
      <w:r w:rsidRPr="00CA76B9">
        <w:rPr>
          <w:rFonts w:ascii="Arial" w:hAnsi="Arial" w:cs="Arial"/>
          <w:sz w:val="16"/>
          <w:szCs w:val="16"/>
        </w:rPr>
        <w:t>, el cual, según lo señalado por la CGN será transitorio en tanto duren los impactos generados por el COVID 19.</w:t>
      </w:r>
    </w:p>
    <w:p w14:paraId="1AD14ED3" w14:textId="18C6FBCC" w:rsidR="00EF3D59" w:rsidRPr="00CA76B9" w:rsidRDefault="00EF3D59">
      <w:pPr>
        <w:pStyle w:val="Textonotapie"/>
        <w:rPr>
          <w:rFonts w:ascii="Arial" w:hAnsi="Arial" w:cs="Arial"/>
          <w:sz w:val="16"/>
          <w:szCs w:val="16"/>
          <w:lang w:val="es-MX"/>
        </w:rPr>
      </w:pPr>
    </w:p>
  </w:footnote>
  <w:footnote w:id="18">
    <w:p w14:paraId="570F355B" w14:textId="4F4BE76A" w:rsidR="00EF3D59" w:rsidRPr="00A116FE" w:rsidRDefault="00EF3D59" w:rsidP="00A116FE">
      <w:pPr>
        <w:pStyle w:val="Textonotapie"/>
        <w:jc w:val="both"/>
        <w:rPr>
          <w:sz w:val="16"/>
          <w:szCs w:val="16"/>
          <w:lang w:val="es-MX"/>
        </w:rPr>
      </w:pPr>
      <w:r w:rsidRPr="00CA76B9">
        <w:rPr>
          <w:rStyle w:val="Refdenotaalpie"/>
          <w:rFonts w:ascii="Arial" w:hAnsi="Arial" w:cs="Arial"/>
          <w:sz w:val="16"/>
          <w:szCs w:val="16"/>
        </w:rPr>
        <w:footnoteRef/>
      </w:r>
      <w:r w:rsidRPr="00CA76B9">
        <w:rPr>
          <w:rFonts w:ascii="Arial" w:hAnsi="Arial" w:cs="Arial"/>
          <w:sz w:val="16"/>
          <w:szCs w:val="16"/>
        </w:rPr>
        <w:t xml:space="preserve"> Los aspectos relacionados con el diligenciamiento de los formularios CGN2015_001_SALDOS_Y_MOVIMIENTOS_CONVERGENCIA, CGN2015_002_OPERACIONES_RECIPROCAS_CONVERGENCIA y CGN2016C01_VARIACIONES_TRIMESTRALES_SIGNIFICATIVAS son los indicados en el procedimiento definido en el anexo de la Resolución 159 de junio de 2019 expedida por la CGN, por la cual se incorpora, en los Procedimientos Transversales del Régimen de Contabilidad Pública, el procedimiento para la agregación de información, diligenciamiento y envío de los reportes de la Categoría Información Contable Pública - Convergencia, a la Contaduría General de la Nación, a través del Sistema Consolidador de Hacienda e Información Pública (CHIP).</w:t>
      </w:r>
    </w:p>
  </w:footnote>
  <w:footnote w:id="19">
    <w:p w14:paraId="505F98B7" w14:textId="745FAF8F" w:rsidR="00EF3D59" w:rsidRPr="00D34563" w:rsidRDefault="00EF3D59" w:rsidP="00D34563">
      <w:pPr>
        <w:pStyle w:val="Textonotapie"/>
        <w:jc w:val="both"/>
        <w:rPr>
          <w:rFonts w:ascii="Arial" w:hAnsi="Arial" w:cs="Arial"/>
          <w:sz w:val="16"/>
          <w:szCs w:val="16"/>
          <w:lang w:val="es-MX"/>
        </w:rPr>
      </w:pPr>
      <w:r w:rsidRPr="00D34563">
        <w:rPr>
          <w:rStyle w:val="Refdenotaalpie"/>
          <w:rFonts w:ascii="Arial" w:hAnsi="Arial" w:cs="Arial"/>
          <w:sz w:val="16"/>
          <w:szCs w:val="16"/>
        </w:rPr>
        <w:footnoteRef/>
      </w:r>
      <w:r w:rsidRPr="00D34563">
        <w:rPr>
          <w:rFonts w:ascii="Arial" w:hAnsi="Arial" w:cs="Arial"/>
          <w:sz w:val="16"/>
          <w:szCs w:val="16"/>
        </w:rPr>
        <w:t xml:space="preserve"> </w:t>
      </w:r>
      <w:r w:rsidRPr="00D34563">
        <w:rPr>
          <w:rFonts w:ascii="Arial" w:hAnsi="Arial" w:cs="Arial"/>
          <w:sz w:val="16"/>
          <w:szCs w:val="16"/>
          <w:lang w:val="es-ES_tradnl" w:eastAsia="es-ES"/>
        </w:rPr>
        <w:t>De acuerdo con lo establecido en la Resolución 33 de 2020 “</w:t>
      </w:r>
      <w:r w:rsidRPr="00D34563">
        <w:rPr>
          <w:rFonts w:ascii="Arial" w:hAnsi="Arial" w:cs="Arial"/>
          <w:i/>
          <w:sz w:val="16"/>
          <w:szCs w:val="16"/>
          <w:lang w:val="es-ES_tradnl" w:eastAsia="es-ES"/>
        </w:rPr>
        <w:t xml:space="preserve">Por la cual se modifica el parágrafo 1 del artículo 2º de la Resolución 484 de 2017, modificatoria del artículo 4º de la Resolución 533 de 2015, en lo relacionado con el plazo de presentación del estado de Flujos de Efectivo de las Entidades de Gobierno”, </w:t>
      </w:r>
      <w:r w:rsidRPr="00D34563">
        <w:rPr>
          <w:rFonts w:ascii="Arial" w:hAnsi="Arial" w:cs="Arial"/>
          <w:iCs/>
          <w:sz w:val="16"/>
          <w:szCs w:val="16"/>
          <w:lang w:val="es-ES_tradnl" w:eastAsia="es-ES"/>
        </w:rPr>
        <w:t>el primer Estado de Flujos de Efectivo bajo el Marco Normativo para Entidades de Gobierno, se presentará a partir del periodo contable del año 2022, y será comparativo a partir del año 2023. No obstante, las entidades podrán elaborar este estado financiero de manera voluntaria y anticipada para los efectos administrativos y de la gestión financiera pública.</w:t>
      </w:r>
    </w:p>
  </w:footnote>
  <w:footnote w:id="20">
    <w:p w14:paraId="35ED9AE7" w14:textId="46B5D3BA" w:rsidR="00EF3D59" w:rsidRPr="00DB6F34" w:rsidRDefault="00EF3D59" w:rsidP="00E554A9">
      <w:pPr>
        <w:pStyle w:val="Textonotapie"/>
        <w:jc w:val="both"/>
        <w:rPr>
          <w:rFonts w:ascii="Arial" w:hAnsi="Arial" w:cs="Arial"/>
          <w:sz w:val="16"/>
          <w:szCs w:val="16"/>
        </w:rPr>
      </w:pPr>
      <w:r w:rsidRPr="00DB6F34">
        <w:rPr>
          <w:rStyle w:val="Refdenotaalpie"/>
          <w:rFonts w:ascii="Arial" w:hAnsi="Arial" w:cs="Arial"/>
          <w:sz w:val="16"/>
          <w:szCs w:val="16"/>
        </w:rPr>
        <w:footnoteRef/>
      </w:r>
      <w:r w:rsidRPr="00DB6F34">
        <w:rPr>
          <w:rFonts w:ascii="Arial" w:hAnsi="Arial" w:cs="Arial"/>
          <w:sz w:val="16"/>
          <w:szCs w:val="16"/>
        </w:rPr>
        <w:t xml:space="preserve"> </w:t>
      </w:r>
      <w:r w:rsidRPr="00DB6F34">
        <w:rPr>
          <w:rFonts w:ascii="Arial" w:hAnsi="Arial" w:cs="Arial"/>
          <w:bCs/>
          <w:sz w:val="16"/>
          <w:szCs w:val="16"/>
        </w:rPr>
        <w:t xml:space="preserve">La transmisión de los reportes definidos por la Contaduría General de la Nación (CGN), así como la publicación de informes financieros y contables, se realizará de conformidad con los plazos establecidos por dicha entidad, y considerando los correspondientes </w:t>
      </w:r>
      <w:r w:rsidRPr="00DB6F34">
        <w:rPr>
          <w:rFonts w:ascii="Arial" w:hAnsi="Arial" w:cs="Arial"/>
          <w:sz w:val="16"/>
          <w:szCs w:val="16"/>
        </w:rPr>
        <w:t>actos administrativos que pudieren llegar a modificar o prorrogar las fechas fijadas inicialmente.</w:t>
      </w:r>
    </w:p>
    <w:p w14:paraId="4888570B" w14:textId="77777777" w:rsidR="00EF3D59" w:rsidRPr="00DB6F34" w:rsidRDefault="00EF3D59" w:rsidP="00E554A9">
      <w:pPr>
        <w:pStyle w:val="Textonotapie"/>
        <w:jc w:val="both"/>
        <w:rPr>
          <w:rFonts w:ascii="Arial" w:hAnsi="Arial" w:cs="Arial"/>
          <w:sz w:val="16"/>
          <w:szCs w:val="16"/>
        </w:rPr>
      </w:pPr>
    </w:p>
  </w:footnote>
  <w:footnote w:id="21">
    <w:p w14:paraId="4E9B6030" w14:textId="31801DFC" w:rsidR="00EF3D59" w:rsidRPr="00DB6F34" w:rsidRDefault="00EF3D59" w:rsidP="00CB3572">
      <w:pPr>
        <w:spacing w:line="288" w:lineRule="auto"/>
        <w:jc w:val="both"/>
        <w:rPr>
          <w:rFonts w:ascii="Arial" w:hAnsi="Arial" w:cs="Arial"/>
          <w:color w:val="000000"/>
          <w:sz w:val="16"/>
          <w:szCs w:val="16"/>
          <w:lang w:eastAsia="es-CO"/>
        </w:rPr>
      </w:pPr>
      <w:r w:rsidRPr="00DB6F34">
        <w:rPr>
          <w:rStyle w:val="Refdenotaalpie"/>
          <w:rFonts w:ascii="Arial" w:hAnsi="Arial" w:cs="Arial"/>
          <w:sz w:val="16"/>
          <w:szCs w:val="16"/>
        </w:rPr>
        <w:footnoteRef/>
      </w:r>
      <w:r w:rsidRPr="00DB6F34">
        <w:rPr>
          <w:rFonts w:ascii="Arial" w:hAnsi="Arial" w:cs="Arial"/>
          <w:sz w:val="16"/>
          <w:szCs w:val="16"/>
        </w:rPr>
        <w:t xml:space="preserve"> </w:t>
      </w:r>
      <w:r w:rsidRPr="00DB6F34">
        <w:rPr>
          <w:rFonts w:ascii="Arial" w:hAnsi="Arial" w:cs="Arial"/>
          <w:color w:val="000000"/>
          <w:sz w:val="16"/>
          <w:szCs w:val="16"/>
          <w:lang w:eastAsia="es-CO"/>
        </w:rPr>
        <w:t xml:space="preserve">Al final de cada periodo contable, se deberá elaborar el juego completo de Estados Financieros, que incluye el Estado de Situación Financiera, el Estado de Resultados, el Estado de Cambios en el patrimonio, el Estado de Flujos de Efectivo y las notas a los estados financieros. </w:t>
      </w:r>
    </w:p>
    <w:p w14:paraId="39C6037B" w14:textId="77777777" w:rsidR="00EF3D59" w:rsidRPr="00DB6F34" w:rsidRDefault="00EF3D59" w:rsidP="002C7D53">
      <w:pPr>
        <w:pStyle w:val="Textonotapie"/>
        <w:spacing w:line="288" w:lineRule="auto"/>
        <w:rPr>
          <w:rFonts w:ascii="Arial Narrow" w:hAnsi="Arial Narrow"/>
          <w:sz w:val="16"/>
          <w:szCs w:val="16"/>
        </w:rPr>
      </w:pPr>
    </w:p>
  </w:footnote>
  <w:footnote w:id="22">
    <w:p w14:paraId="7C804AB0" w14:textId="77777777" w:rsidR="00EF3D59" w:rsidRPr="00CA77F2" w:rsidRDefault="00EF3D59" w:rsidP="0046335B">
      <w:pPr>
        <w:pStyle w:val="Textonotapie"/>
        <w:rPr>
          <w:rFonts w:ascii="Arial" w:hAnsi="Arial" w:cs="Arial"/>
          <w:sz w:val="16"/>
          <w:szCs w:val="16"/>
        </w:rPr>
      </w:pPr>
      <w:r w:rsidRPr="00DB6F34">
        <w:rPr>
          <w:rStyle w:val="Refdenotaalpie"/>
          <w:rFonts w:ascii="Arial" w:hAnsi="Arial" w:cs="Arial"/>
          <w:sz w:val="16"/>
          <w:szCs w:val="16"/>
        </w:rPr>
        <w:footnoteRef/>
      </w:r>
      <w:r w:rsidRPr="00DB6F34">
        <w:rPr>
          <w:rFonts w:ascii="Arial" w:hAnsi="Arial" w:cs="Arial"/>
          <w:sz w:val="16"/>
          <w:szCs w:val="16"/>
        </w:rPr>
        <w:t xml:space="preserve"> Véase http://mintranet/sug/paginas/GestionFinanciera.aspx</w:t>
      </w:r>
    </w:p>
  </w:footnote>
  <w:footnote w:id="23">
    <w:p w14:paraId="6867BE45" w14:textId="24C25473" w:rsidR="00EF3D59" w:rsidRPr="00DB6F34" w:rsidRDefault="00EF3D59" w:rsidP="00E2019C">
      <w:pPr>
        <w:pStyle w:val="Textonotapie"/>
        <w:spacing w:line="288" w:lineRule="auto"/>
        <w:jc w:val="both"/>
        <w:rPr>
          <w:rFonts w:ascii="Arial" w:hAnsi="Arial" w:cs="Arial"/>
          <w:sz w:val="16"/>
          <w:szCs w:val="16"/>
        </w:rPr>
      </w:pPr>
      <w:r w:rsidRPr="00DB6F34">
        <w:rPr>
          <w:rStyle w:val="Refdenotaalpie"/>
          <w:rFonts w:ascii="Arial" w:hAnsi="Arial" w:cs="Arial"/>
          <w:sz w:val="16"/>
          <w:szCs w:val="16"/>
        </w:rPr>
        <w:footnoteRef/>
      </w:r>
      <w:r w:rsidRPr="00DB6F34">
        <w:rPr>
          <w:rFonts w:ascii="Arial" w:hAnsi="Arial" w:cs="Arial"/>
          <w:sz w:val="16"/>
          <w:szCs w:val="16"/>
        </w:rPr>
        <w:t xml:space="preserve"> </w:t>
      </w:r>
      <w:r w:rsidRPr="00DB6F34">
        <w:rPr>
          <w:rFonts w:ascii="Arial" w:hAnsi="Arial" w:cs="Arial"/>
          <w:b/>
          <w:sz w:val="16"/>
          <w:szCs w:val="16"/>
        </w:rPr>
        <w:t>Vida económica del activo:</w:t>
      </w:r>
      <w:r w:rsidRPr="00DB6F34">
        <w:rPr>
          <w:rFonts w:ascii="Arial" w:hAnsi="Arial" w:cs="Arial"/>
          <w:sz w:val="16"/>
          <w:szCs w:val="16"/>
        </w:rPr>
        <w:t xml:space="preserve"> Periodo durante el cual se espera que un activo sea utilizable por parte de </w:t>
      </w:r>
      <w:r w:rsidRPr="00DB6F34">
        <w:rPr>
          <w:rFonts w:ascii="Arial" w:hAnsi="Arial" w:cs="Arial"/>
          <w:b/>
          <w:sz w:val="16"/>
          <w:szCs w:val="16"/>
        </w:rPr>
        <w:t>uno o más usuarios</w:t>
      </w:r>
      <w:r w:rsidRPr="00DB6F34">
        <w:rPr>
          <w:rFonts w:ascii="Arial" w:hAnsi="Arial" w:cs="Arial"/>
          <w:sz w:val="16"/>
          <w:szCs w:val="16"/>
        </w:rPr>
        <w:t xml:space="preserve">. </w:t>
      </w:r>
    </w:p>
    <w:p w14:paraId="4E2E883C" w14:textId="77777777" w:rsidR="00EF3D59" w:rsidRPr="00DB6F34" w:rsidRDefault="00EF3D59" w:rsidP="00E2019C">
      <w:pPr>
        <w:pStyle w:val="Textonotapie"/>
        <w:spacing w:line="288" w:lineRule="auto"/>
        <w:jc w:val="both"/>
        <w:rPr>
          <w:rFonts w:ascii="Arial" w:hAnsi="Arial" w:cs="Arial"/>
          <w:sz w:val="16"/>
          <w:szCs w:val="16"/>
        </w:rPr>
      </w:pPr>
    </w:p>
  </w:footnote>
  <w:footnote w:id="24">
    <w:p w14:paraId="6EFB58FF" w14:textId="77777777" w:rsidR="00EF3D59" w:rsidRPr="00BF392C" w:rsidRDefault="00EF3D59" w:rsidP="00E2019C">
      <w:pPr>
        <w:pStyle w:val="Textonotapie"/>
        <w:spacing w:line="288" w:lineRule="auto"/>
        <w:rPr>
          <w:rFonts w:ascii="Arial" w:hAnsi="Arial" w:cs="Arial"/>
          <w:sz w:val="16"/>
          <w:szCs w:val="16"/>
        </w:rPr>
      </w:pPr>
      <w:r w:rsidRPr="00DB6F34">
        <w:rPr>
          <w:rStyle w:val="Refdenotaalpie"/>
          <w:rFonts w:ascii="Arial" w:hAnsi="Arial" w:cs="Arial"/>
          <w:sz w:val="16"/>
          <w:szCs w:val="16"/>
        </w:rPr>
        <w:footnoteRef/>
      </w:r>
      <w:r w:rsidRPr="00DB6F34">
        <w:rPr>
          <w:rFonts w:ascii="Arial" w:hAnsi="Arial" w:cs="Arial"/>
          <w:sz w:val="16"/>
          <w:szCs w:val="16"/>
        </w:rPr>
        <w:t xml:space="preserve"> </w:t>
      </w:r>
      <w:r w:rsidRPr="00DB6F34">
        <w:rPr>
          <w:rFonts w:ascii="Arial" w:hAnsi="Arial" w:cs="Arial"/>
          <w:b/>
          <w:sz w:val="16"/>
          <w:szCs w:val="16"/>
        </w:rPr>
        <w:t xml:space="preserve">Vida útil del activo: </w:t>
      </w:r>
      <w:r w:rsidRPr="00DB6F34">
        <w:rPr>
          <w:rFonts w:ascii="Arial" w:hAnsi="Arial" w:cs="Arial"/>
          <w:sz w:val="16"/>
          <w:szCs w:val="16"/>
        </w:rPr>
        <w:t xml:space="preserve">Periodo durante el cual la </w:t>
      </w:r>
      <w:r w:rsidRPr="00DB6F34">
        <w:rPr>
          <w:rFonts w:ascii="Arial" w:hAnsi="Arial" w:cs="Arial"/>
          <w:b/>
          <w:sz w:val="16"/>
          <w:szCs w:val="16"/>
        </w:rPr>
        <w:t>entidad</w:t>
      </w:r>
      <w:r w:rsidRPr="00DB6F34">
        <w:rPr>
          <w:rFonts w:ascii="Arial" w:hAnsi="Arial" w:cs="Arial"/>
          <w:sz w:val="16"/>
          <w:szCs w:val="16"/>
        </w:rPr>
        <w:t xml:space="preserve"> espera utilizar el activo.</w:t>
      </w:r>
      <w:r w:rsidRPr="00BF392C">
        <w:rPr>
          <w:rFonts w:ascii="Arial" w:hAnsi="Arial" w:cs="Arial"/>
          <w:sz w:val="16"/>
          <w:szCs w:val="16"/>
        </w:rPr>
        <w:t xml:space="preserve">  </w:t>
      </w:r>
    </w:p>
  </w:footnote>
  <w:footnote w:id="25">
    <w:p w14:paraId="3B92191C" w14:textId="1C66920A" w:rsidR="00EF3D59" w:rsidRDefault="00EF3D59" w:rsidP="00E2019C">
      <w:pPr>
        <w:pStyle w:val="Textonotapie"/>
        <w:spacing w:line="288" w:lineRule="auto"/>
        <w:jc w:val="both"/>
        <w:rPr>
          <w:rFonts w:ascii="Arial" w:hAnsi="Arial" w:cs="Arial"/>
          <w:sz w:val="16"/>
          <w:szCs w:val="16"/>
        </w:rPr>
      </w:pPr>
      <w:r w:rsidRPr="00BF392C">
        <w:rPr>
          <w:rStyle w:val="Refdenotaalpie"/>
          <w:rFonts w:ascii="Arial" w:hAnsi="Arial" w:cs="Arial"/>
          <w:sz w:val="16"/>
          <w:szCs w:val="16"/>
        </w:rPr>
        <w:footnoteRef/>
      </w:r>
      <w:r w:rsidRPr="00BF392C">
        <w:rPr>
          <w:rFonts w:ascii="Arial" w:hAnsi="Arial" w:cs="Arial"/>
          <w:sz w:val="16"/>
          <w:szCs w:val="16"/>
        </w:rPr>
        <w:t xml:space="preserve"> </w:t>
      </w:r>
      <w:r w:rsidRPr="00BF392C">
        <w:rPr>
          <w:rFonts w:ascii="Arial" w:hAnsi="Arial" w:cs="Arial"/>
          <w:b/>
          <w:sz w:val="16"/>
          <w:szCs w:val="16"/>
        </w:rPr>
        <w:t>Vida económica del activo:</w:t>
      </w:r>
      <w:r w:rsidRPr="00BF392C">
        <w:rPr>
          <w:rFonts w:ascii="Arial" w:hAnsi="Arial" w:cs="Arial"/>
          <w:sz w:val="16"/>
          <w:szCs w:val="16"/>
        </w:rPr>
        <w:t xml:space="preserve"> Periodo durante el cual se espera que un activo sea utilizable por parte de </w:t>
      </w:r>
      <w:r w:rsidRPr="00BF392C">
        <w:rPr>
          <w:rFonts w:ascii="Arial" w:hAnsi="Arial" w:cs="Arial"/>
          <w:b/>
          <w:sz w:val="16"/>
          <w:szCs w:val="16"/>
        </w:rPr>
        <w:t>uno o más usuarios</w:t>
      </w:r>
      <w:r w:rsidRPr="00BF392C">
        <w:rPr>
          <w:rFonts w:ascii="Arial" w:hAnsi="Arial" w:cs="Arial"/>
          <w:sz w:val="16"/>
          <w:szCs w:val="16"/>
        </w:rPr>
        <w:t xml:space="preserve">. </w:t>
      </w:r>
    </w:p>
    <w:p w14:paraId="25FD5A2F" w14:textId="77777777" w:rsidR="00EF3D59" w:rsidRPr="00BF392C" w:rsidRDefault="00EF3D59" w:rsidP="00E2019C">
      <w:pPr>
        <w:pStyle w:val="Textonotapie"/>
        <w:spacing w:line="288" w:lineRule="auto"/>
        <w:jc w:val="both"/>
        <w:rPr>
          <w:rFonts w:ascii="Arial" w:hAnsi="Arial" w:cs="Arial"/>
          <w:sz w:val="16"/>
          <w:szCs w:val="16"/>
        </w:rPr>
      </w:pPr>
    </w:p>
  </w:footnote>
  <w:footnote w:id="26">
    <w:p w14:paraId="6EDA255B" w14:textId="77777777" w:rsidR="00EF3D59" w:rsidRPr="00BF392C" w:rsidRDefault="00EF3D59" w:rsidP="00E2019C">
      <w:pPr>
        <w:pStyle w:val="Textonotapie"/>
        <w:spacing w:line="288" w:lineRule="auto"/>
        <w:rPr>
          <w:rFonts w:ascii="Arial" w:hAnsi="Arial" w:cs="Arial"/>
          <w:sz w:val="16"/>
          <w:szCs w:val="16"/>
        </w:rPr>
      </w:pPr>
      <w:r w:rsidRPr="00BF392C">
        <w:rPr>
          <w:rStyle w:val="Refdenotaalpie"/>
          <w:rFonts w:ascii="Arial" w:hAnsi="Arial" w:cs="Arial"/>
          <w:sz w:val="16"/>
          <w:szCs w:val="16"/>
        </w:rPr>
        <w:footnoteRef/>
      </w:r>
      <w:r w:rsidRPr="00BF392C">
        <w:rPr>
          <w:rFonts w:ascii="Arial" w:hAnsi="Arial" w:cs="Arial"/>
          <w:sz w:val="16"/>
          <w:szCs w:val="16"/>
        </w:rPr>
        <w:t xml:space="preserve"> </w:t>
      </w:r>
      <w:r w:rsidRPr="00BF392C">
        <w:rPr>
          <w:rFonts w:ascii="Arial" w:hAnsi="Arial" w:cs="Arial"/>
          <w:b/>
          <w:sz w:val="16"/>
          <w:szCs w:val="16"/>
        </w:rPr>
        <w:t xml:space="preserve">Vida útil del activo: </w:t>
      </w:r>
      <w:r w:rsidRPr="00BF392C">
        <w:rPr>
          <w:rFonts w:ascii="Arial" w:hAnsi="Arial" w:cs="Arial"/>
          <w:sz w:val="16"/>
          <w:szCs w:val="16"/>
        </w:rPr>
        <w:t xml:space="preserve">Periodo durante el cual la </w:t>
      </w:r>
      <w:r w:rsidRPr="00BF392C">
        <w:rPr>
          <w:rFonts w:ascii="Arial" w:hAnsi="Arial" w:cs="Arial"/>
          <w:b/>
          <w:sz w:val="16"/>
          <w:szCs w:val="16"/>
        </w:rPr>
        <w:t>entidad</w:t>
      </w:r>
      <w:r w:rsidRPr="00BF392C">
        <w:rPr>
          <w:rFonts w:ascii="Arial" w:hAnsi="Arial" w:cs="Arial"/>
          <w:sz w:val="16"/>
          <w:szCs w:val="16"/>
        </w:rPr>
        <w:t xml:space="preserve"> espera utilizar el activo.  </w:t>
      </w:r>
    </w:p>
  </w:footnote>
  <w:footnote w:id="27">
    <w:p w14:paraId="6A653B1E" w14:textId="06A45312" w:rsidR="00EF3D59" w:rsidRPr="002C7D53" w:rsidRDefault="00EF3D59" w:rsidP="002C7D53">
      <w:pPr>
        <w:pStyle w:val="Textonotapie"/>
        <w:spacing w:line="288" w:lineRule="auto"/>
        <w:jc w:val="both"/>
        <w:rPr>
          <w:rFonts w:ascii="Arial" w:hAnsi="Arial" w:cs="Arial"/>
          <w:sz w:val="16"/>
          <w:szCs w:val="16"/>
        </w:rPr>
      </w:pPr>
      <w:r w:rsidRPr="002C7D53">
        <w:rPr>
          <w:rStyle w:val="Refdenotaalpie"/>
          <w:rFonts w:ascii="Arial" w:hAnsi="Arial" w:cs="Arial"/>
          <w:sz w:val="16"/>
          <w:szCs w:val="16"/>
        </w:rPr>
        <w:footnoteRef/>
      </w:r>
      <w:r w:rsidRPr="002C7D53">
        <w:rPr>
          <w:rFonts w:ascii="Arial" w:hAnsi="Arial" w:cs="Arial"/>
          <w:sz w:val="16"/>
          <w:szCs w:val="16"/>
        </w:rPr>
        <w:t xml:space="preserve">  </w:t>
      </w:r>
      <w:r w:rsidRPr="00D528CF">
        <w:rPr>
          <w:rFonts w:ascii="Arial" w:hAnsi="Arial" w:cs="Arial"/>
          <w:sz w:val="16"/>
          <w:szCs w:val="16"/>
        </w:rPr>
        <w:t xml:space="preserve">Ver documentación del  Sistema Integrado de Información Financiera SIIF, la cual se encuentra en el enlace: </w:t>
      </w:r>
      <w:hyperlink r:id="rId4" w:history="1">
        <w:r w:rsidRPr="00D528CF">
          <w:rPr>
            <w:rStyle w:val="Hipervnculo"/>
            <w:rFonts w:ascii="Arial" w:hAnsi="Arial" w:cs="Arial"/>
            <w:sz w:val="16"/>
            <w:szCs w:val="16"/>
          </w:rPr>
          <w:t>https://www.minhacienda.gov.co/webcenter/portal/SIIFNacion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EF3D59" w14:paraId="7AD635C9" w14:textId="77777777" w:rsidTr="009371D7">
      <w:trPr>
        <w:cantSplit/>
        <w:trHeight w:val="276"/>
      </w:trPr>
      <w:tc>
        <w:tcPr>
          <w:tcW w:w="2785" w:type="dxa"/>
          <w:vMerge w:val="restart"/>
          <w:vAlign w:val="center"/>
        </w:tcPr>
        <w:p w14:paraId="3B939269" w14:textId="77777777" w:rsidR="00EF3D59" w:rsidRDefault="00EF3D59" w:rsidP="009371D7">
          <w:pPr>
            <w:pStyle w:val="Encabezado"/>
            <w:jc w:val="center"/>
            <w:rPr>
              <w:rFonts w:ascii="Arial" w:hAnsi="Arial"/>
            </w:rPr>
          </w:pPr>
          <w:r w:rsidRPr="00D21C18">
            <w:rPr>
              <w:rFonts w:ascii="Arial" w:hAnsi="Arial" w:cs="Arial"/>
              <w:b/>
              <w:caps/>
              <w:noProof/>
              <w:sz w:val="14"/>
              <w:szCs w:val="14"/>
              <w:lang w:val="es-CO" w:eastAsia="es-CO"/>
            </w:rPr>
            <w:drawing>
              <wp:inline distT="0" distB="0" distL="0" distR="0" wp14:anchorId="1392D61A" wp14:editId="032C63E3">
                <wp:extent cx="1695450" cy="40005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95450" cy="400050"/>
                        </a:xfrm>
                        <a:prstGeom prst="rect">
                          <a:avLst/>
                        </a:prstGeom>
                        <a:noFill/>
                        <a:ln>
                          <a:noFill/>
                        </a:ln>
                      </pic:spPr>
                    </pic:pic>
                  </a:graphicData>
                </a:graphic>
              </wp:inline>
            </w:drawing>
          </w:r>
        </w:p>
      </w:tc>
      <w:tc>
        <w:tcPr>
          <w:tcW w:w="4871" w:type="dxa"/>
          <w:vMerge w:val="restart"/>
          <w:vAlign w:val="center"/>
        </w:tcPr>
        <w:p w14:paraId="797A12A4" w14:textId="77777777" w:rsidR="00BD0FD2" w:rsidRPr="00BD0FD2" w:rsidRDefault="00EF3D59" w:rsidP="00062E51">
          <w:pPr>
            <w:jc w:val="center"/>
            <w:rPr>
              <w:rFonts w:ascii="Arial" w:hAnsi="Arial" w:cs="Arial"/>
              <w:b/>
              <w:sz w:val="22"/>
              <w:szCs w:val="22"/>
            </w:rPr>
          </w:pPr>
          <w:r w:rsidRPr="00BD0FD2">
            <w:rPr>
              <w:rFonts w:ascii="Arial" w:hAnsi="Arial" w:cs="Arial"/>
              <w:b/>
              <w:sz w:val="22"/>
              <w:szCs w:val="22"/>
            </w:rPr>
            <w:t>Manual Operativo para la Gestión Contable</w:t>
          </w:r>
          <w:r w:rsidR="00BD0FD2" w:rsidRPr="00BD0FD2">
            <w:rPr>
              <w:rFonts w:ascii="Arial" w:hAnsi="Arial" w:cs="Arial"/>
              <w:b/>
              <w:sz w:val="22"/>
              <w:szCs w:val="22"/>
            </w:rPr>
            <w:t xml:space="preserve"> </w:t>
          </w:r>
        </w:p>
        <w:p w14:paraId="27648C21" w14:textId="0CA6599A" w:rsidR="00EF3D59" w:rsidRPr="009A37A7" w:rsidRDefault="00BD0FD2" w:rsidP="00062E51">
          <w:pPr>
            <w:jc w:val="center"/>
            <w:rPr>
              <w:rFonts w:ascii="Arial" w:hAnsi="Arial" w:cs="Arial"/>
              <w:b/>
              <w:sz w:val="24"/>
              <w:szCs w:val="24"/>
            </w:rPr>
          </w:pPr>
          <w:r w:rsidRPr="00BD0FD2">
            <w:rPr>
              <w:rFonts w:ascii="Arial" w:hAnsi="Arial" w:cs="Arial"/>
              <w:b/>
              <w:sz w:val="22"/>
              <w:szCs w:val="22"/>
            </w:rPr>
            <w:t>MHCP</w:t>
          </w:r>
          <w:r>
            <w:rPr>
              <w:rFonts w:ascii="Arial" w:hAnsi="Arial" w:cs="Arial"/>
              <w:b/>
              <w:sz w:val="22"/>
              <w:szCs w:val="22"/>
            </w:rPr>
            <w:t xml:space="preserve"> – Gestión General</w:t>
          </w:r>
        </w:p>
      </w:tc>
      <w:tc>
        <w:tcPr>
          <w:tcW w:w="992" w:type="dxa"/>
          <w:vAlign w:val="center"/>
        </w:tcPr>
        <w:p w14:paraId="57609A7D" w14:textId="77777777" w:rsidR="00EF3D59" w:rsidRDefault="00EF3D59" w:rsidP="009371D7">
          <w:pPr>
            <w:pStyle w:val="Encabezado"/>
            <w:rPr>
              <w:rFonts w:ascii="Arial" w:hAnsi="Arial" w:cs="Arial"/>
              <w:b/>
            </w:rPr>
          </w:pPr>
          <w:r>
            <w:rPr>
              <w:rFonts w:ascii="Arial" w:hAnsi="Arial"/>
              <w:b/>
            </w:rPr>
            <w:t>Código:</w:t>
          </w:r>
          <w:r>
            <w:t xml:space="preserve"> </w:t>
          </w:r>
        </w:p>
      </w:tc>
      <w:tc>
        <w:tcPr>
          <w:tcW w:w="1417" w:type="dxa"/>
          <w:vAlign w:val="center"/>
        </w:tcPr>
        <w:p w14:paraId="301398B5" w14:textId="77777777" w:rsidR="00EF3D59" w:rsidRDefault="00EF3D59" w:rsidP="001F4212">
          <w:pPr>
            <w:pStyle w:val="Encabezado"/>
            <w:jc w:val="center"/>
            <w:rPr>
              <w:rFonts w:ascii="Arial" w:hAnsi="Arial" w:cs="Arial"/>
              <w:b/>
            </w:rPr>
          </w:pPr>
          <w:r>
            <w:rPr>
              <w:rFonts w:ascii="Arial" w:hAnsi="Arial" w:cs="Arial"/>
              <w:b/>
            </w:rPr>
            <w:t>Apo.3.Man.3</w:t>
          </w:r>
        </w:p>
      </w:tc>
    </w:tr>
    <w:tr w:rsidR="00EF3D59" w14:paraId="0C5AD8E5" w14:textId="77777777" w:rsidTr="009371D7">
      <w:trPr>
        <w:cantSplit/>
        <w:trHeight w:val="147"/>
      </w:trPr>
      <w:tc>
        <w:tcPr>
          <w:tcW w:w="2785" w:type="dxa"/>
          <w:vMerge/>
        </w:tcPr>
        <w:p w14:paraId="06DA5EA7" w14:textId="77777777" w:rsidR="00EF3D59" w:rsidRDefault="00EF3D59" w:rsidP="009371D7">
          <w:pPr>
            <w:pStyle w:val="Encabezado"/>
            <w:jc w:val="center"/>
            <w:rPr>
              <w:rFonts w:ascii="Arial" w:hAnsi="Arial"/>
            </w:rPr>
          </w:pPr>
        </w:p>
      </w:tc>
      <w:tc>
        <w:tcPr>
          <w:tcW w:w="4871" w:type="dxa"/>
          <w:vMerge/>
        </w:tcPr>
        <w:p w14:paraId="026DDF40" w14:textId="77777777" w:rsidR="00EF3D59" w:rsidRDefault="00EF3D59" w:rsidP="009371D7">
          <w:pPr>
            <w:pStyle w:val="Encabezado"/>
            <w:jc w:val="center"/>
            <w:rPr>
              <w:rFonts w:ascii="Arial" w:hAnsi="Arial"/>
              <w:b/>
            </w:rPr>
          </w:pPr>
        </w:p>
      </w:tc>
      <w:tc>
        <w:tcPr>
          <w:tcW w:w="992" w:type="dxa"/>
          <w:vAlign w:val="center"/>
        </w:tcPr>
        <w:p w14:paraId="4C1A3EAA" w14:textId="77777777" w:rsidR="00EF3D59" w:rsidRDefault="00EF3D59" w:rsidP="009371D7">
          <w:pPr>
            <w:pStyle w:val="Encabezado"/>
            <w:rPr>
              <w:rFonts w:ascii="Arial" w:hAnsi="Arial"/>
              <w:b/>
            </w:rPr>
          </w:pPr>
          <w:r>
            <w:rPr>
              <w:rFonts w:ascii="Arial" w:hAnsi="Arial"/>
              <w:b/>
            </w:rPr>
            <w:t>Fecha:</w:t>
          </w:r>
        </w:p>
      </w:tc>
      <w:tc>
        <w:tcPr>
          <w:tcW w:w="1417" w:type="dxa"/>
          <w:vAlign w:val="center"/>
        </w:tcPr>
        <w:p w14:paraId="25E2E43E" w14:textId="6B4D9F0A" w:rsidR="00EF3D59" w:rsidRDefault="00EF3D59" w:rsidP="00CE2F47">
          <w:pPr>
            <w:pStyle w:val="Encabezado"/>
            <w:jc w:val="center"/>
            <w:rPr>
              <w:rFonts w:ascii="Arial" w:hAnsi="Arial"/>
              <w:b/>
            </w:rPr>
          </w:pPr>
          <w:r>
            <w:rPr>
              <w:rFonts w:ascii="Arial" w:hAnsi="Arial"/>
              <w:b/>
            </w:rPr>
            <w:t>21-12-2020</w:t>
          </w:r>
        </w:p>
      </w:tc>
    </w:tr>
    <w:tr w:rsidR="00EF3D59" w14:paraId="40686A66" w14:textId="77777777" w:rsidTr="009371D7">
      <w:trPr>
        <w:cantSplit/>
        <w:trHeight w:val="147"/>
      </w:trPr>
      <w:tc>
        <w:tcPr>
          <w:tcW w:w="2785" w:type="dxa"/>
          <w:vMerge/>
        </w:tcPr>
        <w:p w14:paraId="143F8FC7" w14:textId="77777777" w:rsidR="00EF3D59" w:rsidRDefault="00EF3D59" w:rsidP="009371D7">
          <w:pPr>
            <w:pStyle w:val="Encabezado"/>
            <w:jc w:val="center"/>
            <w:rPr>
              <w:rFonts w:ascii="Arial" w:hAnsi="Arial"/>
            </w:rPr>
          </w:pPr>
        </w:p>
      </w:tc>
      <w:tc>
        <w:tcPr>
          <w:tcW w:w="4871" w:type="dxa"/>
          <w:vMerge/>
        </w:tcPr>
        <w:p w14:paraId="657B7CD0" w14:textId="77777777" w:rsidR="00EF3D59" w:rsidRDefault="00EF3D59" w:rsidP="009371D7">
          <w:pPr>
            <w:pStyle w:val="Encabezado"/>
            <w:jc w:val="center"/>
            <w:rPr>
              <w:rFonts w:ascii="Arial" w:hAnsi="Arial"/>
              <w:b/>
            </w:rPr>
          </w:pPr>
        </w:p>
      </w:tc>
      <w:tc>
        <w:tcPr>
          <w:tcW w:w="992" w:type="dxa"/>
          <w:vAlign w:val="center"/>
        </w:tcPr>
        <w:p w14:paraId="4D702841" w14:textId="77777777" w:rsidR="00EF3D59" w:rsidRDefault="00EF3D59" w:rsidP="009371D7">
          <w:pPr>
            <w:pStyle w:val="Encabezado"/>
            <w:rPr>
              <w:rFonts w:ascii="Arial" w:hAnsi="Arial"/>
              <w:b/>
            </w:rPr>
          </w:pPr>
          <w:r>
            <w:rPr>
              <w:rFonts w:ascii="Arial" w:hAnsi="Arial"/>
              <w:b/>
            </w:rPr>
            <w:t xml:space="preserve">Versión: </w:t>
          </w:r>
        </w:p>
      </w:tc>
      <w:tc>
        <w:tcPr>
          <w:tcW w:w="1417" w:type="dxa"/>
          <w:vAlign w:val="center"/>
        </w:tcPr>
        <w:p w14:paraId="62C526A5" w14:textId="1BDB21B8" w:rsidR="00EF3D59" w:rsidRDefault="00EF3D59" w:rsidP="009371D7">
          <w:pPr>
            <w:pStyle w:val="Encabezado"/>
            <w:jc w:val="center"/>
            <w:rPr>
              <w:rFonts w:ascii="Arial" w:hAnsi="Arial"/>
              <w:b/>
            </w:rPr>
          </w:pPr>
          <w:r>
            <w:rPr>
              <w:rFonts w:ascii="Arial" w:hAnsi="Arial"/>
              <w:b/>
            </w:rPr>
            <w:t>4</w:t>
          </w:r>
        </w:p>
      </w:tc>
    </w:tr>
    <w:tr w:rsidR="00EF3D59" w14:paraId="6B65359D" w14:textId="77777777" w:rsidTr="009371D7">
      <w:trPr>
        <w:cantSplit/>
        <w:trHeight w:val="148"/>
      </w:trPr>
      <w:tc>
        <w:tcPr>
          <w:tcW w:w="2785" w:type="dxa"/>
          <w:vMerge/>
          <w:tcBorders>
            <w:bottom w:val="single" w:sz="4" w:space="0" w:color="auto"/>
          </w:tcBorders>
        </w:tcPr>
        <w:p w14:paraId="00C69876" w14:textId="77777777" w:rsidR="00EF3D59" w:rsidRDefault="00EF3D59" w:rsidP="009371D7">
          <w:pPr>
            <w:pStyle w:val="Encabezado"/>
            <w:jc w:val="center"/>
            <w:rPr>
              <w:rFonts w:ascii="Arial" w:hAnsi="Arial"/>
              <w:b/>
            </w:rPr>
          </w:pPr>
        </w:p>
      </w:tc>
      <w:tc>
        <w:tcPr>
          <w:tcW w:w="4871" w:type="dxa"/>
          <w:vMerge/>
          <w:tcBorders>
            <w:bottom w:val="single" w:sz="4" w:space="0" w:color="auto"/>
          </w:tcBorders>
        </w:tcPr>
        <w:p w14:paraId="5DD38C54" w14:textId="77777777" w:rsidR="00EF3D59" w:rsidRDefault="00EF3D59" w:rsidP="009371D7">
          <w:pPr>
            <w:pStyle w:val="Encabezado"/>
            <w:jc w:val="center"/>
            <w:rPr>
              <w:rFonts w:ascii="Arial" w:hAnsi="Arial"/>
              <w:b/>
            </w:rPr>
          </w:pPr>
        </w:p>
      </w:tc>
      <w:tc>
        <w:tcPr>
          <w:tcW w:w="992" w:type="dxa"/>
          <w:vAlign w:val="center"/>
        </w:tcPr>
        <w:p w14:paraId="17BB6BD4" w14:textId="77777777" w:rsidR="00EF3D59" w:rsidRDefault="00EF3D59" w:rsidP="009371D7">
          <w:pPr>
            <w:pStyle w:val="Encabezado"/>
            <w:rPr>
              <w:rFonts w:ascii="Arial" w:hAnsi="Arial"/>
              <w:b/>
            </w:rPr>
          </w:pPr>
          <w:r>
            <w:rPr>
              <w:rFonts w:ascii="Arial" w:hAnsi="Arial"/>
              <w:b/>
            </w:rPr>
            <w:t xml:space="preserve">Página: </w:t>
          </w:r>
        </w:p>
      </w:tc>
      <w:tc>
        <w:tcPr>
          <w:tcW w:w="1417" w:type="dxa"/>
          <w:vAlign w:val="center"/>
        </w:tcPr>
        <w:p w14:paraId="0C2465E2" w14:textId="0CC8AD03" w:rsidR="00EF3D59" w:rsidRDefault="00EF3D59" w:rsidP="009371D7">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Pr>
              <w:rFonts w:ascii="Arial" w:hAnsi="Arial" w:cs="Arial"/>
              <w:b/>
              <w:noProof/>
            </w:rPr>
            <w:t>114</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Pr>
              <w:rFonts w:ascii="Arial" w:hAnsi="Arial" w:cs="Arial"/>
              <w:b/>
              <w:noProof/>
            </w:rPr>
            <w:t>116</w:t>
          </w:r>
          <w:r w:rsidRPr="00472A79">
            <w:rPr>
              <w:rFonts w:ascii="Arial" w:hAnsi="Arial" w:cs="Arial"/>
              <w:b/>
            </w:rPr>
            <w:fldChar w:fldCharType="end"/>
          </w:r>
        </w:p>
      </w:tc>
    </w:tr>
  </w:tbl>
  <w:p w14:paraId="24C6AFD0" w14:textId="77777777" w:rsidR="00EF3D59" w:rsidRDefault="00EF3D59">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CF0B08C"/>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E92A9E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C627314"/>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B4EAABC"/>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1D15D8F"/>
    <w:multiLevelType w:val="multilevel"/>
    <w:tmpl w:val="E9F05F3C"/>
    <w:lvl w:ilvl="0">
      <w:start w:val="6"/>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224DD5"/>
    <w:multiLevelType w:val="hybridMultilevel"/>
    <w:tmpl w:val="5B74FC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A34C93"/>
    <w:multiLevelType w:val="hybridMultilevel"/>
    <w:tmpl w:val="D070F4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73B23E5"/>
    <w:multiLevelType w:val="hybridMultilevel"/>
    <w:tmpl w:val="1D466DF4"/>
    <w:lvl w:ilvl="0" w:tplc="5C9C486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B1143B3"/>
    <w:multiLevelType w:val="multilevel"/>
    <w:tmpl w:val="0ABE8668"/>
    <w:lvl w:ilvl="0">
      <w:start w:val="1"/>
      <w:numFmt w:val="decimal"/>
      <w:pStyle w:val="Estilo2"/>
      <w:lvlText w:val="%1."/>
      <w:lvlJc w:val="left"/>
      <w:pPr>
        <w:ind w:left="360" w:hanging="360"/>
      </w:pPr>
      <w:rPr>
        <w:rFonts w:hint="default"/>
        <w:b/>
      </w:rPr>
    </w:lvl>
    <w:lvl w:ilvl="1">
      <w:start w:val="1"/>
      <w:numFmt w:val="decimal"/>
      <w:pStyle w:val="Estilo3"/>
      <w:lvlText w:val="%1.%2."/>
      <w:lvlJc w:val="left"/>
      <w:pPr>
        <w:ind w:left="792" w:hanging="432"/>
      </w:pPr>
      <w:rPr>
        <w:rFonts w:hint="default"/>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FE45C2"/>
    <w:multiLevelType w:val="hybridMultilevel"/>
    <w:tmpl w:val="DA80E1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F521CC"/>
    <w:multiLevelType w:val="hybridMultilevel"/>
    <w:tmpl w:val="7C068FD6"/>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0F863F5F"/>
    <w:multiLevelType w:val="multilevel"/>
    <w:tmpl w:val="E0A268B4"/>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62362B"/>
    <w:multiLevelType w:val="hybridMultilevel"/>
    <w:tmpl w:val="7A58E7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0C3EE9"/>
    <w:multiLevelType w:val="hybridMultilevel"/>
    <w:tmpl w:val="4C5A9134"/>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9">
      <w:start w:val="1"/>
      <w:numFmt w:val="lowerLetter"/>
      <w:lvlText w:val="%3."/>
      <w:lvlJc w:val="lef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576152B"/>
    <w:multiLevelType w:val="hybridMultilevel"/>
    <w:tmpl w:val="875C4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8290D27"/>
    <w:multiLevelType w:val="hybridMultilevel"/>
    <w:tmpl w:val="AAB20B1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8F51C77"/>
    <w:multiLevelType w:val="hybridMultilevel"/>
    <w:tmpl w:val="55E47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8A4646"/>
    <w:multiLevelType w:val="hybridMultilevel"/>
    <w:tmpl w:val="72D82BA6"/>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1831F0"/>
    <w:multiLevelType w:val="multilevel"/>
    <w:tmpl w:val="04BE431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53D612C"/>
    <w:multiLevelType w:val="hybridMultilevel"/>
    <w:tmpl w:val="3CCA6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546C0C"/>
    <w:multiLevelType w:val="hybridMultilevel"/>
    <w:tmpl w:val="BDB69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5D0E56"/>
    <w:multiLevelType w:val="multilevel"/>
    <w:tmpl w:val="3DC8AA6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895633C"/>
    <w:multiLevelType w:val="multilevel"/>
    <w:tmpl w:val="9D100088"/>
    <w:lvl w:ilvl="0">
      <w:start w:val="6"/>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B963481"/>
    <w:multiLevelType w:val="multilevel"/>
    <w:tmpl w:val="F50A1520"/>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C648BC"/>
    <w:multiLevelType w:val="hybridMultilevel"/>
    <w:tmpl w:val="45AC6562"/>
    <w:lvl w:ilvl="0" w:tplc="240A0001">
      <w:start w:val="1"/>
      <w:numFmt w:val="bullet"/>
      <w:lvlText w:val=""/>
      <w:lvlJc w:val="left"/>
      <w:pPr>
        <w:ind w:left="720" w:hanging="360"/>
      </w:pPr>
      <w:rPr>
        <w:rFonts w:ascii="Symbol" w:hAnsi="Symbol" w:hint="default"/>
      </w:rPr>
    </w:lvl>
    <w:lvl w:ilvl="1" w:tplc="EE2E234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A8396A"/>
    <w:multiLevelType w:val="hybridMultilevel"/>
    <w:tmpl w:val="C8528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20E76"/>
    <w:multiLevelType w:val="hybridMultilevel"/>
    <w:tmpl w:val="FFF4C74E"/>
    <w:lvl w:ilvl="0" w:tplc="240A0001">
      <w:start w:val="1"/>
      <w:numFmt w:val="bullet"/>
      <w:lvlText w:val=""/>
      <w:lvlJc w:val="left"/>
      <w:pPr>
        <w:ind w:left="720" w:hanging="360"/>
      </w:pPr>
      <w:rPr>
        <w:rFonts w:ascii="Symbol" w:hAnsi="Symbol" w:hint="default"/>
      </w:rPr>
    </w:lvl>
    <w:lvl w:ilvl="1" w:tplc="7B140D5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6048ED"/>
    <w:multiLevelType w:val="hybridMultilevel"/>
    <w:tmpl w:val="BB5060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1353537"/>
    <w:multiLevelType w:val="hybridMultilevel"/>
    <w:tmpl w:val="5D3EA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9">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1BF60D8"/>
    <w:multiLevelType w:val="hybridMultilevel"/>
    <w:tmpl w:val="44ACF350"/>
    <w:lvl w:ilvl="0" w:tplc="93BE4D8A">
      <w:start w:val="1"/>
      <w:numFmt w:val="decimal"/>
      <w:lvlText w:val="%1-"/>
      <w:lvlJc w:val="left"/>
      <w:pPr>
        <w:ind w:left="720" w:hanging="360"/>
      </w:pPr>
      <w:rPr>
        <w:rFonts w:hint="default"/>
      </w:rPr>
    </w:lvl>
    <w:lvl w:ilvl="1" w:tplc="FE5CB1E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94133E"/>
    <w:multiLevelType w:val="hybridMultilevel"/>
    <w:tmpl w:val="BB88D7AC"/>
    <w:lvl w:ilvl="0" w:tplc="240A0005">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1" w15:restartNumberingAfterBreak="0">
    <w:nsid w:val="5F9A62DB"/>
    <w:multiLevelType w:val="hybridMultilevel"/>
    <w:tmpl w:val="7C589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E05F60"/>
    <w:multiLevelType w:val="hybridMultilevel"/>
    <w:tmpl w:val="780CC95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3631C3D"/>
    <w:multiLevelType w:val="hybridMultilevel"/>
    <w:tmpl w:val="7AF0A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8F1013"/>
    <w:multiLevelType w:val="hybridMultilevel"/>
    <w:tmpl w:val="ADAC3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C21862"/>
    <w:multiLevelType w:val="hybridMultilevel"/>
    <w:tmpl w:val="50CC1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9B05D93"/>
    <w:multiLevelType w:val="hybridMultilevel"/>
    <w:tmpl w:val="7B0879AC"/>
    <w:lvl w:ilvl="0" w:tplc="0C0A0017">
      <w:start w:val="1"/>
      <w:numFmt w:val="lowerLetter"/>
      <w:lvlText w:val="%1)"/>
      <w:lvlJc w:val="left"/>
      <w:pPr>
        <w:tabs>
          <w:tab w:val="num" w:pos="1211"/>
        </w:tabs>
        <w:ind w:left="1211" w:hanging="360"/>
      </w:pPr>
      <w:rPr>
        <w:rFonts w:cs="Times New Roman"/>
      </w:rPr>
    </w:lvl>
    <w:lvl w:ilvl="1" w:tplc="189EDC6C">
      <w:start w:val="1"/>
      <w:numFmt w:val="lowerLetter"/>
      <w:lvlText w:val="%2)"/>
      <w:lvlJc w:val="left"/>
      <w:pPr>
        <w:tabs>
          <w:tab w:val="num" w:pos="2059"/>
        </w:tabs>
        <w:ind w:left="2059" w:hanging="630"/>
      </w:pPr>
      <w:rPr>
        <w:rFonts w:cs="Times New Roman" w:hint="default"/>
      </w:rPr>
    </w:lvl>
    <w:lvl w:ilvl="2" w:tplc="4BB82800">
      <w:start w:val="1"/>
      <w:numFmt w:val="decimal"/>
      <w:lvlText w:val="%3."/>
      <w:lvlJc w:val="left"/>
      <w:pPr>
        <w:ind w:left="2689" w:hanging="360"/>
      </w:pPr>
      <w:rPr>
        <w:rFonts w:hint="default"/>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37" w15:restartNumberingAfterBreak="0">
    <w:nsid w:val="6D33010F"/>
    <w:multiLevelType w:val="hybridMultilevel"/>
    <w:tmpl w:val="E1AE763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D965C05"/>
    <w:multiLevelType w:val="hybridMultilevel"/>
    <w:tmpl w:val="FAE0F90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28120FC"/>
    <w:multiLevelType w:val="multilevel"/>
    <w:tmpl w:val="A19C5476"/>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4755"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738762DB"/>
    <w:multiLevelType w:val="hybridMultilevel"/>
    <w:tmpl w:val="68D04D28"/>
    <w:lvl w:ilvl="0" w:tplc="240A0001">
      <w:start w:val="1"/>
      <w:numFmt w:val="bullet"/>
      <w:lvlText w:val=""/>
      <w:lvlJc w:val="left"/>
      <w:pPr>
        <w:ind w:left="1004" w:hanging="360"/>
      </w:pPr>
      <w:rPr>
        <w:rFonts w:ascii="Symbol" w:hAnsi="Symbol" w:hint="default"/>
      </w:rPr>
    </w:lvl>
    <w:lvl w:ilvl="1" w:tplc="F484FAA8">
      <w:numFmt w:val="bullet"/>
      <w:lvlText w:val="•"/>
      <w:lvlJc w:val="left"/>
      <w:pPr>
        <w:ind w:left="1724" w:hanging="360"/>
      </w:pPr>
      <w:rPr>
        <w:rFonts w:ascii="Arial" w:eastAsia="Times New Roman" w:hAnsi="Arial" w:cs="Arial" w:hint="default"/>
        <w:b/>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1" w15:restartNumberingAfterBreak="0">
    <w:nsid w:val="751918D8"/>
    <w:multiLevelType w:val="multilevel"/>
    <w:tmpl w:val="742C57FE"/>
    <w:lvl w:ilvl="0">
      <w:start w:val="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CC866C9"/>
    <w:multiLevelType w:val="hybridMultilevel"/>
    <w:tmpl w:val="1850F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5314DB"/>
    <w:multiLevelType w:val="hybridMultilevel"/>
    <w:tmpl w:val="AB5ECF8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9"/>
  </w:num>
  <w:num w:numId="2">
    <w:abstractNumId w:val="36"/>
  </w:num>
  <w:num w:numId="3">
    <w:abstractNumId w:val="29"/>
  </w:num>
  <w:num w:numId="4">
    <w:abstractNumId w:val="27"/>
  </w:num>
  <w:num w:numId="5">
    <w:abstractNumId w:val="19"/>
  </w:num>
  <w:num w:numId="6">
    <w:abstractNumId w:val="7"/>
  </w:num>
  <w:num w:numId="7">
    <w:abstractNumId w:val="8"/>
  </w:num>
  <w:num w:numId="8">
    <w:abstractNumId w:val="41"/>
  </w:num>
  <w:num w:numId="9">
    <w:abstractNumId w:val="11"/>
  </w:num>
  <w:num w:numId="10">
    <w:abstractNumId w:val="22"/>
  </w:num>
  <w:num w:numId="11">
    <w:abstractNumId w:val="35"/>
  </w:num>
  <w:num w:numId="12">
    <w:abstractNumId w:val="18"/>
  </w:num>
  <w:num w:numId="13">
    <w:abstractNumId w:val="21"/>
  </w:num>
  <w:num w:numId="14">
    <w:abstractNumId w:val="4"/>
  </w:num>
  <w:num w:numId="15">
    <w:abstractNumId w:val="23"/>
  </w:num>
  <w:num w:numId="16">
    <w:abstractNumId w:val="40"/>
  </w:num>
  <w:num w:numId="17">
    <w:abstractNumId w:val="33"/>
  </w:num>
  <w:num w:numId="18">
    <w:abstractNumId w:val="24"/>
  </w:num>
  <w:num w:numId="19">
    <w:abstractNumId w:val="26"/>
  </w:num>
  <w:num w:numId="20">
    <w:abstractNumId w:val="34"/>
  </w:num>
  <w:num w:numId="21">
    <w:abstractNumId w:val="13"/>
  </w:num>
  <w:num w:numId="22">
    <w:abstractNumId w:val="42"/>
  </w:num>
  <w:num w:numId="23">
    <w:abstractNumId w:val="14"/>
  </w:num>
  <w:num w:numId="24">
    <w:abstractNumId w:val="16"/>
  </w:num>
  <w:num w:numId="25">
    <w:abstractNumId w:val="31"/>
  </w:num>
  <w:num w:numId="26">
    <w:abstractNumId w:val="12"/>
  </w:num>
  <w:num w:numId="27">
    <w:abstractNumId w:val="30"/>
  </w:num>
  <w:num w:numId="28">
    <w:abstractNumId w:val="9"/>
  </w:num>
  <w:num w:numId="29">
    <w:abstractNumId w:val="5"/>
  </w:num>
  <w:num w:numId="30">
    <w:abstractNumId w:val="32"/>
  </w:num>
  <w:num w:numId="31">
    <w:abstractNumId w:val="15"/>
  </w:num>
  <w:num w:numId="32">
    <w:abstractNumId w:val="37"/>
  </w:num>
  <w:num w:numId="33">
    <w:abstractNumId w:val="25"/>
  </w:num>
  <w:num w:numId="34">
    <w:abstractNumId w:val="20"/>
  </w:num>
  <w:num w:numId="35">
    <w:abstractNumId w:val="6"/>
  </w:num>
  <w:num w:numId="36">
    <w:abstractNumId w:val="17"/>
  </w:num>
  <w:num w:numId="37">
    <w:abstractNumId w:val="43"/>
  </w:num>
  <w:num w:numId="38">
    <w:abstractNumId w:val="28"/>
  </w:num>
  <w:num w:numId="39">
    <w:abstractNumId w:val="38"/>
  </w:num>
  <w:num w:numId="40">
    <w:abstractNumId w:val="3"/>
  </w:num>
  <w:num w:numId="41">
    <w:abstractNumId w:val="2"/>
  </w:num>
  <w:num w:numId="42">
    <w:abstractNumId w:val="1"/>
  </w:num>
  <w:num w:numId="43">
    <w:abstractNumId w:val="0"/>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355ea9,#5887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FB"/>
    <w:rsid w:val="0000045B"/>
    <w:rsid w:val="000007BF"/>
    <w:rsid w:val="000008C5"/>
    <w:rsid w:val="00000AF7"/>
    <w:rsid w:val="000019B4"/>
    <w:rsid w:val="00001D48"/>
    <w:rsid w:val="000033CE"/>
    <w:rsid w:val="00003938"/>
    <w:rsid w:val="000056D4"/>
    <w:rsid w:val="000059C1"/>
    <w:rsid w:val="000063D5"/>
    <w:rsid w:val="00007F33"/>
    <w:rsid w:val="00011485"/>
    <w:rsid w:val="00013CDF"/>
    <w:rsid w:val="00013F26"/>
    <w:rsid w:val="00014B53"/>
    <w:rsid w:val="00015517"/>
    <w:rsid w:val="00015833"/>
    <w:rsid w:val="00016216"/>
    <w:rsid w:val="00016806"/>
    <w:rsid w:val="00016B23"/>
    <w:rsid w:val="00016E75"/>
    <w:rsid w:val="00017908"/>
    <w:rsid w:val="000205FA"/>
    <w:rsid w:val="000207F5"/>
    <w:rsid w:val="00022B38"/>
    <w:rsid w:val="00022C54"/>
    <w:rsid w:val="00022FEC"/>
    <w:rsid w:val="0002353F"/>
    <w:rsid w:val="000236FD"/>
    <w:rsid w:val="00023705"/>
    <w:rsid w:val="00023D8D"/>
    <w:rsid w:val="0002402C"/>
    <w:rsid w:val="00025540"/>
    <w:rsid w:val="00025677"/>
    <w:rsid w:val="00026371"/>
    <w:rsid w:val="000272FF"/>
    <w:rsid w:val="000274B3"/>
    <w:rsid w:val="00027822"/>
    <w:rsid w:val="00030569"/>
    <w:rsid w:val="00030AAC"/>
    <w:rsid w:val="00030CA3"/>
    <w:rsid w:val="00031726"/>
    <w:rsid w:val="00031A0B"/>
    <w:rsid w:val="0003292D"/>
    <w:rsid w:val="00034BC9"/>
    <w:rsid w:val="000351A6"/>
    <w:rsid w:val="00035405"/>
    <w:rsid w:val="000354EC"/>
    <w:rsid w:val="00035D5D"/>
    <w:rsid w:val="000362D8"/>
    <w:rsid w:val="000363FA"/>
    <w:rsid w:val="000364D9"/>
    <w:rsid w:val="00037657"/>
    <w:rsid w:val="00040B4B"/>
    <w:rsid w:val="00040D9C"/>
    <w:rsid w:val="00041D9B"/>
    <w:rsid w:val="000440F2"/>
    <w:rsid w:val="00045B39"/>
    <w:rsid w:val="000469BC"/>
    <w:rsid w:val="00046D23"/>
    <w:rsid w:val="000470F7"/>
    <w:rsid w:val="00047A24"/>
    <w:rsid w:val="00050094"/>
    <w:rsid w:val="0005041E"/>
    <w:rsid w:val="000514A9"/>
    <w:rsid w:val="00051BB2"/>
    <w:rsid w:val="00053668"/>
    <w:rsid w:val="00053ACD"/>
    <w:rsid w:val="0005410D"/>
    <w:rsid w:val="000541B8"/>
    <w:rsid w:val="00054409"/>
    <w:rsid w:val="000548F3"/>
    <w:rsid w:val="000554E4"/>
    <w:rsid w:val="00055714"/>
    <w:rsid w:val="00055B9F"/>
    <w:rsid w:val="00055FD9"/>
    <w:rsid w:val="00057A8D"/>
    <w:rsid w:val="000611D9"/>
    <w:rsid w:val="000617F8"/>
    <w:rsid w:val="000619A3"/>
    <w:rsid w:val="00062E51"/>
    <w:rsid w:val="00062EEE"/>
    <w:rsid w:val="000642C0"/>
    <w:rsid w:val="00064A95"/>
    <w:rsid w:val="00065D2D"/>
    <w:rsid w:val="00066475"/>
    <w:rsid w:val="000665C6"/>
    <w:rsid w:val="00066CB1"/>
    <w:rsid w:val="00071F91"/>
    <w:rsid w:val="00072085"/>
    <w:rsid w:val="00072729"/>
    <w:rsid w:val="0007293B"/>
    <w:rsid w:val="00072C48"/>
    <w:rsid w:val="0007512D"/>
    <w:rsid w:val="0007564B"/>
    <w:rsid w:val="00075672"/>
    <w:rsid w:val="000759B5"/>
    <w:rsid w:val="000778CC"/>
    <w:rsid w:val="00077E9F"/>
    <w:rsid w:val="00081E05"/>
    <w:rsid w:val="000829BA"/>
    <w:rsid w:val="00083798"/>
    <w:rsid w:val="00083A18"/>
    <w:rsid w:val="00084921"/>
    <w:rsid w:val="0008498A"/>
    <w:rsid w:val="00084F27"/>
    <w:rsid w:val="00085360"/>
    <w:rsid w:val="000853A3"/>
    <w:rsid w:val="00086245"/>
    <w:rsid w:val="00086547"/>
    <w:rsid w:val="00090E5E"/>
    <w:rsid w:val="00090F08"/>
    <w:rsid w:val="000911C0"/>
    <w:rsid w:val="000915CA"/>
    <w:rsid w:val="00091E6E"/>
    <w:rsid w:val="00092ACC"/>
    <w:rsid w:val="000934BD"/>
    <w:rsid w:val="00093AB0"/>
    <w:rsid w:val="00093B82"/>
    <w:rsid w:val="000948C2"/>
    <w:rsid w:val="00095A8F"/>
    <w:rsid w:val="000961B1"/>
    <w:rsid w:val="00096476"/>
    <w:rsid w:val="000A169B"/>
    <w:rsid w:val="000A1C5B"/>
    <w:rsid w:val="000A39D0"/>
    <w:rsid w:val="000A3A79"/>
    <w:rsid w:val="000A3D14"/>
    <w:rsid w:val="000A42B1"/>
    <w:rsid w:val="000A4780"/>
    <w:rsid w:val="000A526A"/>
    <w:rsid w:val="000A6065"/>
    <w:rsid w:val="000A6A2C"/>
    <w:rsid w:val="000A7117"/>
    <w:rsid w:val="000A751E"/>
    <w:rsid w:val="000A7E5E"/>
    <w:rsid w:val="000B092A"/>
    <w:rsid w:val="000B1120"/>
    <w:rsid w:val="000B133B"/>
    <w:rsid w:val="000B16C1"/>
    <w:rsid w:val="000B1854"/>
    <w:rsid w:val="000B1F25"/>
    <w:rsid w:val="000B36CD"/>
    <w:rsid w:val="000B410D"/>
    <w:rsid w:val="000B4D3F"/>
    <w:rsid w:val="000B4F7D"/>
    <w:rsid w:val="000B5926"/>
    <w:rsid w:val="000C1928"/>
    <w:rsid w:val="000C1ABD"/>
    <w:rsid w:val="000C1E6E"/>
    <w:rsid w:val="000C1F50"/>
    <w:rsid w:val="000C24CA"/>
    <w:rsid w:val="000C28A3"/>
    <w:rsid w:val="000C4468"/>
    <w:rsid w:val="000C5647"/>
    <w:rsid w:val="000C68F4"/>
    <w:rsid w:val="000C6F4E"/>
    <w:rsid w:val="000C70A4"/>
    <w:rsid w:val="000D059E"/>
    <w:rsid w:val="000D2F68"/>
    <w:rsid w:val="000D43F0"/>
    <w:rsid w:val="000D6DB1"/>
    <w:rsid w:val="000D7100"/>
    <w:rsid w:val="000D7126"/>
    <w:rsid w:val="000D7AD0"/>
    <w:rsid w:val="000D7CC0"/>
    <w:rsid w:val="000E07A4"/>
    <w:rsid w:val="000E1912"/>
    <w:rsid w:val="000E4554"/>
    <w:rsid w:val="000E46AA"/>
    <w:rsid w:val="000E4E8D"/>
    <w:rsid w:val="000E5BC4"/>
    <w:rsid w:val="000E60EF"/>
    <w:rsid w:val="000F03D2"/>
    <w:rsid w:val="000F0AE8"/>
    <w:rsid w:val="000F1436"/>
    <w:rsid w:val="000F1D43"/>
    <w:rsid w:val="000F2D20"/>
    <w:rsid w:val="000F2FE4"/>
    <w:rsid w:val="000F3288"/>
    <w:rsid w:val="000F3AFC"/>
    <w:rsid w:val="000F5203"/>
    <w:rsid w:val="000F585F"/>
    <w:rsid w:val="000F5B87"/>
    <w:rsid w:val="000F5EC4"/>
    <w:rsid w:val="000F6143"/>
    <w:rsid w:val="000F68C4"/>
    <w:rsid w:val="000F69C3"/>
    <w:rsid w:val="00100505"/>
    <w:rsid w:val="00100523"/>
    <w:rsid w:val="00100D37"/>
    <w:rsid w:val="00101B24"/>
    <w:rsid w:val="00102614"/>
    <w:rsid w:val="001027E5"/>
    <w:rsid w:val="00103DB6"/>
    <w:rsid w:val="001040B1"/>
    <w:rsid w:val="00104479"/>
    <w:rsid w:val="00104A48"/>
    <w:rsid w:val="00104BDD"/>
    <w:rsid w:val="00105E96"/>
    <w:rsid w:val="001069B2"/>
    <w:rsid w:val="001074E7"/>
    <w:rsid w:val="00107A1C"/>
    <w:rsid w:val="00107C2E"/>
    <w:rsid w:val="00107EA5"/>
    <w:rsid w:val="00110087"/>
    <w:rsid w:val="00111886"/>
    <w:rsid w:val="001120AA"/>
    <w:rsid w:val="001127FB"/>
    <w:rsid w:val="00113233"/>
    <w:rsid w:val="00113444"/>
    <w:rsid w:val="00113B7C"/>
    <w:rsid w:val="001149E6"/>
    <w:rsid w:val="00114DC4"/>
    <w:rsid w:val="00115FE1"/>
    <w:rsid w:val="00116711"/>
    <w:rsid w:val="00116DBE"/>
    <w:rsid w:val="001173B6"/>
    <w:rsid w:val="001173D2"/>
    <w:rsid w:val="001176C7"/>
    <w:rsid w:val="00120071"/>
    <w:rsid w:val="001207B3"/>
    <w:rsid w:val="00121C4A"/>
    <w:rsid w:val="001221B8"/>
    <w:rsid w:val="00122714"/>
    <w:rsid w:val="00122CFA"/>
    <w:rsid w:val="00122E77"/>
    <w:rsid w:val="00124487"/>
    <w:rsid w:val="00124856"/>
    <w:rsid w:val="001269B3"/>
    <w:rsid w:val="00131653"/>
    <w:rsid w:val="00133429"/>
    <w:rsid w:val="001334A2"/>
    <w:rsid w:val="001339B4"/>
    <w:rsid w:val="001339DE"/>
    <w:rsid w:val="00133AEC"/>
    <w:rsid w:val="00133D5B"/>
    <w:rsid w:val="00134118"/>
    <w:rsid w:val="00134DC1"/>
    <w:rsid w:val="00135470"/>
    <w:rsid w:val="00135CDF"/>
    <w:rsid w:val="00136937"/>
    <w:rsid w:val="00136B7C"/>
    <w:rsid w:val="00137531"/>
    <w:rsid w:val="0013756F"/>
    <w:rsid w:val="00137866"/>
    <w:rsid w:val="0014031C"/>
    <w:rsid w:val="00140BBA"/>
    <w:rsid w:val="00140C8E"/>
    <w:rsid w:val="00143357"/>
    <w:rsid w:val="00144209"/>
    <w:rsid w:val="00145929"/>
    <w:rsid w:val="00145DB9"/>
    <w:rsid w:val="00146585"/>
    <w:rsid w:val="001472B8"/>
    <w:rsid w:val="00147335"/>
    <w:rsid w:val="00147719"/>
    <w:rsid w:val="00150A15"/>
    <w:rsid w:val="00150B67"/>
    <w:rsid w:val="00151578"/>
    <w:rsid w:val="0015312C"/>
    <w:rsid w:val="00153F39"/>
    <w:rsid w:val="0015445F"/>
    <w:rsid w:val="00154D20"/>
    <w:rsid w:val="00154F8E"/>
    <w:rsid w:val="00154FEE"/>
    <w:rsid w:val="0015525B"/>
    <w:rsid w:val="0015535D"/>
    <w:rsid w:val="00155B8C"/>
    <w:rsid w:val="001565D3"/>
    <w:rsid w:val="0015713C"/>
    <w:rsid w:val="001571C6"/>
    <w:rsid w:val="00157218"/>
    <w:rsid w:val="00157AF2"/>
    <w:rsid w:val="001610E8"/>
    <w:rsid w:val="0016258F"/>
    <w:rsid w:val="0016393C"/>
    <w:rsid w:val="0016535A"/>
    <w:rsid w:val="00165784"/>
    <w:rsid w:val="0016669B"/>
    <w:rsid w:val="00166DE5"/>
    <w:rsid w:val="00167C29"/>
    <w:rsid w:val="00170533"/>
    <w:rsid w:val="00170788"/>
    <w:rsid w:val="001710C1"/>
    <w:rsid w:val="001721BF"/>
    <w:rsid w:val="00172CBA"/>
    <w:rsid w:val="00173F82"/>
    <w:rsid w:val="00175F87"/>
    <w:rsid w:val="001766CF"/>
    <w:rsid w:val="001773D9"/>
    <w:rsid w:val="001778FD"/>
    <w:rsid w:val="00177AD0"/>
    <w:rsid w:val="0018025D"/>
    <w:rsid w:val="00182956"/>
    <w:rsid w:val="001832F6"/>
    <w:rsid w:val="00183CB2"/>
    <w:rsid w:val="00183D82"/>
    <w:rsid w:val="00183EC9"/>
    <w:rsid w:val="00184D5B"/>
    <w:rsid w:val="00184FE0"/>
    <w:rsid w:val="001864EF"/>
    <w:rsid w:val="001869B6"/>
    <w:rsid w:val="001869CF"/>
    <w:rsid w:val="00187999"/>
    <w:rsid w:val="001901C8"/>
    <w:rsid w:val="00190CC2"/>
    <w:rsid w:val="001914D5"/>
    <w:rsid w:val="00192BFD"/>
    <w:rsid w:val="00193A4D"/>
    <w:rsid w:val="001960B3"/>
    <w:rsid w:val="001966D1"/>
    <w:rsid w:val="00196AE7"/>
    <w:rsid w:val="0019712C"/>
    <w:rsid w:val="0019729D"/>
    <w:rsid w:val="0019794D"/>
    <w:rsid w:val="001A1C63"/>
    <w:rsid w:val="001A2303"/>
    <w:rsid w:val="001A2A6C"/>
    <w:rsid w:val="001A3F73"/>
    <w:rsid w:val="001A44CB"/>
    <w:rsid w:val="001A47C7"/>
    <w:rsid w:val="001A5B9E"/>
    <w:rsid w:val="001A5E0F"/>
    <w:rsid w:val="001A66EE"/>
    <w:rsid w:val="001A7788"/>
    <w:rsid w:val="001A7EDF"/>
    <w:rsid w:val="001B042C"/>
    <w:rsid w:val="001B4A2C"/>
    <w:rsid w:val="001B5254"/>
    <w:rsid w:val="001B52CD"/>
    <w:rsid w:val="001B6870"/>
    <w:rsid w:val="001B6BC5"/>
    <w:rsid w:val="001C03E6"/>
    <w:rsid w:val="001C0BE7"/>
    <w:rsid w:val="001C136F"/>
    <w:rsid w:val="001C2560"/>
    <w:rsid w:val="001C3114"/>
    <w:rsid w:val="001C4899"/>
    <w:rsid w:val="001C61C3"/>
    <w:rsid w:val="001C61C8"/>
    <w:rsid w:val="001C6229"/>
    <w:rsid w:val="001C6841"/>
    <w:rsid w:val="001D0525"/>
    <w:rsid w:val="001D0B0A"/>
    <w:rsid w:val="001D0C57"/>
    <w:rsid w:val="001D0D0A"/>
    <w:rsid w:val="001D201D"/>
    <w:rsid w:val="001D2485"/>
    <w:rsid w:val="001D2B0C"/>
    <w:rsid w:val="001D3F74"/>
    <w:rsid w:val="001D509C"/>
    <w:rsid w:val="001D538A"/>
    <w:rsid w:val="001D5DC0"/>
    <w:rsid w:val="001D665F"/>
    <w:rsid w:val="001D6664"/>
    <w:rsid w:val="001D6B84"/>
    <w:rsid w:val="001E03F5"/>
    <w:rsid w:val="001E1403"/>
    <w:rsid w:val="001E2E75"/>
    <w:rsid w:val="001E33FE"/>
    <w:rsid w:val="001E4608"/>
    <w:rsid w:val="001E6AFB"/>
    <w:rsid w:val="001E747A"/>
    <w:rsid w:val="001E756F"/>
    <w:rsid w:val="001E7636"/>
    <w:rsid w:val="001E7A62"/>
    <w:rsid w:val="001E7AD1"/>
    <w:rsid w:val="001F0483"/>
    <w:rsid w:val="001F0829"/>
    <w:rsid w:val="001F15D4"/>
    <w:rsid w:val="001F15EF"/>
    <w:rsid w:val="001F1AAC"/>
    <w:rsid w:val="001F27F8"/>
    <w:rsid w:val="001F289E"/>
    <w:rsid w:val="001F3E0E"/>
    <w:rsid w:val="001F416E"/>
    <w:rsid w:val="001F4212"/>
    <w:rsid w:val="001F46AB"/>
    <w:rsid w:val="001F67F1"/>
    <w:rsid w:val="001F779D"/>
    <w:rsid w:val="001F79AC"/>
    <w:rsid w:val="001F7C75"/>
    <w:rsid w:val="002007F5"/>
    <w:rsid w:val="00200ACB"/>
    <w:rsid w:val="00201A64"/>
    <w:rsid w:val="00202435"/>
    <w:rsid w:val="0020276A"/>
    <w:rsid w:val="002031C7"/>
    <w:rsid w:val="00203472"/>
    <w:rsid w:val="00203B28"/>
    <w:rsid w:val="0020413A"/>
    <w:rsid w:val="002041A9"/>
    <w:rsid w:val="0020451F"/>
    <w:rsid w:val="00205807"/>
    <w:rsid w:val="00205A68"/>
    <w:rsid w:val="00205B49"/>
    <w:rsid w:val="00205B84"/>
    <w:rsid w:val="00206DE0"/>
    <w:rsid w:val="00206E7E"/>
    <w:rsid w:val="00210214"/>
    <w:rsid w:val="0021079A"/>
    <w:rsid w:val="00210C94"/>
    <w:rsid w:val="00212438"/>
    <w:rsid w:val="0021270F"/>
    <w:rsid w:val="00212C41"/>
    <w:rsid w:val="0021322C"/>
    <w:rsid w:val="00213D2E"/>
    <w:rsid w:val="00214097"/>
    <w:rsid w:val="0021500E"/>
    <w:rsid w:val="002150CE"/>
    <w:rsid w:val="00216921"/>
    <w:rsid w:val="00217A96"/>
    <w:rsid w:val="00217DC1"/>
    <w:rsid w:val="00220585"/>
    <w:rsid w:val="00220EDD"/>
    <w:rsid w:val="002216E1"/>
    <w:rsid w:val="00222F1E"/>
    <w:rsid w:val="002239D8"/>
    <w:rsid w:val="00224FD7"/>
    <w:rsid w:val="0022689B"/>
    <w:rsid w:val="00226D36"/>
    <w:rsid w:val="002276AC"/>
    <w:rsid w:val="002277F8"/>
    <w:rsid w:val="0023130E"/>
    <w:rsid w:val="00231828"/>
    <w:rsid w:val="0023265E"/>
    <w:rsid w:val="00234435"/>
    <w:rsid w:val="00234976"/>
    <w:rsid w:val="00234B3F"/>
    <w:rsid w:val="00235E84"/>
    <w:rsid w:val="00236220"/>
    <w:rsid w:val="0023647D"/>
    <w:rsid w:val="002379C7"/>
    <w:rsid w:val="00237D5B"/>
    <w:rsid w:val="002400D9"/>
    <w:rsid w:val="002409BB"/>
    <w:rsid w:val="002410FB"/>
    <w:rsid w:val="002416E9"/>
    <w:rsid w:val="00241A86"/>
    <w:rsid w:val="00241D3B"/>
    <w:rsid w:val="00242CF6"/>
    <w:rsid w:val="002432DF"/>
    <w:rsid w:val="002443BB"/>
    <w:rsid w:val="0024492A"/>
    <w:rsid w:val="00244EBE"/>
    <w:rsid w:val="002457C1"/>
    <w:rsid w:val="00245EC9"/>
    <w:rsid w:val="00246413"/>
    <w:rsid w:val="00246A95"/>
    <w:rsid w:val="0024759A"/>
    <w:rsid w:val="0025004D"/>
    <w:rsid w:val="00250E79"/>
    <w:rsid w:val="00250FB4"/>
    <w:rsid w:val="00251DAD"/>
    <w:rsid w:val="0025351E"/>
    <w:rsid w:val="00255042"/>
    <w:rsid w:val="002573AE"/>
    <w:rsid w:val="002578C9"/>
    <w:rsid w:val="00257E67"/>
    <w:rsid w:val="00260520"/>
    <w:rsid w:val="00261231"/>
    <w:rsid w:val="002614B8"/>
    <w:rsid w:val="0026179F"/>
    <w:rsid w:val="002618DD"/>
    <w:rsid w:val="00261FFB"/>
    <w:rsid w:val="00262028"/>
    <w:rsid w:val="002639DE"/>
    <w:rsid w:val="002649E3"/>
    <w:rsid w:val="00264D33"/>
    <w:rsid w:val="00264F65"/>
    <w:rsid w:val="00265290"/>
    <w:rsid w:val="0026548F"/>
    <w:rsid w:val="00265D33"/>
    <w:rsid w:val="00266002"/>
    <w:rsid w:val="002667FF"/>
    <w:rsid w:val="0026752F"/>
    <w:rsid w:val="00270BB6"/>
    <w:rsid w:val="00271CC8"/>
    <w:rsid w:val="00274B13"/>
    <w:rsid w:val="00274D4B"/>
    <w:rsid w:val="00275225"/>
    <w:rsid w:val="00276189"/>
    <w:rsid w:val="00277ECC"/>
    <w:rsid w:val="00280DD7"/>
    <w:rsid w:val="002811A1"/>
    <w:rsid w:val="0028261B"/>
    <w:rsid w:val="002830EC"/>
    <w:rsid w:val="00283641"/>
    <w:rsid w:val="0028567D"/>
    <w:rsid w:val="00287B64"/>
    <w:rsid w:val="00290062"/>
    <w:rsid w:val="00290485"/>
    <w:rsid w:val="00292688"/>
    <w:rsid w:val="00293AFA"/>
    <w:rsid w:val="00293E48"/>
    <w:rsid w:val="00295E82"/>
    <w:rsid w:val="00295E93"/>
    <w:rsid w:val="00296C12"/>
    <w:rsid w:val="00297092"/>
    <w:rsid w:val="002972B9"/>
    <w:rsid w:val="002977CF"/>
    <w:rsid w:val="002A1475"/>
    <w:rsid w:val="002A1C5A"/>
    <w:rsid w:val="002A24EA"/>
    <w:rsid w:val="002A4872"/>
    <w:rsid w:val="002A4DA2"/>
    <w:rsid w:val="002A4F1D"/>
    <w:rsid w:val="002A4FCD"/>
    <w:rsid w:val="002A62EE"/>
    <w:rsid w:val="002A6919"/>
    <w:rsid w:val="002A6A7D"/>
    <w:rsid w:val="002A6DFE"/>
    <w:rsid w:val="002A7369"/>
    <w:rsid w:val="002A7674"/>
    <w:rsid w:val="002A776A"/>
    <w:rsid w:val="002A7ABC"/>
    <w:rsid w:val="002A7C4C"/>
    <w:rsid w:val="002B01F3"/>
    <w:rsid w:val="002B0535"/>
    <w:rsid w:val="002B0AE4"/>
    <w:rsid w:val="002B0B21"/>
    <w:rsid w:val="002B0BE1"/>
    <w:rsid w:val="002B1B1D"/>
    <w:rsid w:val="002B5630"/>
    <w:rsid w:val="002B592C"/>
    <w:rsid w:val="002C04F7"/>
    <w:rsid w:val="002C0E83"/>
    <w:rsid w:val="002C1BA0"/>
    <w:rsid w:val="002C212F"/>
    <w:rsid w:val="002C23BD"/>
    <w:rsid w:val="002C369A"/>
    <w:rsid w:val="002C3E12"/>
    <w:rsid w:val="002C450F"/>
    <w:rsid w:val="002C4C3A"/>
    <w:rsid w:val="002C5272"/>
    <w:rsid w:val="002C65DB"/>
    <w:rsid w:val="002C771C"/>
    <w:rsid w:val="002C7C7B"/>
    <w:rsid w:val="002C7D53"/>
    <w:rsid w:val="002D123F"/>
    <w:rsid w:val="002D1C97"/>
    <w:rsid w:val="002D2633"/>
    <w:rsid w:val="002D3528"/>
    <w:rsid w:val="002D39A3"/>
    <w:rsid w:val="002D4D0E"/>
    <w:rsid w:val="002D5F19"/>
    <w:rsid w:val="002D6086"/>
    <w:rsid w:val="002D6CDB"/>
    <w:rsid w:val="002E041D"/>
    <w:rsid w:val="002E0FC0"/>
    <w:rsid w:val="002E13D7"/>
    <w:rsid w:val="002E2165"/>
    <w:rsid w:val="002E24D8"/>
    <w:rsid w:val="002E2C76"/>
    <w:rsid w:val="002E455B"/>
    <w:rsid w:val="002E4713"/>
    <w:rsid w:val="002E4917"/>
    <w:rsid w:val="002E4C9E"/>
    <w:rsid w:val="002E556A"/>
    <w:rsid w:val="002E59F6"/>
    <w:rsid w:val="002E5A87"/>
    <w:rsid w:val="002E6023"/>
    <w:rsid w:val="002E6A5B"/>
    <w:rsid w:val="002E6E1F"/>
    <w:rsid w:val="002E79BA"/>
    <w:rsid w:val="002E7C85"/>
    <w:rsid w:val="002F00C5"/>
    <w:rsid w:val="002F02AA"/>
    <w:rsid w:val="002F271F"/>
    <w:rsid w:val="002F3E4F"/>
    <w:rsid w:val="002F435F"/>
    <w:rsid w:val="002F5086"/>
    <w:rsid w:val="002F58ED"/>
    <w:rsid w:val="002F5C1A"/>
    <w:rsid w:val="002F612F"/>
    <w:rsid w:val="002F63E4"/>
    <w:rsid w:val="002F6742"/>
    <w:rsid w:val="002F6ABF"/>
    <w:rsid w:val="002F7675"/>
    <w:rsid w:val="00300EF9"/>
    <w:rsid w:val="00301626"/>
    <w:rsid w:val="003027FE"/>
    <w:rsid w:val="003048C0"/>
    <w:rsid w:val="00304F25"/>
    <w:rsid w:val="00305491"/>
    <w:rsid w:val="003055BF"/>
    <w:rsid w:val="003056A2"/>
    <w:rsid w:val="0031101B"/>
    <w:rsid w:val="0031111E"/>
    <w:rsid w:val="00312AE5"/>
    <w:rsid w:val="00313C30"/>
    <w:rsid w:val="00313C5C"/>
    <w:rsid w:val="00314B0B"/>
    <w:rsid w:val="00314C0E"/>
    <w:rsid w:val="00314C44"/>
    <w:rsid w:val="00315A36"/>
    <w:rsid w:val="00316B7C"/>
    <w:rsid w:val="00316D6A"/>
    <w:rsid w:val="00317BD1"/>
    <w:rsid w:val="00320451"/>
    <w:rsid w:val="0032082C"/>
    <w:rsid w:val="003218C8"/>
    <w:rsid w:val="003218F3"/>
    <w:rsid w:val="00321B3E"/>
    <w:rsid w:val="00322817"/>
    <w:rsid w:val="00323C1B"/>
    <w:rsid w:val="0032480A"/>
    <w:rsid w:val="00325670"/>
    <w:rsid w:val="00325B4B"/>
    <w:rsid w:val="00326F30"/>
    <w:rsid w:val="00327009"/>
    <w:rsid w:val="003277EA"/>
    <w:rsid w:val="003278E5"/>
    <w:rsid w:val="00327910"/>
    <w:rsid w:val="00330070"/>
    <w:rsid w:val="0033025C"/>
    <w:rsid w:val="003305A2"/>
    <w:rsid w:val="00331109"/>
    <w:rsid w:val="0033125D"/>
    <w:rsid w:val="0033173E"/>
    <w:rsid w:val="00331F46"/>
    <w:rsid w:val="003327D5"/>
    <w:rsid w:val="00332BE0"/>
    <w:rsid w:val="00333204"/>
    <w:rsid w:val="00333C3F"/>
    <w:rsid w:val="00333D47"/>
    <w:rsid w:val="00335C38"/>
    <w:rsid w:val="00335FD4"/>
    <w:rsid w:val="003375DF"/>
    <w:rsid w:val="00337E5D"/>
    <w:rsid w:val="00340D34"/>
    <w:rsid w:val="00340D69"/>
    <w:rsid w:val="00341CB3"/>
    <w:rsid w:val="00341EF0"/>
    <w:rsid w:val="00342616"/>
    <w:rsid w:val="00342D83"/>
    <w:rsid w:val="003434BD"/>
    <w:rsid w:val="003438FB"/>
    <w:rsid w:val="00343D6E"/>
    <w:rsid w:val="00343ECE"/>
    <w:rsid w:val="003445FB"/>
    <w:rsid w:val="00344BFF"/>
    <w:rsid w:val="00350443"/>
    <w:rsid w:val="00350F24"/>
    <w:rsid w:val="00353248"/>
    <w:rsid w:val="00353511"/>
    <w:rsid w:val="00353A16"/>
    <w:rsid w:val="00354148"/>
    <w:rsid w:val="0035441E"/>
    <w:rsid w:val="003547BB"/>
    <w:rsid w:val="00354FD4"/>
    <w:rsid w:val="00355FC0"/>
    <w:rsid w:val="0035693A"/>
    <w:rsid w:val="00356D70"/>
    <w:rsid w:val="00357389"/>
    <w:rsid w:val="00357A6C"/>
    <w:rsid w:val="00357A9B"/>
    <w:rsid w:val="00357B82"/>
    <w:rsid w:val="00357F3E"/>
    <w:rsid w:val="00360C32"/>
    <w:rsid w:val="003627BD"/>
    <w:rsid w:val="00363BAD"/>
    <w:rsid w:val="00363EEF"/>
    <w:rsid w:val="00364871"/>
    <w:rsid w:val="003649A7"/>
    <w:rsid w:val="003663D1"/>
    <w:rsid w:val="00366ABD"/>
    <w:rsid w:val="00367392"/>
    <w:rsid w:val="00367F82"/>
    <w:rsid w:val="00371755"/>
    <w:rsid w:val="00372BE9"/>
    <w:rsid w:val="0037366A"/>
    <w:rsid w:val="00374336"/>
    <w:rsid w:val="00374642"/>
    <w:rsid w:val="0037464D"/>
    <w:rsid w:val="00374769"/>
    <w:rsid w:val="00374C40"/>
    <w:rsid w:val="00375012"/>
    <w:rsid w:val="00375D61"/>
    <w:rsid w:val="00377878"/>
    <w:rsid w:val="00380BC4"/>
    <w:rsid w:val="003812BF"/>
    <w:rsid w:val="003823CD"/>
    <w:rsid w:val="00384EEB"/>
    <w:rsid w:val="003853FD"/>
    <w:rsid w:val="00385B09"/>
    <w:rsid w:val="0038616B"/>
    <w:rsid w:val="003861FB"/>
    <w:rsid w:val="0038691C"/>
    <w:rsid w:val="00386B24"/>
    <w:rsid w:val="00387816"/>
    <w:rsid w:val="003904FB"/>
    <w:rsid w:val="00390F41"/>
    <w:rsid w:val="00391352"/>
    <w:rsid w:val="00391809"/>
    <w:rsid w:val="00391A35"/>
    <w:rsid w:val="00392C66"/>
    <w:rsid w:val="00392E28"/>
    <w:rsid w:val="00393CDC"/>
    <w:rsid w:val="00393E98"/>
    <w:rsid w:val="00395840"/>
    <w:rsid w:val="00396BB3"/>
    <w:rsid w:val="003970F3"/>
    <w:rsid w:val="00397FC2"/>
    <w:rsid w:val="003A00F2"/>
    <w:rsid w:val="003A0BBF"/>
    <w:rsid w:val="003A1535"/>
    <w:rsid w:val="003A27E0"/>
    <w:rsid w:val="003A2C33"/>
    <w:rsid w:val="003A487C"/>
    <w:rsid w:val="003A49AC"/>
    <w:rsid w:val="003A4C7B"/>
    <w:rsid w:val="003A5F9C"/>
    <w:rsid w:val="003A6483"/>
    <w:rsid w:val="003B0872"/>
    <w:rsid w:val="003B0C67"/>
    <w:rsid w:val="003B0F1F"/>
    <w:rsid w:val="003B11A0"/>
    <w:rsid w:val="003B1B6C"/>
    <w:rsid w:val="003B20C6"/>
    <w:rsid w:val="003B2C01"/>
    <w:rsid w:val="003B2DF4"/>
    <w:rsid w:val="003B30BB"/>
    <w:rsid w:val="003B4570"/>
    <w:rsid w:val="003B4BFB"/>
    <w:rsid w:val="003B4DAA"/>
    <w:rsid w:val="003B50B6"/>
    <w:rsid w:val="003B51C7"/>
    <w:rsid w:val="003B5813"/>
    <w:rsid w:val="003B5A7F"/>
    <w:rsid w:val="003B7048"/>
    <w:rsid w:val="003B729A"/>
    <w:rsid w:val="003B7569"/>
    <w:rsid w:val="003B78CB"/>
    <w:rsid w:val="003C04DD"/>
    <w:rsid w:val="003C066E"/>
    <w:rsid w:val="003C0D8F"/>
    <w:rsid w:val="003C0F34"/>
    <w:rsid w:val="003C135C"/>
    <w:rsid w:val="003C1E03"/>
    <w:rsid w:val="003C25CD"/>
    <w:rsid w:val="003C2AE6"/>
    <w:rsid w:val="003C383F"/>
    <w:rsid w:val="003C3AFD"/>
    <w:rsid w:val="003C433E"/>
    <w:rsid w:val="003C4BCA"/>
    <w:rsid w:val="003C56F1"/>
    <w:rsid w:val="003C5A47"/>
    <w:rsid w:val="003C6086"/>
    <w:rsid w:val="003C666A"/>
    <w:rsid w:val="003C6F18"/>
    <w:rsid w:val="003C7524"/>
    <w:rsid w:val="003C766E"/>
    <w:rsid w:val="003C76EF"/>
    <w:rsid w:val="003D0B79"/>
    <w:rsid w:val="003D278C"/>
    <w:rsid w:val="003D2798"/>
    <w:rsid w:val="003D3109"/>
    <w:rsid w:val="003D347E"/>
    <w:rsid w:val="003D3527"/>
    <w:rsid w:val="003D3FC3"/>
    <w:rsid w:val="003D4EB8"/>
    <w:rsid w:val="003D540A"/>
    <w:rsid w:val="003D5CD9"/>
    <w:rsid w:val="003D5E53"/>
    <w:rsid w:val="003D631F"/>
    <w:rsid w:val="003D7673"/>
    <w:rsid w:val="003D7C79"/>
    <w:rsid w:val="003E082B"/>
    <w:rsid w:val="003E18DF"/>
    <w:rsid w:val="003E27C5"/>
    <w:rsid w:val="003E28B7"/>
    <w:rsid w:val="003E28E6"/>
    <w:rsid w:val="003E367A"/>
    <w:rsid w:val="003E4C0A"/>
    <w:rsid w:val="003E582C"/>
    <w:rsid w:val="003E5A23"/>
    <w:rsid w:val="003E70FC"/>
    <w:rsid w:val="003F0165"/>
    <w:rsid w:val="003F08D3"/>
    <w:rsid w:val="003F1038"/>
    <w:rsid w:val="003F1A81"/>
    <w:rsid w:val="003F2906"/>
    <w:rsid w:val="003F301C"/>
    <w:rsid w:val="003F3AC8"/>
    <w:rsid w:val="003F4E1E"/>
    <w:rsid w:val="003F54A1"/>
    <w:rsid w:val="003F5745"/>
    <w:rsid w:val="003F5C7B"/>
    <w:rsid w:val="003F5F8B"/>
    <w:rsid w:val="003F62D1"/>
    <w:rsid w:val="003F7694"/>
    <w:rsid w:val="00400CB0"/>
    <w:rsid w:val="00401581"/>
    <w:rsid w:val="00401E07"/>
    <w:rsid w:val="00403231"/>
    <w:rsid w:val="00403A02"/>
    <w:rsid w:val="00403CE3"/>
    <w:rsid w:val="004055C1"/>
    <w:rsid w:val="00405B5B"/>
    <w:rsid w:val="00406658"/>
    <w:rsid w:val="004070C7"/>
    <w:rsid w:val="00407505"/>
    <w:rsid w:val="00407A93"/>
    <w:rsid w:val="00410BD2"/>
    <w:rsid w:val="00412686"/>
    <w:rsid w:val="00414A58"/>
    <w:rsid w:val="00414AF7"/>
    <w:rsid w:val="00415977"/>
    <w:rsid w:val="0041669E"/>
    <w:rsid w:val="00416822"/>
    <w:rsid w:val="004212FE"/>
    <w:rsid w:val="0042193E"/>
    <w:rsid w:val="00421E57"/>
    <w:rsid w:val="004223C7"/>
    <w:rsid w:val="00423130"/>
    <w:rsid w:val="00423433"/>
    <w:rsid w:val="004234B4"/>
    <w:rsid w:val="00425472"/>
    <w:rsid w:val="004254DD"/>
    <w:rsid w:val="00426790"/>
    <w:rsid w:val="004270C7"/>
    <w:rsid w:val="00427D90"/>
    <w:rsid w:val="00430503"/>
    <w:rsid w:val="004307B6"/>
    <w:rsid w:val="0043114C"/>
    <w:rsid w:val="00431635"/>
    <w:rsid w:val="0043355A"/>
    <w:rsid w:val="00436166"/>
    <w:rsid w:val="00436C61"/>
    <w:rsid w:val="00436DEC"/>
    <w:rsid w:val="00436E0B"/>
    <w:rsid w:val="00436EE2"/>
    <w:rsid w:val="00437951"/>
    <w:rsid w:val="00440127"/>
    <w:rsid w:val="0044104F"/>
    <w:rsid w:val="00441CD3"/>
    <w:rsid w:val="00443452"/>
    <w:rsid w:val="004448EA"/>
    <w:rsid w:val="0044569D"/>
    <w:rsid w:val="00445D8E"/>
    <w:rsid w:val="00445E76"/>
    <w:rsid w:val="004470FE"/>
    <w:rsid w:val="00447313"/>
    <w:rsid w:val="00447838"/>
    <w:rsid w:val="00447D47"/>
    <w:rsid w:val="00450093"/>
    <w:rsid w:val="0045103A"/>
    <w:rsid w:val="00452029"/>
    <w:rsid w:val="00452082"/>
    <w:rsid w:val="00452532"/>
    <w:rsid w:val="0045282E"/>
    <w:rsid w:val="004547B1"/>
    <w:rsid w:val="0045522C"/>
    <w:rsid w:val="00455ED6"/>
    <w:rsid w:val="00456844"/>
    <w:rsid w:val="00456CA7"/>
    <w:rsid w:val="00460870"/>
    <w:rsid w:val="00461BD9"/>
    <w:rsid w:val="00462288"/>
    <w:rsid w:val="00462DAB"/>
    <w:rsid w:val="0046335B"/>
    <w:rsid w:val="004634A8"/>
    <w:rsid w:val="004638F4"/>
    <w:rsid w:val="00463D16"/>
    <w:rsid w:val="00465A5D"/>
    <w:rsid w:val="004667EF"/>
    <w:rsid w:val="00467DBF"/>
    <w:rsid w:val="00470EE6"/>
    <w:rsid w:val="00470FDA"/>
    <w:rsid w:val="00471125"/>
    <w:rsid w:val="00471453"/>
    <w:rsid w:val="0047235D"/>
    <w:rsid w:val="00472365"/>
    <w:rsid w:val="00472A45"/>
    <w:rsid w:val="00472A79"/>
    <w:rsid w:val="0047370E"/>
    <w:rsid w:val="00473D4A"/>
    <w:rsid w:val="00475016"/>
    <w:rsid w:val="00475231"/>
    <w:rsid w:val="00475983"/>
    <w:rsid w:val="00476B3B"/>
    <w:rsid w:val="00476F7D"/>
    <w:rsid w:val="00477031"/>
    <w:rsid w:val="00477A91"/>
    <w:rsid w:val="0048036E"/>
    <w:rsid w:val="004819DF"/>
    <w:rsid w:val="0048215A"/>
    <w:rsid w:val="0048464C"/>
    <w:rsid w:val="004857F2"/>
    <w:rsid w:val="00486FAE"/>
    <w:rsid w:val="0048788A"/>
    <w:rsid w:val="00491323"/>
    <w:rsid w:val="004916CE"/>
    <w:rsid w:val="00492A4E"/>
    <w:rsid w:val="00492E99"/>
    <w:rsid w:val="00493006"/>
    <w:rsid w:val="00493174"/>
    <w:rsid w:val="004936E2"/>
    <w:rsid w:val="00493DD6"/>
    <w:rsid w:val="0049574E"/>
    <w:rsid w:val="00495881"/>
    <w:rsid w:val="00496017"/>
    <w:rsid w:val="00497C94"/>
    <w:rsid w:val="00497CD5"/>
    <w:rsid w:val="004A02FE"/>
    <w:rsid w:val="004A0461"/>
    <w:rsid w:val="004A0551"/>
    <w:rsid w:val="004A0A78"/>
    <w:rsid w:val="004A2C46"/>
    <w:rsid w:val="004A2F26"/>
    <w:rsid w:val="004A48A5"/>
    <w:rsid w:val="004A4F1A"/>
    <w:rsid w:val="004A4FCE"/>
    <w:rsid w:val="004A52CC"/>
    <w:rsid w:val="004A625A"/>
    <w:rsid w:val="004A65CA"/>
    <w:rsid w:val="004A6719"/>
    <w:rsid w:val="004A7820"/>
    <w:rsid w:val="004B02F0"/>
    <w:rsid w:val="004B0FB5"/>
    <w:rsid w:val="004B1935"/>
    <w:rsid w:val="004B1D70"/>
    <w:rsid w:val="004B1EF4"/>
    <w:rsid w:val="004B3159"/>
    <w:rsid w:val="004B330D"/>
    <w:rsid w:val="004B354B"/>
    <w:rsid w:val="004B37B8"/>
    <w:rsid w:val="004B3F8D"/>
    <w:rsid w:val="004B41FF"/>
    <w:rsid w:val="004B4F4B"/>
    <w:rsid w:val="004B6CA3"/>
    <w:rsid w:val="004B6D3C"/>
    <w:rsid w:val="004B7486"/>
    <w:rsid w:val="004B79F3"/>
    <w:rsid w:val="004B7D6E"/>
    <w:rsid w:val="004C0137"/>
    <w:rsid w:val="004C01FE"/>
    <w:rsid w:val="004C0B0C"/>
    <w:rsid w:val="004C0ECC"/>
    <w:rsid w:val="004C12E6"/>
    <w:rsid w:val="004C1FA6"/>
    <w:rsid w:val="004C2A0D"/>
    <w:rsid w:val="004C42E1"/>
    <w:rsid w:val="004C4E9F"/>
    <w:rsid w:val="004C50DA"/>
    <w:rsid w:val="004C5997"/>
    <w:rsid w:val="004C6234"/>
    <w:rsid w:val="004C6CCB"/>
    <w:rsid w:val="004C7370"/>
    <w:rsid w:val="004D1E25"/>
    <w:rsid w:val="004D36C1"/>
    <w:rsid w:val="004D4ED1"/>
    <w:rsid w:val="004D5EBA"/>
    <w:rsid w:val="004D6D83"/>
    <w:rsid w:val="004E02F4"/>
    <w:rsid w:val="004E0647"/>
    <w:rsid w:val="004E0CA0"/>
    <w:rsid w:val="004E14DA"/>
    <w:rsid w:val="004E227B"/>
    <w:rsid w:val="004E26F3"/>
    <w:rsid w:val="004E2B60"/>
    <w:rsid w:val="004E32E8"/>
    <w:rsid w:val="004E3AA3"/>
    <w:rsid w:val="004E3BC2"/>
    <w:rsid w:val="004E4229"/>
    <w:rsid w:val="004E4A53"/>
    <w:rsid w:val="004E5328"/>
    <w:rsid w:val="004E5AE1"/>
    <w:rsid w:val="004E7509"/>
    <w:rsid w:val="004E7BF0"/>
    <w:rsid w:val="004E7F49"/>
    <w:rsid w:val="004F12D4"/>
    <w:rsid w:val="004F13D1"/>
    <w:rsid w:val="004F1786"/>
    <w:rsid w:val="004F20A9"/>
    <w:rsid w:val="004F2849"/>
    <w:rsid w:val="004F4103"/>
    <w:rsid w:val="004F44EB"/>
    <w:rsid w:val="004F519E"/>
    <w:rsid w:val="004F61A1"/>
    <w:rsid w:val="00500030"/>
    <w:rsid w:val="00500A8A"/>
    <w:rsid w:val="0050106B"/>
    <w:rsid w:val="00501082"/>
    <w:rsid w:val="00501892"/>
    <w:rsid w:val="00501F03"/>
    <w:rsid w:val="00502040"/>
    <w:rsid w:val="005023B2"/>
    <w:rsid w:val="005039F7"/>
    <w:rsid w:val="0050531D"/>
    <w:rsid w:val="005055A2"/>
    <w:rsid w:val="0050564C"/>
    <w:rsid w:val="00505B9F"/>
    <w:rsid w:val="00506488"/>
    <w:rsid w:val="0050701C"/>
    <w:rsid w:val="005075D0"/>
    <w:rsid w:val="00510729"/>
    <w:rsid w:val="00510D51"/>
    <w:rsid w:val="00510FCF"/>
    <w:rsid w:val="0051213A"/>
    <w:rsid w:val="0051226E"/>
    <w:rsid w:val="00512352"/>
    <w:rsid w:val="00512836"/>
    <w:rsid w:val="00512A02"/>
    <w:rsid w:val="00513A23"/>
    <w:rsid w:val="00513EA0"/>
    <w:rsid w:val="005167AC"/>
    <w:rsid w:val="0052070E"/>
    <w:rsid w:val="00520952"/>
    <w:rsid w:val="00520A90"/>
    <w:rsid w:val="005216CB"/>
    <w:rsid w:val="00521D6E"/>
    <w:rsid w:val="005226C1"/>
    <w:rsid w:val="00523711"/>
    <w:rsid w:val="005241D9"/>
    <w:rsid w:val="00524966"/>
    <w:rsid w:val="00524CD7"/>
    <w:rsid w:val="00524E00"/>
    <w:rsid w:val="00525A90"/>
    <w:rsid w:val="00526731"/>
    <w:rsid w:val="005267ED"/>
    <w:rsid w:val="0052759F"/>
    <w:rsid w:val="00530F95"/>
    <w:rsid w:val="005315E7"/>
    <w:rsid w:val="005318D6"/>
    <w:rsid w:val="00531D57"/>
    <w:rsid w:val="005325B4"/>
    <w:rsid w:val="00532830"/>
    <w:rsid w:val="00532B72"/>
    <w:rsid w:val="00533B6A"/>
    <w:rsid w:val="00533BAF"/>
    <w:rsid w:val="00533CDB"/>
    <w:rsid w:val="00533E1C"/>
    <w:rsid w:val="00534056"/>
    <w:rsid w:val="0053471A"/>
    <w:rsid w:val="0053472B"/>
    <w:rsid w:val="0053540F"/>
    <w:rsid w:val="00535A29"/>
    <w:rsid w:val="00535F6C"/>
    <w:rsid w:val="0053694A"/>
    <w:rsid w:val="00540636"/>
    <w:rsid w:val="00540CE1"/>
    <w:rsid w:val="00541A86"/>
    <w:rsid w:val="0054245B"/>
    <w:rsid w:val="00542A26"/>
    <w:rsid w:val="0054361D"/>
    <w:rsid w:val="005442B9"/>
    <w:rsid w:val="00545083"/>
    <w:rsid w:val="00545316"/>
    <w:rsid w:val="0054571A"/>
    <w:rsid w:val="00545EDE"/>
    <w:rsid w:val="00546119"/>
    <w:rsid w:val="00547867"/>
    <w:rsid w:val="005478B2"/>
    <w:rsid w:val="00547CD6"/>
    <w:rsid w:val="00547CF9"/>
    <w:rsid w:val="005502BD"/>
    <w:rsid w:val="00550DCB"/>
    <w:rsid w:val="0055158A"/>
    <w:rsid w:val="005519C8"/>
    <w:rsid w:val="00553773"/>
    <w:rsid w:val="00553C7E"/>
    <w:rsid w:val="00553F16"/>
    <w:rsid w:val="00554245"/>
    <w:rsid w:val="00554919"/>
    <w:rsid w:val="0055494F"/>
    <w:rsid w:val="0055652D"/>
    <w:rsid w:val="0055674A"/>
    <w:rsid w:val="00556D0A"/>
    <w:rsid w:val="00557552"/>
    <w:rsid w:val="00557E98"/>
    <w:rsid w:val="00560C71"/>
    <w:rsid w:val="00561441"/>
    <w:rsid w:val="00561EE6"/>
    <w:rsid w:val="005625D3"/>
    <w:rsid w:val="00565CDB"/>
    <w:rsid w:val="00566404"/>
    <w:rsid w:val="00566D2D"/>
    <w:rsid w:val="005670C2"/>
    <w:rsid w:val="005709C2"/>
    <w:rsid w:val="00570A34"/>
    <w:rsid w:val="00571596"/>
    <w:rsid w:val="00572DB7"/>
    <w:rsid w:val="0057302B"/>
    <w:rsid w:val="00573A33"/>
    <w:rsid w:val="00574178"/>
    <w:rsid w:val="00574854"/>
    <w:rsid w:val="005755B1"/>
    <w:rsid w:val="005755D6"/>
    <w:rsid w:val="005761C3"/>
    <w:rsid w:val="00576650"/>
    <w:rsid w:val="00580C7E"/>
    <w:rsid w:val="00582068"/>
    <w:rsid w:val="0058262B"/>
    <w:rsid w:val="005826C0"/>
    <w:rsid w:val="005835D4"/>
    <w:rsid w:val="00585748"/>
    <w:rsid w:val="00585CD9"/>
    <w:rsid w:val="00586210"/>
    <w:rsid w:val="005863B6"/>
    <w:rsid w:val="005864E8"/>
    <w:rsid w:val="00587C4B"/>
    <w:rsid w:val="0059020A"/>
    <w:rsid w:val="00591009"/>
    <w:rsid w:val="00591280"/>
    <w:rsid w:val="00591FC9"/>
    <w:rsid w:val="00592080"/>
    <w:rsid w:val="005925F7"/>
    <w:rsid w:val="00593636"/>
    <w:rsid w:val="00593DA2"/>
    <w:rsid w:val="0059482C"/>
    <w:rsid w:val="00595520"/>
    <w:rsid w:val="00595BD1"/>
    <w:rsid w:val="005A0736"/>
    <w:rsid w:val="005A0B5F"/>
    <w:rsid w:val="005A21D2"/>
    <w:rsid w:val="005A429A"/>
    <w:rsid w:val="005A46EB"/>
    <w:rsid w:val="005A4E41"/>
    <w:rsid w:val="005A6797"/>
    <w:rsid w:val="005A7608"/>
    <w:rsid w:val="005A772E"/>
    <w:rsid w:val="005B04B0"/>
    <w:rsid w:val="005B0A55"/>
    <w:rsid w:val="005B0CE5"/>
    <w:rsid w:val="005B0F9C"/>
    <w:rsid w:val="005B1F3C"/>
    <w:rsid w:val="005B2021"/>
    <w:rsid w:val="005B2AE1"/>
    <w:rsid w:val="005B4909"/>
    <w:rsid w:val="005B4BE1"/>
    <w:rsid w:val="005B5138"/>
    <w:rsid w:val="005B533A"/>
    <w:rsid w:val="005B5DBB"/>
    <w:rsid w:val="005B771B"/>
    <w:rsid w:val="005C011C"/>
    <w:rsid w:val="005C0D56"/>
    <w:rsid w:val="005C1162"/>
    <w:rsid w:val="005C12AA"/>
    <w:rsid w:val="005C1D18"/>
    <w:rsid w:val="005C2619"/>
    <w:rsid w:val="005C2B33"/>
    <w:rsid w:val="005C3A3F"/>
    <w:rsid w:val="005C43AA"/>
    <w:rsid w:val="005C47BB"/>
    <w:rsid w:val="005C549C"/>
    <w:rsid w:val="005C6492"/>
    <w:rsid w:val="005D0115"/>
    <w:rsid w:val="005D022D"/>
    <w:rsid w:val="005D0AA3"/>
    <w:rsid w:val="005D0FC5"/>
    <w:rsid w:val="005D15D1"/>
    <w:rsid w:val="005D16C2"/>
    <w:rsid w:val="005D193D"/>
    <w:rsid w:val="005D1F2D"/>
    <w:rsid w:val="005D2BFF"/>
    <w:rsid w:val="005D2C18"/>
    <w:rsid w:val="005D2F60"/>
    <w:rsid w:val="005D3CDA"/>
    <w:rsid w:val="005D3E13"/>
    <w:rsid w:val="005D402D"/>
    <w:rsid w:val="005D6094"/>
    <w:rsid w:val="005D6297"/>
    <w:rsid w:val="005D725E"/>
    <w:rsid w:val="005E095E"/>
    <w:rsid w:val="005E0C16"/>
    <w:rsid w:val="005E1548"/>
    <w:rsid w:val="005E1BE5"/>
    <w:rsid w:val="005E1D78"/>
    <w:rsid w:val="005E1ED8"/>
    <w:rsid w:val="005E2039"/>
    <w:rsid w:val="005E213F"/>
    <w:rsid w:val="005E2E0F"/>
    <w:rsid w:val="005E313F"/>
    <w:rsid w:val="005E4121"/>
    <w:rsid w:val="005E4533"/>
    <w:rsid w:val="005E6139"/>
    <w:rsid w:val="005E64A8"/>
    <w:rsid w:val="005E669E"/>
    <w:rsid w:val="005F01C2"/>
    <w:rsid w:val="005F0739"/>
    <w:rsid w:val="005F1151"/>
    <w:rsid w:val="005F1516"/>
    <w:rsid w:val="005F1A58"/>
    <w:rsid w:val="005F1D43"/>
    <w:rsid w:val="005F29E6"/>
    <w:rsid w:val="005F2F05"/>
    <w:rsid w:val="005F3425"/>
    <w:rsid w:val="005F40A7"/>
    <w:rsid w:val="005F4CF0"/>
    <w:rsid w:val="005F55BA"/>
    <w:rsid w:val="005F6CBB"/>
    <w:rsid w:val="005F737A"/>
    <w:rsid w:val="005F756B"/>
    <w:rsid w:val="005F7705"/>
    <w:rsid w:val="005F7CFB"/>
    <w:rsid w:val="005F7F9D"/>
    <w:rsid w:val="006005C1"/>
    <w:rsid w:val="00600F67"/>
    <w:rsid w:val="00600FF8"/>
    <w:rsid w:val="00601C55"/>
    <w:rsid w:val="00601EFE"/>
    <w:rsid w:val="006032C5"/>
    <w:rsid w:val="00604D3C"/>
    <w:rsid w:val="0060660C"/>
    <w:rsid w:val="00606650"/>
    <w:rsid w:val="006069FE"/>
    <w:rsid w:val="00607015"/>
    <w:rsid w:val="00607775"/>
    <w:rsid w:val="00610F15"/>
    <w:rsid w:val="00611726"/>
    <w:rsid w:val="00611C5F"/>
    <w:rsid w:val="00612BA9"/>
    <w:rsid w:val="00612E69"/>
    <w:rsid w:val="00613B04"/>
    <w:rsid w:val="00614159"/>
    <w:rsid w:val="0061457A"/>
    <w:rsid w:val="00615496"/>
    <w:rsid w:val="006157B1"/>
    <w:rsid w:val="00615B8C"/>
    <w:rsid w:val="00615BD6"/>
    <w:rsid w:val="00617B74"/>
    <w:rsid w:val="00617BED"/>
    <w:rsid w:val="00620D0C"/>
    <w:rsid w:val="00621212"/>
    <w:rsid w:val="006217DA"/>
    <w:rsid w:val="006222AA"/>
    <w:rsid w:val="00622380"/>
    <w:rsid w:val="00622AE5"/>
    <w:rsid w:val="00623536"/>
    <w:rsid w:val="00624F03"/>
    <w:rsid w:val="00624F4F"/>
    <w:rsid w:val="00625447"/>
    <w:rsid w:val="00626350"/>
    <w:rsid w:val="00626373"/>
    <w:rsid w:val="00626435"/>
    <w:rsid w:val="00626441"/>
    <w:rsid w:val="00626796"/>
    <w:rsid w:val="00626C6A"/>
    <w:rsid w:val="00627336"/>
    <w:rsid w:val="00630B92"/>
    <w:rsid w:val="00630BA1"/>
    <w:rsid w:val="00630D2C"/>
    <w:rsid w:val="00630D6B"/>
    <w:rsid w:val="00630D8A"/>
    <w:rsid w:val="00630FEB"/>
    <w:rsid w:val="0063101F"/>
    <w:rsid w:val="00631F74"/>
    <w:rsid w:val="00632A91"/>
    <w:rsid w:val="006330A8"/>
    <w:rsid w:val="00633966"/>
    <w:rsid w:val="006346CE"/>
    <w:rsid w:val="00635CEA"/>
    <w:rsid w:val="00636C3C"/>
    <w:rsid w:val="00636E22"/>
    <w:rsid w:val="00640554"/>
    <w:rsid w:val="00640BB3"/>
    <w:rsid w:val="00641318"/>
    <w:rsid w:val="00641EB2"/>
    <w:rsid w:val="00641F86"/>
    <w:rsid w:val="006428D8"/>
    <w:rsid w:val="00642D45"/>
    <w:rsid w:val="0064332B"/>
    <w:rsid w:val="0064408F"/>
    <w:rsid w:val="00644B83"/>
    <w:rsid w:val="00644BF6"/>
    <w:rsid w:val="0064527B"/>
    <w:rsid w:val="006453A3"/>
    <w:rsid w:val="006467C0"/>
    <w:rsid w:val="00646EAD"/>
    <w:rsid w:val="00647504"/>
    <w:rsid w:val="00647665"/>
    <w:rsid w:val="00647B8B"/>
    <w:rsid w:val="00651A9D"/>
    <w:rsid w:val="00652463"/>
    <w:rsid w:val="00652842"/>
    <w:rsid w:val="006533AE"/>
    <w:rsid w:val="0065350D"/>
    <w:rsid w:val="0065370B"/>
    <w:rsid w:val="00653723"/>
    <w:rsid w:val="00653BF1"/>
    <w:rsid w:val="00653D8C"/>
    <w:rsid w:val="0065481C"/>
    <w:rsid w:val="00654973"/>
    <w:rsid w:val="0065508E"/>
    <w:rsid w:val="00655C8F"/>
    <w:rsid w:val="00656397"/>
    <w:rsid w:val="006564E6"/>
    <w:rsid w:val="00656CE8"/>
    <w:rsid w:val="006576A0"/>
    <w:rsid w:val="006579B0"/>
    <w:rsid w:val="00657EA4"/>
    <w:rsid w:val="00660048"/>
    <w:rsid w:val="006602A8"/>
    <w:rsid w:val="006604D3"/>
    <w:rsid w:val="006611E5"/>
    <w:rsid w:val="00661451"/>
    <w:rsid w:val="00662DA7"/>
    <w:rsid w:val="00662E61"/>
    <w:rsid w:val="00662F33"/>
    <w:rsid w:val="006640A8"/>
    <w:rsid w:val="00665E84"/>
    <w:rsid w:val="00666DC1"/>
    <w:rsid w:val="00667075"/>
    <w:rsid w:val="006672D7"/>
    <w:rsid w:val="0067059B"/>
    <w:rsid w:val="00670B37"/>
    <w:rsid w:val="00670D20"/>
    <w:rsid w:val="00670DAC"/>
    <w:rsid w:val="00671070"/>
    <w:rsid w:val="00671190"/>
    <w:rsid w:val="0067163E"/>
    <w:rsid w:val="00671744"/>
    <w:rsid w:val="006729FD"/>
    <w:rsid w:val="00673094"/>
    <w:rsid w:val="00674893"/>
    <w:rsid w:val="006749AA"/>
    <w:rsid w:val="00674D56"/>
    <w:rsid w:val="0067548E"/>
    <w:rsid w:val="00675582"/>
    <w:rsid w:val="00675886"/>
    <w:rsid w:val="0067598D"/>
    <w:rsid w:val="006759B0"/>
    <w:rsid w:val="00676199"/>
    <w:rsid w:val="006761A3"/>
    <w:rsid w:val="00676AE8"/>
    <w:rsid w:val="00676EFE"/>
    <w:rsid w:val="00677138"/>
    <w:rsid w:val="00680C50"/>
    <w:rsid w:val="0068237E"/>
    <w:rsid w:val="00682EFA"/>
    <w:rsid w:val="00683074"/>
    <w:rsid w:val="0068376F"/>
    <w:rsid w:val="00683980"/>
    <w:rsid w:val="00683C3A"/>
    <w:rsid w:val="00684345"/>
    <w:rsid w:val="006843C5"/>
    <w:rsid w:val="006865B0"/>
    <w:rsid w:val="0068669D"/>
    <w:rsid w:val="00686A8F"/>
    <w:rsid w:val="00687D2D"/>
    <w:rsid w:val="006903C8"/>
    <w:rsid w:val="00690712"/>
    <w:rsid w:val="00690E5C"/>
    <w:rsid w:val="00690FF1"/>
    <w:rsid w:val="00691987"/>
    <w:rsid w:val="00691CCF"/>
    <w:rsid w:val="00692694"/>
    <w:rsid w:val="00693004"/>
    <w:rsid w:val="006939B5"/>
    <w:rsid w:val="00695813"/>
    <w:rsid w:val="0069630B"/>
    <w:rsid w:val="00696585"/>
    <w:rsid w:val="00696925"/>
    <w:rsid w:val="00696E30"/>
    <w:rsid w:val="006A09EA"/>
    <w:rsid w:val="006A1555"/>
    <w:rsid w:val="006A18B6"/>
    <w:rsid w:val="006A2AED"/>
    <w:rsid w:val="006A2EA6"/>
    <w:rsid w:val="006A4110"/>
    <w:rsid w:val="006A494B"/>
    <w:rsid w:val="006A50D9"/>
    <w:rsid w:val="006A5170"/>
    <w:rsid w:val="006A5E23"/>
    <w:rsid w:val="006A62D2"/>
    <w:rsid w:val="006A674B"/>
    <w:rsid w:val="006A76D6"/>
    <w:rsid w:val="006A7EEB"/>
    <w:rsid w:val="006A7FCE"/>
    <w:rsid w:val="006B0265"/>
    <w:rsid w:val="006B056D"/>
    <w:rsid w:val="006B15B4"/>
    <w:rsid w:val="006B165C"/>
    <w:rsid w:val="006B198A"/>
    <w:rsid w:val="006B2710"/>
    <w:rsid w:val="006B2FAA"/>
    <w:rsid w:val="006B31D0"/>
    <w:rsid w:val="006B3632"/>
    <w:rsid w:val="006B4754"/>
    <w:rsid w:val="006B4FA6"/>
    <w:rsid w:val="006B5B82"/>
    <w:rsid w:val="006B61BA"/>
    <w:rsid w:val="006B6490"/>
    <w:rsid w:val="006B7D1A"/>
    <w:rsid w:val="006C0095"/>
    <w:rsid w:val="006C06DA"/>
    <w:rsid w:val="006C1062"/>
    <w:rsid w:val="006C16C5"/>
    <w:rsid w:val="006C1C74"/>
    <w:rsid w:val="006C2376"/>
    <w:rsid w:val="006C2EB4"/>
    <w:rsid w:val="006C4E06"/>
    <w:rsid w:val="006C5D5F"/>
    <w:rsid w:val="006C633B"/>
    <w:rsid w:val="006C63CF"/>
    <w:rsid w:val="006C7B43"/>
    <w:rsid w:val="006D00C0"/>
    <w:rsid w:val="006D0409"/>
    <w:rsid w:val="006D07D3"/>
    <w:rsid w:val="006D1820"/>
    <w:rsid w:val="006D2055"/>
    <w:rsid w:val="006D2965"/>
    <w:rsid w:val="006D3997"/>
    <w:rsid w:val="006D3B52"/>
    <w:rsid w:val="006D4DE5"/>
    <w:rsid w:val="006D62DA"/>
    <w:rsid w:val="006D7F85"/>
    <w:rsid w:val="006D7FF6"/>
    <w:rsid w:val="006E06E7"/>
    <w:rsid w:val="006E09B5"/>
    <w:rsid w:val="006E17F9"/>
    <w:rsid w:val="006E2028"/>
    <w:rsid w:val="006E2F19"/>
    <w:rsid w:val="006E366A"/>
    <w:rsid w:val="006E3ACC"/>
    <w:rsid w:val="006E3F80"/>
    <w:rsid w:val="006E5929"/>
    <w:rsid w:val="006E709E"/>
    <w:rsid w:val="006F13DD"/>
    <w:rsid w:val="006F1ABA"/>
    <w:rsid w:val="006F2277"/>
    <w:rsid w:val="006F2F42"/>
    <w:rsid w:val="006F32B5"/>
    <w:rsid w:val="006F471B"/>
    <w:rsid w:val="006F4C6D"/>
    <w:rsid w:val="006F5096"/>
    <w:rsid w:val="006F6191"/>
    <w:rsid w:val="006F6DA4"/>
    <w:rsid w:val="006F6E91"/>
    <w:rsid w:val="006F7117"/>
    <w:rsid w:val="006F769A"/>
    <w:rsid w:val="006F7910"/>
    <w:rsid w:val="00700412"/>
    <w:rsid w:val="007007D9"/>
    <w:rsid w:val="00700E2B"/>
    <w:rsid w:val="007017D6"/>
    <w:rsid w:val="00703221"/>
    <w:rsid w:val="00703C9C"/>
    <w:rsid w:val="00703DA2"/>
    <w:rsid w:val="00704639"/>
    <w:rsid w:val="00704835"/>
    <w:rsid w:val="00704BAC"/>
    <w:rsid w:val="007056EA"/>
    <w:rsid w:val="00705AB0"/>
    <w:rsid w:val="00705F8D"/>
    <w:rsid w:val="00706002"/>
    <w:rsid w:val="00706068"/>
    <w:rsid w:val="00706534"/>
    <w:rsid w:val="00706B0A"/>
    <w:rsid w:val="00707B74"/>
    <w:rsid w:val="00710EEF"/>
    <w:rsid w:val="007110DB"/>
    <w:rsid w:val="007115E6"/>
    <w:rsid w:val="0071169E"/>
    <w:rsid w:val="007128BC"/>
    <w:rsid w:val="00712AD3"/>
    <w:rsid w:val="0071376A"/>
    <w:rsid w:val="00713889"/>
    <w:rsid w:val="007139A2"/>
    <w:rsid w:val="0071495A"/>
    <w:rsid w:val="00714C6B"/>
    <w:rsid w:val="00714C84"/>
    <w:rsid w:val="00715C69"/>
    <w:rsid w:val="00715EC1"/>
    <w:rsid w:val="00717452"/>
    <w:rsid w:val="00720902"/>
    <w:rsid w:val="00720986"/>
    <w:rsid w:val="00720DEA"/>
    <w:rsid w:val="00721671"/>
    <w:rsid w:val="00723337"/>
    <w:rsid w:val="007245DE"/>
    <w:rsid w:val="007247FE"/>
    <w:rsid w:val="00725B8A"/>
    <w:rsid w:val="00725B97"/>
    <w:rsid w:val="00726278"/>
    <w:rsid w:val="007269A0"/>
    <w:rsid w:val="00726B11"/>
    <w:rsid w:val="0072727E"/>
    <w:rsid w:val="00727290"/>
    <w:rsid w:val="0072787D"/>
    <w:rsid w:val="0073066C"/>
    <w:rsid w:val="00730B94"/>
    <w:rsid w:val="00731CF5"/>
    <w:rsid w:val="00732E99"/>
    <w:rsid w:val="0073315A"/>
    <w:rsid w:val="007333C9"/>
    <w:rsid w:val="00733C7F"/>
    <w:rsid w:val="007355E7"/>
    <w:rsid w:val="00735671"/>
    <w:rsid w:val="00735D92"/>
    <w:rsid w:val="0073626C"/>
    <w:rsid w:val="00740AFF"/>
    <w:rsid w:val="00741C05"/>
    <w:rsid w:val="00741D88"/>
    <w:rsid w:val="00743046"/>
    <w:rsid w:val="00743FF4"/>
    <w:rsid w:val="0074409A"/>
    <w:rsid w:val="00744E7B"/>
    <w:rsid w:val="00745947"/>
    <w:rsid w:val="007468B6"/>
    <w:rsid w:val="00746B06"/>
    <w:rsid w:val="00747482"/>
    <w:rsid w:val="00747828"/>
    <w:rsid w:val="00747915"/>
    <w:rsid w:val="00751BD6"/>
    <w:rsid w:val="00751CC7"/>
    <w:rsid w:val="007521E8"/>
    <w:rsid w:val="00752504"/>
    <w:rsid w:val="0075284A"/>
    <w:rsid w:val="00752BD2"/>
    <w:rsid w:val="00752CF1"/>
    <w:rsid w:val="00752D0A"/>
    <w:rsid w:val="00753B20"/>
    <w:rsid w:val="00755DA2"/>
    <w:rsid w:val="007563D2"/>
    <w:rsid w:val="00756966"/>
    <w:rsid w:val="00756EB3"/>
    <w:rsid w:val="0075716D"/>
    <w:rsid w:val="00760C47"/>
    <w:rsid w:val="00761A55"/>
    <w:rsid w:val="0076206E"/>
    <w:rsid w:val="007621B5"/>
    <w:rsid w:val="00762743"/>
    <w:rsid w:val="00762B56"/>
    <w:rsid w:val="00763E58"/>
    <w:rsid w:val="007654BD"/>
    <w:rsid w:val="00766432"/>
    <w:rsid w:val="007669E1"/>
    <w:rsid w:val="00767A5C"/>
    <w:rsid w:val="00767E65"/>
    <w:rsid w:val="007701D9"/>
    <w:rsid w:val="0077076D"/>
    <w:rsid w:val="007708C8"/>
    <w:rsid w:val="00771649"/>
    <w:rsid w:val="0077198D"/>
    <w:rsid w:val="007720C9"/>
    <w:rsid w:val="00772952"/>
    <w:rsid w:val="00773094"/>
    <w:rsid w:val="00773AD4"/>
    <w:rsid w:val="00773B1C"/>
    <w:rsid w:val="007740DA"/>
    <w:rsid w:val="007749C9"/>
    <w:rsid w:val="0077787D"/>
    <w:rsid w:val="007778A1"/>
    <w:rsid w:val="00777FB8"/>
    <w:rsid w:val="00777FB9"/>
    <w:rsid w:val="00780D87"/>
    <w:rsid w:val="00780F15"/>
    <w:rsid w:val="00781361"/>
    <w:rsid w:val="00781E3A"/>
    <w:rsid w:val="00783FEB"/>
    <w:rsid w:val="00784785"/>
    <w:rsid w:val="00784B50"/>
    <w:rsid w:val="00786059"/>
    <w:rsid w:val="0078679A"/>
    <w:rsid w:val="00790B34"/>
    <w:rsid w:val="007920F8"/>
    <w:rsid w:val="0079210D"/>
    <w:rsid w:val="00792AD1"/>
    <w:rsid w:val="00793EC6"/>
    <w:rsid w:val="00793F79"/>
    <w:rsid w:val="00795C2D"/>
    <w:rsid w:val="00797049"/>
    <w:rsid w:val="007A0736"/>
    <w:rsid w:val="007A08CF"/>
    <w:rsid w:val="007A17A0"/>
    <w:rsid w:val="007A1BE0"/>
    <w:rsid w:val="007A230C"/>
    <w:rsid w:val="007A245F"/>
    <w:rsid w:val="007A2A6D"/>
    <w:rsid w:val="007A3029"/>
    <w:rsid w:val="007A34BD"/>
    <w:rsid w:val="007A4604"/>
    <w:rsid w:val="007A47A0"/>
    <w:rsid w:val="007A4A9B"/>
    <w:rsid w:val="007A5078"/>
    <w:rsid w:val="007A6928"/>
    <w:rsid w:val="007A6BD2"/>
    <w:rsid w:val="007A7E06"/>
    <w:rsid w:val="007B0E3D"/>
    <w:rsid w:val="007B1E69"/>
    <w:rsid w:val="007B2DD4"/>
    <w:rsid w:val="007B3CF9"/>
    <w:rsid w:val="007B5345"/>
    <w:rsid w:val="007B563F"/>
    <w:rsid w:val="007B6056"/>
    <w:rsid w:val="007B7606"/>
    <w:rsid w:val="007B765A"/>
    <w:rsid w:val="007C10F0"/>
    <w:rsid w:val="007C155F"/>
    <w:rsid w:val="007C1C63"/>
    <w:rsid w:val="007C237A"/>
    <w:rsid w:val="007C2386"/>
    <w:rsid w:val="007C277C"/>
    <w:rsid w:val="007C28FE"/>
    <w:rsid w:val="007C3FBD"/>
    <w:rsid w:val="007C50C1"/>
    <w:rsid w:val="007C5522"/>
    <w:rsid w:val="007C5737"/>
    <w:rsid w:val="007C5ADC"/>
    <w:rsid w:val="007C5B16"/>
    <w:rsid w:val="007C5E3A"/>
    <w:rsid w:val="007C65AF"/>
    <w:rsid w:val="007C71EE"/>
    <w:rsid w:val="007C74E6"/>
    <w:rsid w:val="007D061C"/>
    <w:rsid w:val="007D1EBD"/>
    <w:rsid w:val="007D22C0"/>
    <w:rsid w:val="007D3599"/>
    <w:rsid w:val="007D4003"/>
    <w:rsid w:val="007D44ED"/>
    <w:rsid w:val="007D4D65"/>
    <w:rsid w:val="007D5405"/>
    <w:rsid w:val="007D5C3C"/>
    <w:rsid w:val="007D5F30"/>
    <w:rsid w:val="007E04A2"/>
    <w:rsid w:val="007E0751"/>
    <w:rsid w:val="007E0ED1"/>
    <w:rsid w:val="007E1BAA"/>
    <w:rsid w:val="007E269E"/>
    <w:rsid w:val="007E3872"/>
    <w:rsid w:val="007E3CD6"/>
    <w:rsid w:val="007E44EB"/>
    <w:rsid w:val="007E49EF"/>
    <w:rsid w:val="007E4FD9"/>
    <w:rsid w:val="007E5408"/>
    <w:rsid w:val="007E570F"/>
    <w:rsid w:val="007E6EDE"/>
    <w:rsid w:val="007E7272"/>
    <w:rsid w:val="007E79B0"/>
    <w:rsid w:val="007F0F86"/>
    <w:rsid w:val="007F1B74"/>
    <w:rsid w:val="007F24D4"/>
    <w:rsid w:val="007F3622"/>
    <w:rsid w:val="007F3703"/>
    <w:rsid w:val="007F39A4"/>
    <w:rsid w:val="007F3AEF"/>
    <w:rsid w:val="007F4772"/>
    <w:rsid w:val="007F47B1"/>
    <w:rsid w:val="007F4BEC"/>
    <w:rsid w:val="007F565F"/>
    <w:rsid w:val="007F5C56"/>
    <w:rsid w:val="007F5D1F"/>
    <w:rsid w:val="007F5F6A"/>
    <w:rsid w:val="007F7405"/>
    <w:rsid w:val="008007CF"/>
    <w:rsid w:val="0080382D"/>
    <w:rsid w:val="00804F18"/>
    <w:rsid w:val="00804F26"/>
    <w:rsid w:val="00805060"/>
    <w:rsid w:val="008051D3"/>
    <w:rsid w:val="00805932"/>
    <w:rsid w:val="008076DB"/>
    <w:rsid w:val="00807FA8"/>
    <w:rsid w:val="008122B1"/>
    <w:rsid w:val="00812745"/>
    <w:rsid w:val="0081339E"/>
    <w:rsid w:val="008135CF"/>
    <w:rsid w:val="0081362B"/>
    <w:rsid w:val="008143DC"/>
    <w:rsid w:val="0081583A"/>
    <w:rsid w:val="00815D85"/>
    <w:rsid w:val="00815F8A"/>
    <w:rsid w:val="008161A0"/>
    <w:rsid w:val="008166E8"/>
    <w:rsid w:val="00817221"/>
    <w:rsid w:val="00821530"/>
    <w:rsid w:val="00821AE5"/>
    <w:rsid w:val="00821D43"/>
    <w:rsid w:val="00821DFE"/>
    <w:rsid w:val="00822CB1"/>
    <w:rsid w:val="00823252"/>
    <w:rsid w:val="00824C8E"/>
    <w:rsid w:val="00826516"/>
    <w:rsid w:val="00827579"/>
    <w:rsid w:val="008303E5"/>
    <w:rsid w:val="00830416"/>
    <w:rsid w:val="008305CE"/>
    <w:rsid w:val="0083251C"/>
    <w:rsid w:val="00836A72"/>
    <w:rsid w:val="00837D0D"/>
    <w:rsid w:val="00840437"/>
    <w:rsid w:val="00840CF0"/>
    <w:rsid w:val="00841143"/>
    <w:rsid w:val="0084171E"/>
    <w:rsid w:val="008418C0"/>
    <w:rsid w:val="00842D1F"/>
    <w:rsid w:val="0084393E"/>
    <w:rsid w:val="008446B5"/>
    <w:rsid w:val="00844A95"/>
    <w:rsid w:val="008452C2"/>
    <w:rsid w:val="008454B3"/>
    <w:rsid w:val="008455E5"/>
    <w:rsid w:val="00845DB4"/>
    <w:rsid w:val="008504FD"/>
    <w:rsid w:val="00850E51"/>
    <w:rsid w:val="00851B06"/>
    <w:rsid w:val="00852A89"/>
    <w:rsid w:val="00852DF0"/>
    <w:rsid w:val="00854101"/>
    <w:rsid w:val="00854633"/>
    <w:rsid w:val="00854765"/>
    <w:rsid w:val="00854CDF"/>
    <w:rsid w:val="008553B4"/>
    <w:rsid w:val="0085546D"/>
    <w:rsid w:val="00856F1A"/>
    <w:rsid w:val="00857116"/>
    <w:rsid w:val="00857307"/>
    <w:rsid w:val="0085762B"/>
    <w:rsid w:val="0085790C"/>
    <w:rsid w:val="00857ABA"/>
    <w:rsid w:val="00857AF6"/>
    <w:rsid w:val="00860C9B"/>
    <w:rsid w:val="00860F11"/>
    <w:rsid w:val="00861F6F"/>
    <w:rsid w:val="00862A9C"/>
    <w:rsid w:val="00862B7E"/>
    <w:rsid w:val="00862B93"/>
    <w:rsid w:val="00862CF2"/>
    <w:rsid w:val="00863230"/>
    <w:rsid w:val="00863D3C"/>
    <w:rsid w:val="008653EE"/>
    <w:rsid w:val="00866FA5"/>
    <w:rsid w:val="00867753"/>
    <w:rsid w:val="00870964"/>
    <w:rsid w:val="00871018"/>
    <w:rsid w:val="00871576"/>
    <w:rsid w:val="00871E20"/>
    <w:rsid w:val="0087212B"/>
    <w:rsid w:val="0087418B"/>
    <w:rsid w:val="00874710"/>
    <w:rsid w:val="00874AF0"/>
    <w:rsid w:val="00875190"/>
    <w:rsid w:val="00875602"/>
    <w:rsid w:val="00876A13"/>
    <w:rsid w:val="00877602"/>
    <w:rsid w:val="008805AE"/>
    <w:rsid w:val="008805D4"/>
    <w:rsid w:val="008805E7"/>
    <w:rsid w:val="008809E7"/>
    <w:rsid w:val="00880C11"/>
    <w:rsid w:val="00881AF7"/>
    <w:rsid w:val="00881D74"/>
    <w:rsid w:val="00882366"/>
    <w:rsid w:val="008831C1"/>
    <w:rsid w:val="00883C2A"/>
    <w:rsid w:val="00883D0A"/>
    <w:rsid w:val="0088438F"/>
    <w:rsid w:val="008857A0"/>
    <w:rsid w:val="00885ACF"/>
    <w:rsid w:val="00886D06"/>
    <w:rsid w:val="008907DA"/>
    <w:rsid w:val="00890C15"/>
    <w:rsid w:val="00891E0A"/>
    <w:rsid w:val="00892451"/>
    <w:rsid w:val="0089295A"/>
    <w:rsid w:val="0089310A"/>
    <w:rsid w:val="008934DA"/>
    <w:rsid w:val="0089374C"/>
    <w:rsid w:val="00894BFB"/>
    <w:rsid w:val="0089559A"/>
    <w:rsid w:val="0089574C"/>
    <w:rsid w:val="00896A7B"/>
    <w:rsid w:val="00897A58"/>
    <w:rsid w:val="008A035A"/>
    <w:rsid w:val="008A169D"/>
    <w:rsid w:val="008A1F1F"/>
    <w:rsid w:val="008A24E2"/>
    <w:rsid w:val="008A4363"/>
    <w:rsid w:val="008A52CA"/>
    <w:rsid w:val="008A625C"/>
    <w:rsid w:val="008A72DC"/>
    <w:rsid w:val="008B0356"/>
    <w:rsid w:val="008B1D46"/>
    <w:rsid w:val="008B38DC"/>
    <w:rsid w:val="008B4277"/>
    <w:rsid w:val="008B4E6B"/>
    <w:rsid w:val="008B58C2"/>
    <w:rsid w:val="008B660F"/>
    <w:rsid w:val="008B67D2"/>
    <w:rsid w:val="008B6BAD"/>
    <w:rsid w:val="008B6E75"/>
    <w:rsid w:val="008B7862"/>
    <w:rsid w:val="008B7AC2"/>
    <w:rsid w:val="008C11E2"/>
    <w:rsid w:val="008C22BA"/>
    <w:rsid w:val="008C2552"/>
    <w:rsid w:val="008C33E9"/>
    <w:rsid w:val="008C3684"/>
    <w:rsid w:val="008C47BD"/>
    <w:rsid w:val="008C6FA7"/>
    <w:rsid w:val="008C702D"/>
    <w:rsid w:val="008C7C3B"/>
    <w:rsid w:val="008D1207"/>
    <w:rsid w:val="008D29FF"/>
    <w:rsid w:val="008D3296"/>
    <w:rsid w:val="008D3B46"/>
    <w:rsid w:val="008D3F26"/>
    <w:rsid w:val="008D58B4"/>
    <w:rsid w:val="008D6805"/>
    <w:rsid w:val="008D726D"/>
    <w:rsid w:val="008D7953"/>
    <w:rsid w:val="008E05D9"/>
    <w:rsid w:val="008E0C40"/>
    <w:rsid w:val="008E15A5"/>
    <w:rsid w:val="008E16DA"/>
    <w:rsid w:val="008E1895"/>
    <w:rsid w:val="008E1EC6"/>
    <w:rsid w:val="008E2C45"/>
    <w:rsid w:val="008E38B4"/>
    <w:rsid w:val="008E3976"/>
    <w:rsid w:val="008E3AC1"/>
    <w:rsid w:val="008E44CA"/>
    <w:rsid w:val="008E4993"/>
    <w:rsid w:val="008E5239"/>
    <w:rsid w:val="008E5242"/>
    <w:rsid w:val="008E580A"/>
    <w:rsid w:val="008E639B"/>
    <w:rsid w:val="008E6E7A"/>
    <w:rsid w:val="008E70E1"/>
    <w:rsid w:val="008E7762"/>
    <w:rsid w:val="008E7E4B"/>
    <w:rsid w:val="008F0E72"/>
    <w:rsid w:val="008F0EDE"/>
    <w:rsid w:val="008F17EE"/>
    <w:rsid w:val="008F1CC9"/>
    <w:rsid w:val="008F2A7E"/>
    <w:rsid w:val="008F359A"/>
    <w:rsid w:val="008F494A"/>
    <w:rsid w:val="008F526A"/>
    <w:rsid w:val="008F55CA"/>
    <w:rsid w:val="008F5711"/>
    <w:rsid w:val="008F5AF7"/>
    <w:rsid w:val="008F5EB8"/>
    <w:rsid w:val="00900ADF"/>
    <w:rsid w:val="00900FEC"/>
    <w:rsid w:val="0090119F"/>
    <w:rsid w:val="0090151D"/>
    <w:rsid w:val="0090180E"/>
    <w:rsid w:val="009020F9"/>
    <w:rsid w:val="009024B6"/>
    <w:rsid w:val="009028B1"/>
    <w:rsid w:val="0090362B"/>
    <w:rsid w:val="009047C0"/>
    <w:rsid w:val="009058A4"/>
    <w:rsid w:val="00906382"/>
    <w:rsid w:val="0090659D"/>
    <w:rsid w:val="0090708D"/>
    <w:rsid w:val="009071F3"/>
    <w:rsid w:val="009100A9"/>
    <w:rsid w:val="0091158D"/>
    <w:rsid w:val="009117EB"/>
    <w:rsid w:val="0091194A"/>
    <w:rsid w:val="00911A7D"/>
    <w:rsid w:val="00912020"/>
    <w:rsid w:val="0091219D"/>
    <w:rsid w:val="00912B25"/>
    <w:rsid w:val="00912FF9"/>
    <w:rsid w:val="00913D5B"/>
    <w:rsid w:val="0091405A"/>
    <w:rsid w:val="009140C7"/>
    <w:rsid w:val="0091465E"/>
    <w:rsid w:val="00914853"/>
    <w:rsid w:val="00914CC9"/>
    <w:rsid w:val="009152C4"/>
    <w:rsid w:val="00915DD2"/>
    <w:rsid w:val="00916525"/>
    <w:rsid w:val="00917268"/>
    <w:rsid w:val="00917D35"/>
    <w:rsid w:val="009205AB"/>
    <w:rsid w:val="00920FB9"/>
    <w:rsid w:val="00921CC9"/>
    <w:rsid w:val="00923111"/>
    <w:rsid w:val="00923197"/>
    <w:rsid w:val="00924163"/>
    <w:rsid w:val="00924319"/>
    <w:rsid w:val="00924BB9"/>
    <w:rsid w:val="00924EA0"/>
    <w:rsid w:val="0092547E"/>
    <w:rsid w:val="00925EC4"/>
    <w:rsid w:val="009264AA"/>
    <w:rsid w:val="00926BD5"/>
    <w:rsid w:val="009279C2"/>
    <w:rsid w:val="00931E5A"/>
    <w:rsid w:val="00932F22"/>
    <w:rsid w:val="009336A5"/>
    <w:rsid w:val="00933C1D"/>
    <w:rsid w:val="00933D2B"/>
    <w:rsid w:val="00934009"/>
    <w:rsid w:val="009349AD"/>
    <w:rsid w:val="00934CA3"/>
    <w:rsid w:val="009351B3"/>
    <w:rsid w:val="009355CC"/>
    <w:rsid w:val="009371D7"/>
    <w:rsid w:val="009375A8"/>
    <w:rsid w:val="009405E1"/>
    <w:rsid w:val="009406F3"/>
    <w:rsid w:val="00943654"/>
    <w:rsid w:val="00943E12"/>
    <w:rsid w:val="009444D1"/>
    <w:rsid w:val="009452F7"/>
    <w:rsid w:val="00945D9A"/>
    <w:rsid w:val="00946294"/>
    <w:rsid w:val="00946B82"/>
    <w:rsid w:val="00947754"/>
    <w:rsid w:val="00947D3B"/>
    <w:rsid w:val="009509A2"/>
    <w:rsid w:val="009509D9"/>
    <w:rsid w:val="0095279C"/>
    <w:rsid w:val="00954D5C"/>
    <w:rsid w:val="00956151"/>
    <w:rsid w:val="00956968"/>
    <w:rsid w:val="00956FFF"/>
    <w:rsid w:val="00957AAC"/>
    <w:rsid w:val="009612C4"/>
    <w:rsid w:val="009630F6"/>
    <w:rsid w:val="00963A9E"/>
    <w:rsid w:val="00964329"/>
    <w:rsid w:val="009651FD"/>
    <w:rsid w:val="0096544C"/>
    <w:rsid w:val="0096568E"/>
    <w:rsid w:val="00966AE9"/>
    <w:rsid w:val="00966C66"/>
    <w:rsid w:val="00966FFE"/>
    <w:rsid w:val="009712A7"/>
    <w:rsid w:val="009715F8"/>
    <w:rsid w:val="00973F7D"/>
    <w:rsid w:val="009750E0"/>
    <w:rsid w:val="00976124"/>
    <w:rsid w:val="00977B45"/>
    <w:rsid w:val="00977BBE"/>
    <w:rsid w:val="009801C6"/>
    <w:rsid w:val="009804DB"/>
    <w:rsid w:val="00980771"/>
    <w:rsid w:val="009808D0"/>
    <w:rsid w:val="00982753"/>
    <w:rsid w:val="009831B3"/>
    <w:rsid w:val="009844E2"/>
    <w:rsid w:val="009857DF"/>
    <w:rsid w:val="0098644A"/>
    <w:rsid w:val="009906B0"/>
    <w:rsid w:val="00990F25"/>
    <w:rsid w:val="00991181"/>
    <w:rsid w:val="00992F53"/>
    <w:rsid w:val="0099385A"/>
    <w:rsid w:val="0099542E"/>
    <w:rsid w:val="0099570E"/>
    <w:rsid w:val="00996598"/>
    <w:rsid w:val="00996F21"/>
    <w:rsid w:val="009A0F29"/>
    <w:rsid w:val="009A37A7"/>
    <w:rsid w:val="009A3CFE"/>
    <w:rsid w:val="009A554E"/>
    <w:rsid w:val="009A5EA7"/>
    <w:rsid w:val="009A74F3"/>
    <w:rsid w:val="009A7917"/>
    <w:rsid w:val="009B0E90"/>
    <w:rsid w:val="009B1068"/>
    <w:rsid w:val="009B15E7"/>
    <w:rsid w:val="009B2209"/>
    <w:rsid w:val="009B31B7"/>
    <w:rsid w:val="009B387D"/>
    <w:rsid w:val="009B51A7"/>
    <w:rsid w:val="009B597E"/>
    <w:rsid w:val="009B6114"/>
    <w:rsid w:val="009B7881"/>
    <w:rsid w:val="009B7DA2"/>
    <w:rsid w:val="009C1226"/>
    <w:rsid w:val="009C19F6"/>
    <w:rsid w:val="009C19FB"/>
    <w:rsid w:val="009C2012"/>
    <w:rsid w:val="009C23A7"/>
    <w:rsid w:val="009C3668"/>
    <w:rsid w:val="009C3A64"/>
    <w:rsid w:val="009C3D52"/>
    <w:rsid w:val="009C3DC7"/>
    <w:rsid w:val="009C420F"/>
    <w:rsid w:val="009C43BE"/>
    <w:rsid w:val="009C441F"/>
    <w:rsid w:val="009C475E"/>
    <w:rsid w:val="009C4DBD"/>
    <w:rsid w:val="009C53A3"/>
    <w:rsid w:val="009C5702"/>
    <w:rsid w:val="009C61CF"/>
    <w:rsid w:val="009C65A0"/>
    <w:rsid w:val="009C669C"/>
    <w:rsid w:val="009C695F"/>
    <w:rsid w:val="009C7C1B"/>
    <w:rsid w:val="009D034C"/>
    <w:rsid w:val="009D03C3"/>
    <w:rsid w:val="009D23AB"/>
    <w:rsid w:val="009D24BA"/>
    <w:rsid w:val="009D2EB5"/>
    <w:rsid w:val="009D30DB"/>
    <w:rsid w:val="009D35F2"/>
    <w:rsid w:val="009D371C"/>
    <w:rsid w:val="009D4551"/>
    <w:rsid w:val="009D4D60"/>
    <w:rsid w:val="009D534A"/>
    <w:rsid w:val="009D5EBB"/>
    <w:rsid w:val="009D5F08"/>
    <w:rsid w:val="009D605F"/>
    <w:rsid w:val="009D7458"/>
    <w:rsid w:val="009D77D4"/>
    <w:rsid w:val="009E1AFE"/>
    <w:rsid w:val="009E2AA9"/>
    <w:rsid w:val="009E45B1"/>
    <w:rsid w:val="009E57CE"/>
    <w:rsid w:val="009E743E"/>
    <w:rsid w:val="009F1249"/>
    <w:rsid w:val="009F14E3"/>
    <w:rsid w:val="009F18F1"/>
    <w:rsid w:val="009F36C2"/>
    <w:rsid w:val="009F40C5"/>
    <w:rsid w:val="009F506D"/>
    <w:rsid w:val="009F5330"/>
    <w:rsid w:val="009F556E"/>
    <w:rsid w:val="009F61F4"/>
    <w:rsid w:val="009F7162"/>
    <w:rsid w:val="00A008AC"/>
    <w:rsid w:val="00A0134B"/>
    <w:rsid w:val="00A03402"/>
    <w:rsid w:val="00A0383D"/>
    <w:rsid w:val="00A043BD"/>
    <w:rsid w:val="00A04BF1"/>
    <w:rsid w:val="00A04E85"/>
    <w:rsid w:val="00A0515B"/>
    <w:rsid w:val="00A06D9B"/>
    <w:rsid w:val="00A07950"/>
    <w:rsid w:val="00A10AC9"/>
    <w:rsid w:val="00A10F14"/>
    <w:rsid w:val="00A10F77"/>
    <w:rsid w:val="00A11343"/>
    <w:rsid w:val="00A116FE"/>
    <w:rsid w:val="00A11AB4"/>
    <w:rsid w:val="00A11DE3"/>
    <w:rsid w:val="00A1228B"/>
    <w:rsid w:val="00A12B78"/>
    <w:rsid w:val="00A14B5B"/>
    <w:rsid w:val="00A14D0A"/>
    <w:rsid w:val="00A14ED4"/>
    <w:rsid w:val="00A15198"/>
    <w:rsid w:val="00A15BF6"/>
    <w:rsid w:val="00A17365"/>
    <w:rsid w:val="00A21022"/>
    <w:rsid w:val="00A2165A"/>
    <w:rsid w:val="00A21B40"/>
    <w:rsid w:val="00A22F35"/>
    <w:rsid w:val="00A245DF"/>
    <w:rsid w:val="00A24D7F"/>
    <w:rsid w:val="00A25AC3"/>
    <w:rsid w:val="00A3089F"/>
    <w:rsid w:val="00A30947"/>
    <w:rsid w:val="00A323B0"/>
    <w:rsid w:val="00A325E2"/>
    <w:rsid w:val="00A32A3A"/>
    <w:rsid w:val="00A339CF"/>
    <w:rsid w:val="00A33E48"/>
    <w:rsid w:val="00A351A7"/>
    <w:rsid w:val="00A368BB"/>
    <w:rsid w:val="00A371D3"/>
    <w:rsid w:val="00A376A9"/>
    <w:rsid w:val="00A376CF"/>
    <w:rsid w:val="00A3796D"/>
    <w:rsid w:val="00A37D67"/>
    <w:rsid w:val="00A37F5E"/>
    <w:rsid w:val="00A40256"/>
    <w:rsid w:val="00A4121F"/>
    <w:rsid w:val="00A414FC"/>
    <w:rsid w:val="00A425FA"/>
    <w:rsid w:val="00A42C22"/>
    <w:rsid w:val="00A43576"/>
    <w:rsid w:val="00A43697"/>
    <w:rsid w:val="00A44B01"/>
    <w:rsid w:val="00A450C7"/>
    <w:rsid w:val="00A47542"/>
    <w:rsid w:val="00A4799D"/>
    <w:rsid w:val="00A504ED"/>
    <w:rsid w:val="00A51563"/>
    <w:rsid w:val="00A51750"/>
    <w:rsid w:val="00A51B83"/>
    <w:rsid w:val="00A52CBB"/>
    <w:rsid w:val="00A52FDB"/>
    <w:rsid w:val="00A548B6"/>
    <w:rsid w:val="00A605A1"/>
    <w:rsid w:val="00A606C2"/>
    <w:rsid w:val="00A60813"/>
    <w:rsid w:val="00A60C0D"/>
    <w:rsid w:val="00A60F16"/>
    <w:rsid w:val="00A61018"/>
    <w:rsid w:val="00A6161F"/>
    <w:rsid w:val="00A61C16"/>
    <w:rsid w:val="00A62AFD"/>
    <w:rsid w:val="00A62B75"/>
    <w:rsid w:val="00A64EC0"/>
    <w:rsid w:val="00A654D1"/>
    <w:rsid w:val="00A65C7E"/>
    <w:rsid w:val="00A6612D"/>
    <w:rsid w:val="00A666AC"/>
    <w:rsid w:val="00A668FF"/>
    <w:rsid w:val="00A6714F"/>
    <w:rsid w:val="00A67201"/>
    <w:rsid w:val="00A67D94"/>
    <w:rsid w:val="00A723B1"/>
    <w:rsid w:val="00A72B4C"/>
    <w:rsid w:val="00A736A0"/>
    <w:rsid w:val="00A737EA"/>
    <w:rsid w:val="00A73ECB"/>
    <w:rsid w:val="00A75A22"/>
    <w:rsid w:val="00A760D2"/>
    <w:rsid w:val="00A770EA"/>
    <w:rsid w:val="00A775C6"/>
    <w:rsid w:val="00A77FA8"/>
    <w:rsid w:val="00A80D18"/>
    <w:rsid w:val="00A80EA3"/>
    <w:rsid w:val="00A80F27"/>
    <w:rsid w:val="00A80F68"/>
    <w:rsid w:val="00A82519"/>
    <w:rsid w:val="00A83A13"/>
    <w:rsid w:val="00A8463F"/>
    <w:rsid w:val="00A848B1"/>
    <w:rsid w:val="00A8526A"/>
    <w:rsid w:val="00A85A9A"/>
    <w:rsid w:val="00A86001"/>
    <w:rsid w:val="00A86089"/>
    <w:rsid w:val="00A86D27"/>
    <w:rsid w:val="00A8722D"/>
    <w:rsid w:val="00A87C66"/>
    <w:rsid w:val="00A9076F"/>
    <w:rsid w:val="00A9106B"/>
    <w:rsid w:val="00A9145F"/>
    <w:rsid w:val="00A91908"/>
    <w:rsid w:val="00A91FF7"/>
    <w:rsid w:val="00A92E83"/>
    <w:rsid w:val="00A93413"/>
    <w:rsid w:val="00A94B27"/>
    <w:rsid w:val="00A9514C"/>
    <w:rsid w:val="00A95CE9"/>
    <w:rsid w:val="00A95E51"/>
    <w:rsid w:val="00A965BF"/>
    <w:rsid w:val="00A967E0"/>
    <w:rsid w:val="00AA2039"/>
    <w:rsid w:val="00AA21A5"/>
    <w:rsid w:val="00AA2ADD"/>
    <w:rsid w:val="00AA2EAF"/>
    <w:rsid w:val="00AA3D14"/>
    <w:rsid w:val="00AA3DC9"/>
    <w:rsid w:val="00AA42B1"/>
    <w:rsid w:val="00AA595E"/>
    <w:rsid w:val="00AA5AC7"/>
    <w:rsid w:val="00AA5B5E"/>
    <w:rsid w:val="00AA5D8B"/>
    <w:rsid w:val="00AA5F5B"/>
    <w:rsid w:val="00AA638F"/>
    <w:rsid w:val="00AA6630"/>
    <w:rsid w:val="00AA6D06"/>
    <w:rsid w:val="00AA7A2E"/>
    <w:rsid w:val="00AA7C1F"/>
    <w:rsid w:val="00AB0168"/>
    <w:rsid w:val="00AB03D9"/>
    <w:rsid w:val="00AB043E"/>
    <w:rsid w:val="00AB214F"/>
    <w:rsid w:val="00AB2805"/>
    <w:rsid w:val="00AB4D4D"/>
    <w:rsid w:val="00AB4ECC"/>
    <w:rsid w:val="00AB50CA"/>
    <w:rsid w:val="00AB5612"/>
    <w:rsid w:val="00AB58C6"/>
    <w:rsid w:val="00AB715C"/>
    <w:rsid w:val="00AB7237"/>
    <w:rsid w:val="00AB763A"/>
    <w:rsid w:val="00AB7DF8"/>
    <w:rsid w:val="00AC0A7A"/>
    <w:rsid w:val="00AC170A"/>
    <w:rsid w:val="00AC2848"/>
    <w:rsid w:val="00AC3A69"/>
    <w:rsid w:val="00AC3DF9"/>
    <w:rsid w:val="00AC4840"/>
    <w:rsid w:val="00AC7086"/>
    <w:rsid w:val="00AC74D3"/>
    <w:rsid w:val="00AC7C2F"/>
    <w:rsid w:val="00AD11B7"/>
    <w:rsid w:val="00AD188F"/>
    <w:rsid w:val="00AD227C"/>
    <w:rsid w:val="00AD2298"/>
    <w:rsid w:val="00AD27AB"/>
    <w:rsid w:val="00AD2B2D"/>
    <w:rsid w:val="00AD366D"/>
    <w:rsid w:val="00AD3CA1"/>
    <w:rsid w:val="00AD41A6"/>
    <w:rsid w:val="00AD4EDB"/>
    <w:rsid w:val="00AD5571"/>
    <w:rsid w:val="00AD5D66"/>
    <w:rsid w:val="00AE0A50"/>
    <w:rsid w:val="00AE0C3B"/>
    <w:rsid w:val="00AE1E2F"/>
    <w:rsid w:val="00AE2D22"/>
    <w:rsid w:val="00AE3131"/>
    <w:rsid w:val="00AE48B2"/>
    <w:rsid w:val="00AE5B39"/>
    <w:rsid w:val="00AE5F0A"/>
    <w:rsid w:val="00AE6636"/>
    <w:rsid w:val="00AE6812"/>
    <w:rsid w:val="00AE6EF5"/>
    <w:rsid w:val="00AE73A4"/>
    <w:rsid w:val="00AE7714"/>
    <w:rsid w:val="00AE777F"/>
    <w:rsid w:val="00AF049C"/>
    <w:rsid w:val="00AF0C52"/>
    <w:rsid w:val="00AF14EC"/>
    <w:rsid w:val="00AF399C"/>
    <w:rsid w:val="00AF4209"/>
    <w:rsid w:val="00AF44CD"/>
    <w:rsid w:val="00AF4A90"/>
    <w:rsid w:val="00AF4B62"/>
    <w:rsid w:val="00AF5B17"/>
    <w:rsid w:val="00B00B87"/>
    <w:rsid w:val="00B00CC5"/>
    <w:rsid w:val="00B012FC"/>
    <w:rsid w:val="00B02655"/>
    <w:rsid w:val="00B03C8C"/>
    <w:rsid w:val="00B03FA9"/>
    <w:rsid w:val="00B0461B"/>
    <w:rsid w:val="00B04EB0"/>
    <w:rsid w:val="00B055BB"/>
    <w:rsid w:val="00B05BB8"/>
    <w:rsid w:val="00B05E6D"/>
    <w:rsid w:val="00B069DF"/>
    <w:rsid w:val="00B06D91"/>
    <w:rsid w:val="00B07738"/>
    <w:rsid w:val="00B07C8B"/>
    <w:rsid w:val="00B07CF2"/>
    <w:rsid w:val="00B103FE"/>
    <w:rsid w:val="00B10A5C"/>
    <w:rsid w:val="00B10CBA"/>
    <w:rsid w:val="00B10E91"/>
    <w:rsid w:val="00B10F3E"/>
    <w:rsid w:val="00B1177F"/>
    <w:rsid w:val="00B118E1"/>
    <w:rsid w:val="00B12384"/>
    <w:rsid w:val="00B12BCD"/>
    <w:rsid w:val="00B130ED"/>
    <w:rsid w:val="00B135EB"/>
    <w:rsid w:val="00B14547"/>
    <w:rsid w:val="00B15B17"/>
    <w:rsid w:val="00B161DE"/>
    <w:rsid w:val="00B16468"/>
    <w:rsid w:val="00B17A4B"/>
    <w:rsid w:val="00B20B34"/>
    <w:rsid w:val="00B20CF5"/>
    <w:rsid w:val="00B21A83"/>
    <w:rsid w:val="00B22233"/>
    <w:rsid w:val="00B22B8B"/>
    <w:rsid w:val="00B23732"/>
    <w:rsid w:val="00B23754"/>
    <w:rsid w:val="00B23D6E"/>
    <w:rsid w:val="00B23F8E"/>
    <w:rsid w:val="00B2693B"/>
    <w:rsid w:val="00B26C22"/>
    <w:rsid w:val="00B27C1E"/>
    <w:rsid w:val="00B30209"/>
    <w:rsid w:val="00B30928"/>
    <w:rsid w:val="00B3144E"/>
    <w:rsid w:val="00B3164A"/>
    <w:rsid w:val="00B3178F"/>
    <w:rsid w:val="00B318EC"/>
    <w:rsid w:val="00B31ACF"/>
    <w:rsid w:val="00B326D5"/>
    <w:rsid w:val="00B32C50"/>
    <w:rsid w:val="00B33039"/>
    <w:rsid w:val="00B33E8A"/>
    <w:rsid w:val="00B3436A"/>
    <w:rsid w:val="00B3572C"/>
    <w:rsid w:val="00B35DC7"/>
    <w:rsid w:val="00B36326"/>
    <w:rsid w:val="00B3701D"/>
    <w:rsid w:val="00B37331"/>
    <w:rsid w:val="00B37A68"/>
    <w:rsid w:val="00B407C9"/>
    <w:rsid w:val="00B410C6"/>
    <w:rsid w:val="00B41296"/>
    <w:rsid w:val="00B41743"/>
    <w:rsid w:val="00B41A5A"/>
    <w:rsid w:val="00B430E6"/>
    <w:rsid w:val="00B43577"/>
    <w:rsid w:val="00B4360D"/>
    <w:rsid w:val="00B43FD2"/>
    <w:rsid w:val="00B457F2"/>
    <w:rsid w:val="00B4625E"/>
    <w:rsid w:val="00B46E42"/>
    <w:rsid w:val="00B47684"/>
    <w:rsid w:val="00B47A14"/>
    <w:rsid w:val="00B47EBF"/>
    <w:rsid w:val="00B5066F"/>
    <w:rsid w:val="00B50EE1"/>
    <w:rsid w:val="00B51173"/>
    <w:rsid w:val="00B51813"/>
    <w:rsid w:val="00B524CD"/>
    <w:rsid w:val="00B53126"/>
    <w:rsid w:val="00B5366D"/>
    <w:rsid w:val="00B53C8C"/>
    <w:rsid w:val="00B53EA8"/>
    <w:rsid w:val="00B55130"/>
    <w:rsid w:val="00B56D74"/>
    <w:rsid w:val="00B56F8B"/>
    <w:rsid w:val="00B60A08"/>
    <w:rsid w:val="00B60F23"/>
    <w:rsid w:val="00B614BC"/>
    <w:rsid w:val="00B62144"/>
    <w:rsid w:val="00B631B0"/>
    <w:rsid w:val="00B63BD0"/>
    <w:rsid w:val="00B64175"/>
    <w:rsid w:val="00B655E7"/>
    <w:rsid w:val="00B65FA5"/>
    <w:rsid w:val="00B66D95"/>
    <w:rsid w:val="00B675A1"/>
    <w:rsid w:val="00B679B2"/>
    <w:rsid w:val="00B67A53"/>
    <w:rsid w:val="00B70BB0"/>
    <w:rsid w:val="00B710D4"/>
    <w:rsid w:val="00B71716"/>
    <w:rsid w:val="00B71AB1"/>
    <w:rsid w:val="00B71D1E"/>
    <w:rsid w:val="00B71FA5"/>
    <w:rsid w:val="00B738B4"/>
    <w:rsid w:val="00B73CBB"/>
    <w:rsid w:val="00B73F00"/>
    <w:rsid w:val="00B74585"/>
    <w:rsid w:val="00B74B54"/>
    <w:rsid w:val="00B75CD5"/>
    <w:rsid w:val="00B76D25"/>
    <w:rsid w:val="00B77336"/>
    <w:rsid w:val="00B77474"/>
    <w:rsid w:val="00B775FC"/>
    <w:rsid w:val="00B779FF"/>
    <w:rsid w:val="00B77D0F"/>
    <w:rsid w:val="00B80246"/>
    <w:rsid w:val="00B80401"/>
    <w:rsid w:val="00B808B4"/>
    <w:rsid w:val="00B8254E"/>
    <w:rsid w:val="00B82A52"/>
    <w:rsid w:val="00B834CE"/>
    <w:rsid w:val="00B852BE"/>
    <w:rsid w:val="00B85B8B"/>
    <w:rsid w:val="00B8618F"/>
    <w:rsid w:val="00B8697C"/>
    <w:rsid w:val="00B874FC"/>
    <w:rsid w:val="00B90F86"/>
    <w:rsid w:val="00B90FD0"/>
    <w:rsid w:val="00B90FDE"/>
    <w:rsid w:val="00B92099"/>
    <w:rsid w:val="00B925B1"/>
    <w:rsid w:val="00B92904"/>
    <w:rsid w:val="00B932EF"/>
    <w:rsid w:val="00B93C93"/>
    <w:rsid w:val="00B94C62"/>
    <w:rsid w:val="00B95D39"/>
    <w:rsid w:val="00B96748"/>
    <w:rsid w:val="00B96E8E"/>
    <w:rsid w:val="00BA1034"/>
    <w:rsid w:val="00BA1152"/>
    <w:rsid w:val="00BA12E0"/>
    <w:rsid w:val="00BA1542"/>
    <w:rsid w:val="00BA24B4"/>
    <w:rsid w:val="00BA29F6"/>
    <w:rsid w:val="00BA3232"/>
    <w:rsid w:val="00BA388C"/>
    <w:rsid w:val="00BA4A25"/>
    <w:rsid w:val="00BA513E"/>
    <w:rsid w:val="00BA5249"/>
    <w:rsid w:val="00BA56C6"/>
    <w:rsid w:val="00BA5D73"/>
    <w:rsid w:val="00BA6360"/>
    <w:rsid w:val="00BA6E6B"/>
    <w:rsid w:val="00BA7829"/>
    <w:rsid w:val="00BA7EE0"/>
    <w:rsid w:val="00BB0CD2"/>
    <w:rsid w:val="00BB1236"/>
    <w:rsid w:val="00BB157A"/>
    <w:rsid w:val="00BB22B5"/>
    <w:rsid w:val="00BB22EE"/>
    <w:rsid w:val="00BB3266"/>
    <w:rsid w:val="00BB47E8"/>
    <w:rsid w:val="00BB52EE"/>
    <w:rsid w:val="00BB5DD2"/>
    <w:rsid w:val="00BB6D9D"/>
    <w:rsid w:val="00BB7D0E"/>
    <w:rsid w:val="00BC0A32"/>
    <w:rsid w:val="00BC1D5D"/>
    <w:rsid w:val="00BC2BB1"/>
    <w:rsid w:val="00BC3A06"/>
    <w:rsid w:val="00BC3C2F"/>
    <w:rsid w:val="00BC3ED7"/>
    <w:rsid w:val="00BC4762"/>
    <w:rsid w:val="00BC6C88"/>
    <w:rsid w:val="00BD035D"/>
    <w:rsid w:val="00BD0FD2"/>
    <w:rsid w:val="00BD0FE0"/>
    <w:rsid w:val="00BD128F"/>
    <w:rsid w:val="00BD1D1C"/>
    <w:rsid w:val="00BD1E04"/>
    <w:rsid w:val="00BD30D1"/>
    <w:rsid w:val="00BD3329"/>
    <w:rsid w:val="00BD34DE"/>
    <w:rsid w:val="00BD39C7"/>
    <w:rsid w:val="00BD3E3B"/>
    <w:rsid w:val="00BD44D3"/>
    <w:rsid w:val="00BD4A9F"/>
    <w:rsid w:val="00BD4B4D"/>
    <w:rsid w:val="00BD535B"/>
    <w:rsid w:val="00BD59FA"/>
    <w:rsid w:val="00BD60F1"/>
    <w:rsid w:val="00BD6DCD"/>
    <w:rsid w:val="00BD7AA9"/>
    <w:rsid w:val="00BD7F4F"/>
    <w:rsid w:val="00BE0D21"/>
    <w:rsid w:val="00BE1913"/>
    <w:rsid w:val="00BE1C94"/>
    <w:rsid w:val="00BE4299"/>
    <w:rsid w:val="00BE4598"/>
    <w:rsid w:val="00BE5B9A"/>
    <w:rsid w:val="00BE63EB"/>
    <w:rsid w:val="00BE6ABE"/>
    <w:rsid w:val="00BE7B77"/>
    <w:rsid w:val="00BE7EE6"/>
    <w:rsid w:val="00BF0CA5"/>
    <w:rsid w:val="00BF0CE0"/>
    <w:rsid w:val="00BF2261"/>
    <w:rsid w:val="00BF263B"/>
    <w:rsid w:val="00BF27C9"/>
    <w:rsid w:val="00BF28DD"/>
    <w:rsid w:val="00BF3443"/>
    <w:rsid w:val="00BF35DF"/>
    <w:rsid w:val="00BF3745"/>
    <w:rsid w:val="00BF4014"/>
    <w:rsid w:val="00BF47F0"/>
    <w:rsid w:val="00BF4EEE"/>
    <w:rsid w:val="00BF5F7A"/>
    <w:rsid w:val="00BF5FCA"/>
    <w:rsid w:val="00BF7F26"/>
    <w:rsid w:val="00C000E5"/>
    <w:rsid w:val="00C002A1"/>
    <w:rsid w:val="00C0040F"/>
    <w:rsid w:val="00C01C6C"/>
    <w:rsid w:val="00C01D25"/>
    <w:rsid w:val="00C02073"/>
    <w:rsid w:val="00C03A55"/>
    <w:rsid w:val="00C03B9D"/>
    <w:rsid w:val="00C03BC8"/>
    <w:rsid w:val="00C03D56"/>
    <w:rsid w:val="00C04984"/>
    <w:rsid w:val="00C04B78"/>
    <w:rsid w:val="00C05473"/>
    <w:rsid w:val="00C05EBE"/>
    <w:rsid w:val="00C0660C"/>
    <w:rsid w:val="00C068DB"/>
    <w:rsid w:val="00C06951"/>
    <w:rsid w:val="00C07783"/>
    <w:rsid w:val="00C07EC0"/>
    <w:rsid w:val="00C1017B"/>
    <w:rsid w:val="00C108B1"/>
    <w:rsid w:val="00C10D44"/>
    <w:rsid w:val="00C12F55"/>
    <w:rsid w:val="00C1452C"/>
    <w:rsid w:val="00C16069"/>
    <w:rsid w:val="00C164C6"/>
    <w:rsid w:val="00C171BB"/>
    <w:rsid w:val="00C171D8"/>
    <w:rsid w:val="00C17AE9"/>
    <w:rsid w:val="00C17D7B"/>
    <w:rsid w:val="00C22098"/>
    <w:rsid w:val="00C221C4"/>
    <w:rsid w:val="00C223CA"/>
    <w:rsid w:val="00C23CAA"/>
    <w:rsid w:val="00C247D6"/>
    <w:rsid w:val="00C24C9B"/>
    <w:rsid w:val="00C25317"/>
    <w:rsid w:val="00C26E6C"/>
    <w:rsid w:val="00C272E6"/>
    <w:rsid w:val="00C30CC6"/>
    <w:rsid w:val="00C321BC"/>
    <w:rsid w:val="00C32831"/>
    <w:rsid w:val="00C33CF6"/>
    <w:rsid w:val="00C33ED9"/>
    <w:rsid w:val="00C33F67"/>
    <w:rsid w:val="00C3411F"/>
    <w:rsid w:val="00C34293"/>
    <w:rsid w:val="00C358E2"/>
    <w:rsid w:val="00C35A14"/>
    <w:rsid w:val="00C35B5B"/>
    <w:rsid w:val="00C35B95"/>
    <w:rsid w:val="00C35F84"/>
    <w:rsid w:val="00C37487"/>
    <w:rsid w:val="00C37D47"/>
    <w:rsid w:val="00C37ED3"/>
    <w:rsid w:val="00C400AE"/>
    <w:rsid w:val="00C4077F"/>
    <w:rsid w:val="00C42388"/>
    <w:rsid w:val="00C423E0"/>
    <w:rsid w:val="00C424A7"/>
    <w:rsid w:val="00C426C6"/>
    <w:rsid w:val="00C43516"/>
    <w:rsid w:val="00C4403C"/>
    <w:rsid w:val="00C44B15"/>
    <w:rsid w:val="00C44EE8"/>
    <w:rsid w:val="00C45A54"/>
    <w:rsid w:val="00C45C23"/>
    <w:rsid w:val="00C5017A"/>
    <w:rsid w:val="00C501CA"/>
    <w:rsid w:val="00C50286"/>
    <w:rsid w:val="00C505C5"/>
    <w:rsid w:val="00C508E6"/>
    <w:rsid w:val="00C509C8"/>
    <w:rsid w:val="00C5105C"/>
    <w:rsid w:val="00C51843"/>
    <w:rsid w:val="00C5184B"/>
    <w:rsid w:val="00C52324"/>
    <w:rsid w:val="00C528FA"/>
    <w:rsid w:val="00C52EA2"/>
    <w:rsid w:val="00C5324E"/>
    <w:rsid w:val="00C53AF1"/>
    <w:rsid w:val="00C55185"/>
    <w:rsid w:val="00C555C5"/>
    <w:rsid w:val="00C55821"/>
    <w:rsid w:val="00C5657F"/>
    <w:rsid w:val="00C56A9B"/>
    <w:rsid w:val="00C572FA"/>
    <w:rsid w:val="00C5798C"/>
    <w:rsid w:val="00C579F8"/>
    <w:rsid w:val="00C6040B"/>
    <w:rsid w:val="00C61D23"/>
    <w:rsid w:val="00C628CF"/>
    <w:rsid w:val="00C62B34"/>
    <w:rsid w:val="00C63BFD"/>
    <w:rsid w:val="00C65D11"/>
    <w:rsid w:val="00C66BC9"/>
    <w:rsid w:val="00C66DFA"/>
    <w:rsid w:val="00C6709D"/>
    <w:rsid w:val="00C67653"/>
    <w:rsid w:val="00C7198A"/>
    <w:rsid w:val="00C71E2F"/>
    <w:rsid w:val="00C72D97"/>
    <w:rsid w:val="00C72F0A"/>
    <w:rsid w:val="00C73625"/>
    <w:rsid w:val="00C739D3"/>
    <w:rsid w:val="00C74329"/>
    <w:rsid w:val="00C7456E"/>
    <w:rsid w:val="00C74A64"/>
    <w:rsid w:val="00C75D56"/>
    <w:rsid w:val="00C763EB"/>
    <w:rsid w:val="00C7686B"/>
    <w:rsid w:val="00C770C0"/>
    <w:rsid w:val="00C77836"/>
    <w:rsid w:val="00C7785E"/>
    <w:rsid w:val="00C8013E"/>
    <w:rsid w:val="00C804A9"/>
    <w:rsid w:val="00C8163E"/>
    <w:rsid w:val="00C816C5"/>
    <w:rsid w:val="00C81DC4"/>
    <w:rsid w:val="00C82958"/>
    <w:rsid w:val="00C82D32"/>
    <w:rsid w:val="00C82D6A"/>
    <w:rsid w:val="00C83DB4"/>
    <w:rsid w:val="00C845B7"/>
    <w:rsid w:val="00C84890"/>
    <w:rsid w:val="00C84942"/>
    <w:rsid w:val="00C84B8D"/>
    <w:rsid w:val="00C85643"/>
    <w:rsid w:val="00C86DED"/>
    <w:rsid w:val="00C9099B"/>
    <w:rsid w:val="00C94B0E"/>
    <w:rsid w:val="00C94ED4"/>
    <w:rsid w:val="00C94EFC"/>
    <w:rsid w:val="00C953AD"/>
    <w:rsid w:val="00C95CE0"/>
    <w:rsid w:val="00C95F2E"/>
    <w:rsid w:val="00C96EF7"/>
    <w:rsid w:val="00C97176"/>
    <w:rsid w:val="00C97331"/>
    <w:rsid w:val="00CA185C"/>
    <w:rsid w:val="00CA257D"/>
    <w:rsid w:val="00CA27AC"/>
    <w:rsid w:val="00CA2E03"/>
    <w:rsid w:val="00CA401F"/>
    <w:rsid w:val="00CA4AF6"/>
    <w:rsid w:val="00CA5E4A"/>
    <w:rsid w:val="00CA7095"/>
    <w:rsid w:val="00CA76B9"/>
    <w:rsid w:val="00CA77F2"/>
    <w:rsid w:val="00CB0AB9"/>
    <w:rsid w:val="00CB1078"/>
    <w:rsid w:val="00CB287A"/>
    <w:rsid w:val="00CB3572"/>
    <w:rsid w:val="00CB4196"/>
    <w:rsid w:val="00CB4F32"/>
    <w:rsid w:val="00CB60AE"/>
    <w:rsid w:val="00CB62F0"/>
    <w:rsid w:val="00CB64A7"/>
    <w:rsid w:val="00CB70E8"/>
    <w:rsid w:val="00CB7477"/>
    <w:rsid w:val="00CB74C4"/>
    <w:rsid w:val="00CC095D"/>
    <w:rsid w:val="00CC2FA0"/>
    <w:rsid w:val="00CC34FE"/>
    <w:rsid w:val="00CC4043"/>
    <w:rsid w:val="00CC4A30"/>
    <w:rsid w:val="00CC4DD8"/>
    <w:rsid w:val="00CC4F82"/>
    <w:rsid w:val="00CC6346"/>
    <w:rsid w:val="00CC63B2"/>
    <w:rsid w:val="00CC6895"/>
    <w:rsid w:val="00CC6DA2"/>
    <w:rsid w:val="00CC72C1"/>
    <w:rsid w:val="00CC7B06"/>
    <w:rsid w:val="00CD071F"/>
    <w:rsid w:val="00CD08C0"/>
    <w:rsid w:val="00CD0DF0"/>
    <w:rsid w:val="00CD10FC"/>
    <w:rsid w:val="00CD1A65"/>
    <w:rsid w:val="00CD237B"/>
    <w:rsid w:val="00CD3A73"/>
    <w:rsid w:val="00CD4A2A"/>
    <w:rsid w:val="00CD797D"/>
    <w:rsid w:val="00CE0687"/>
    <w:rsid w:val="00CE0CFD"/>
    <w:rsid w:val="00CE11E5"/>
    <w:rsid w:val="00CE16B8"/>
    <w:rsid w:val="00CE1921"/>
    <w:rsid w:val="00CE2459"/>
    <w:rsid w:val="00CE2F47"/>
    <w:rsid w:val="00CE3814"/>
    <w:rsid w:val="00CE42D5"/>
    <w:rsid w:val="00CE6580"/>
    <w:rsid w:val="00CE6807"/>
    <w:rsid w:val="00CE7792"/>
    <w:rsid w:val="00CE79BB"/>
    <w:rsid w:val="00CF0278"/>
    <w:rsid w:val="00CF068B"/>
    <w:rsid w:val="00CF0782"/>
    <w:rsid w:val="00CF13EF"/>
    <w:rsid w:val="00CF1A0D"/>
    <w:rsid w:val="00CF2D6D"/>
    <w:rsid w:val="00CF3242"/>
    <w:rsid w:val="00CF384A"/>
    <w:rsid w:val="00CF3946"/>
    <w:rsid w:val="00CF42BA"/>
    <w:rsid w:val="00CF6268"/>
    <w:rsid w:val="00CF62B5"/>
    <w:rsid w:val="00CF6F62"/>
    <w:rsid w:val="00D0052D"/>
    <w:rsid w:val="00D0064B"/>
    <w:rsid w:val="00D0102D"/>
    <w:rsid w:val="00D02D6E"/>
    <w:rsid w:val="00D03629"/>
    <w:rsid w:val="00D03ACB"/>
    <w:rsid w:val="00D04940"/>
    <w:rsid w:val="00D053AA"/>
    <w:rsid w:val="00D05C98"/>
    <w:rsid w:val="00D07289"/>
    <w:rsid w:val="00D07A06"/>
    <w:rsid w:val="00D102AF"/>
    <w:rsid w:val="00D10584"/>
    <w:rsid w:val="00D10C62"/>
    <w:rsid w:val="00D11DC8"/>
    <w:rsid w:val="00D131F3"/>
    <w:rsid w:val="00D13F22"/>
    <w:rsid w:val="00D155A3"/>
    <w:rsid w:val="00D16191"/>
    <w:rsid w:val="00D16469"/>
    <w:rsid w:val="00D16866"/>
    <w:rsid w:val="00D170AD"/>
    <w:rsid w:val="00D1710A"/>
    <w:rsid w:val="00D174A6"/>
    <w:rsid w:val="00D17E86"/>
    <w:rsid w:val="00D201A8"/>
    <w:rsid w:val="00D203D2"/>
    <w:rsid w:val="00D207E4"/>
    <w:rsid w:val="00D20C27"/>
    <w:rsid w:val="00D20C31"/>
    <w:rsid w:val="00D221DD"/>
    <w:rsid w:val="00D22908"/>
    <w:rsid w:val="00D23200"/>
    <w:rsid w:val="00D23864"/>
    <w:rsid w:val="00D255E3"/>
    <w:rsid w:val="00D25AD9"/>
    <w:rsid w:val="00D26192"/>
    <w:rsid w:val="00D26193"/>
    <w:rsid w:val="00D273F0"/>
    <w:rsid w:val="00D27ED1"/>
    <w:rsid w:val="00D303C4"/>
    <w:rsid w:val="00D30F1E"/>
    <w:rsid w:val="00D30F88"/>
    <w:rsid w:val="00D311A8"/>
    <w:rsid w:val="00D3153C"/>
    <w:rsid w:val="00D31784"/>
    <w:rsid w:val="00D31B33"/>
    <w:rsid w:val="00D32C0B"/>
    <w:rsid w:val="00D3311E"/>
    <w:rsid w:val="00D33F4D"/>
    <w:rsid w:val="00D34563"/>
    <w:rsid w:val="00D347FC"/>
    <w:rsid w:val="00D34927"/>
    <w:rsid w:val="00D349E6"/>
    <w:rsid w:val="00D35A5B"/>
    <w:rsid w:val="00D36209"/>
    <w:rsid w:val="00D365FA"/>
    <w:rsid w:val="00D3690B"/>
    <w:rsid w:val="00D37715"/>
    <w:rsid w:val="00D4072B"/>
    <w:rsid w:val="00D412F8"/>
    <w:rsid w:val="00D4131C"/>
    <w:rsid w:val="00D413B4"/>
    <w:rsid w:val="00D41492"/>
    <w:rsid w:val="00D419F3"/>
    <w:rsid w:val="00D41D63"/>
    <w:rsid w:val="00D41ED8"/>
    <w:rsid w:val="00D437A3"/>
    <w:rsid w:val="00D43BDC"/>
    <w:rsid w:val="00D43EA6"/>
    <w:rsid w:val="00D44A08"/>
    <w:rsid w:val="00D45FDC"/>
    <w:rsid w:val="00D46794"/>
    <w:rsid w:val="00D50057"/>
    <w:rsid w:val="00D505AC"/>
    <w:rsid w:val="00D50872"/>
    <w:rsid w:val="00D528CF"/>
    <w:rsid w:val="00D531E9"/>
    <w:rsid w:val="00D539CB"/>
    <w:rsid w:val="00D53C44"/>
    <w:rsid w:val="00D55A2A"/>
    <w:rsid w:val="00D572D4"/>
    <w:rsid w:val="00D605F9"/>
    <w:rsid w:val="00D607EF"/>
    <w:rsid w:val="00D62959"/>
    <w:rsid w:val="00D6295E"/>
    <w:rsid w:val="00D62ADE"/>
    <w:rsid w:val="00D62DD5"/>
    <w:rsid w:val="00D6336F"/>
    <w:rsid w:val="00D63789"/>
    <w:rsid w:val="00D64DCD"/>
    <w:rsid w:val="00D66C0C"/>
    <w:rsid w:val="00D672F8"/>
    <w:rsid w:val="00D67928"/>
    <w:rsid w:val="00D67929"/>
    <w:rsid w:val="00D705FB"/>
    <w:rsid w:val="00D715C7"/>
    <w:rsid w:val="00D71F0B"/>
    <w:rsid w:val="00D72AE2"/>
    <w:rsid w:val="00D733D2"/>
    <w:rsid w:val="00D73DD2"/>
    <w:rsid w:val="00D743A2"/>
    <w:rsid w:val="00D745CE"/>
    <w:rsid w:val="00D74945"/>
    <w:rsid w:val="00D7602D"/>
    <w:rsid w:val="00D761DE"/>
    <w:rsid w:val="00D770DB"/>
    <w:rsid w:val="00D77102"/>
    <w:rsid w:val="00D77E2E"/>
    <w:rsid w:val="00D813E6"/>
    <w:rsid w:val="00D82020"/>
    <w:rsid w:val="00D827A0"/>
    <w:rsid w:val="00D82AD4"/>
    <w:rsid w:val="00D83284"/>
    <w:rsid w:val="00D851BD"/>
    <w:rsid w:val="00D869C1"/>
    <w:rsid w:val="00D87C1E"/>
    <w:rsid w:val="00D90016"/>
    <w:rsid w:val="00D90BA0"/>
    <w:rsid w:val="00D90EF4"/>
    <w:rsid w:val="00D91357"/>
    <w:rsid w:val="00D91C2A"/>
    <w:rsid w:val="00D92917"/>
    <w:rsid w:val="00D9330E"/>
    <w:rsid w:val="00D9387C"/>
    <w:rsid w:val="00D9412B"/>
    <w:rsid w:val="00D944C6"/>
    <w:rsid w:val="00D94930"/>
    <w:rsid w:val="00D95115"/>
    <w:rsid w:val="00D9541C"/>
    <w:rsid w:val="00D95A50"/>
    <w:rsid w:val="00D95B50"/>
    <w:rsid w:val="00D95E43"/>
    <w:rsid w:val="00D9653C"/>
    <w:rsid w:val="00D965CC"/>
    <w:rsid w:val="00D96A06"/>
    <w:rsid w:val="00D96C46"/>
    <w:rsid w:val="00D9710B"/>
    <w:rsid w:val="00D97B73"/>
    <w:rsid w:val="00DA0463"/>
    <w:rsid w:val="00DA04BF"/>
    <w:rsid w:val="00DA0835"/>
    <w:rsid w:val="00DA13FB"/>
    <w:rsid w:val="00DA16EA"/>
    <w:rsid w:val="00DA1B18"/>
    <w:rsid w:val="00DA1CD1"/>
    <w:rsid w:val="00DA2A4A"/>
    <w:rsid w:val="00DA486B"/>
    <w:rsid w:val="00DA5832"/>
    <w:rsid w:val="00DA627F"/>
    <w:rsid w:val="00DA7057"/>
    <w:rsid w:val="00DA72D1"/>
    <w:rsid w:val="00DA7511"/>
    <w:rsid w:val="00DA7D7E"/>
    <w:rsid w:val="00DB0BCE"/>
    <w:rsid w:val="00DB0E6A"/>
    <w:rsid w:val="00DB132A"/>
    <w:rsid w:val="00DB176C"/>
    <w:rsid w:val="00DB31BB"/>
    <w:rsid w:val="00DB347D"/>
    <w:rsid w:val="00DB4032"/>
    <w:rsid w:val="00DB4DCA"/>
    <w:rsid w:val="00DB6400"/>
    <w:rsid w:val="00DB6854"/>
    <w:rsid w:val="00DB6F34"/>
    <w:rsid w:val="00DB761F"/>
    <w:rsid w:val="00DC036D"/>
    <w:rsid w:val="00DC07D5"/>
    <w:rsid w:val="00DC1B32"/>
    <w:rsid w:val="00DC2D54"/>
    <w:rsid w:val="00DC2E9D"/>
    <w:rsid w:val="00DC43EA"/>
    <w:rsid w:val="00DC5438"/>
    <w:rsid w:val="00DC68C4"/>
    <w:rsid w:val="00DD041C"/>
    <w:rsid w:val="00DD0D0E"/>
    <w:rsid w:val="00DD1538"/>
    <w:rsid w:val="00DD1E0C"/>
    <w:rsid w:val="00DD1EEB"/>
    <w:rsid w:val="00DD24E7"/>
    <w:rsid w:val="00DD2C13"/>
    <w:rsid w:val="00DD3602"/>
    <w:rsid w:val="00DD3C69"/>
    <w:rsid w:val="00DD47E2"/>
    <w:rsid w:val="00DD5F40"/>
    <w:rsid w:val="00DD60CB"/>
    <w:rsid w:val="00DD6A62"/>
    <w:rsid w:val="00DD70A7"/>
    <w:rsid w:val="00DE089A"/>
    <w:rsid w:val="00DE0BE4"/>
    <w:rsid w:val="00DE1B37"/>
    <w:rsid w:val="00DE26EA"/>
    <w:rsid w:val="00DE3810"/>
    <w:rsid w:val="00DE3AD0"/>
    <w:rsid w:val="00DE45C3"/>
    <w:rsid w:val="00DE4E79"/>
    <w:rsid w:val="00DE505F"/>
    <w:rsid w:val="00DE6FAE"/>
    <w:rsid w:val="00DE77E0"/>
    <w:rsid w:val="00DE7D6A"/>
    <w:rsid w:val="00DF0545"/>
    <w:rsid w:val="00DF0C17"/>
    <w:rsid w:val="00DF1425"/>
    <w:rsid w:val="00DF1706"/>
    <w:rsid w:val="00DF1744"/>
    <w:rsid w:val="00DF416F"/>
    <w:rsid w:val="00DF4770"/>
    <w:rsid w:val="00DF4F57"/>
    <w:rsid w:val="00DF5FD9"/>
    <w:rsid w:val="00DF643E"/>
    <w:rsid w:val="00DF64FD"/>
    <w:rsid w:val="00DF6CAE"/>
    <w:rsid w:val="00DF709C"/>
    <w:rsid w:val="00DF728A"/>
    <w:rsid w:val="00DF7637"/>
    <w:rsid w:val="00DF7D9D"/>
    <w:rsid w:val="00E00CE9"/>
    <w:rsid w:val="00E01F24"/>
    <w:rsid w:val="00E02018"/>
    <w:rsid w:val="00E02310"/>
    <w:rsid w:val="00E0295F"/>
    <w:rsid w:val="00E02C7B"/>
    <w:rsid w:val="00E02FE8"/>
    <w:rsid w:val="00E033DA"/>
    <w:rsid w:val="00E034A8"/>
    <w:rsid w:val="00E04064"/>
    <w:rsid w:val="00E0551E"/>
    <w:rsid w:val="00E071CC"/>
    <w:rsid w:val="00E076DE"/>
    <w:rsid w:val="00E07D34"/>
    <w:rsid w:val="00E07D63"/>
    <w:rsid w:val="00E1090E"/>
    <w:rsid w:val="00E11FDA"/>
    <w:rsid w:val="00E16949"/>
    <w:rsid w:val="00E16A51"/>
    <w:rsid w:val="00E1725B"/>
    <w:rsid w:val="00E2019C"/>
    <w:rsid w:val="00E21050"/>
    <w:rsid w:val="00E21EE0"/>
    <w:rsid w:val="00E22555"/>
    <w:rsid w:val="00E23D1B"/>
    <w:rsid w:val="00E24BA2"/>
    <w:rsid w:val="00E25562"/>
    <w:rsid w:val="00E25DA1"/>
    <w:rsid w:val="00E265C7"/>
    <w:rsid w:val="00E266EA"/>
    <w:rsid w:val="00E268F0"/>
    <w:rsid w:val="00E27006"/>
    <w:rsid w:val="00E27F11"/>
    <w:rsid w:val="00E30E4A"/>
    <w:rsid w:val="00E330BF"/>
    <w:rsid w:val="00E33943"/>
    <w:rsid w:val="00E33D6D"/>
    <w:rsid w:val="00E3446C"/>
    <w:rsid w:val="00E34D58"/>
    <w:rsid w:val="00E355C8"/>
    <w:rsid w:val="00E3677C"/>
    <w:rsid w:val="00E37379"/>
    <w:rsid w:val="00E40412"/>
    <w:rsid w:val="00E41327"/>
    <w:rsid w:val="00E41BEC"/>
    <w:rsid w:val="00E432EF"/>
    <w:rsid w:val="00E4429C"/>
    <w:rsid w:val="00E4467D"/>
    <w:rsid w:val="00E46765"/>
    <w:rsid w:val="00E473D0"/>
    <w:rsid w:val="00E50031"/>
    <w:rsid w:val="00E50B44"/>
    <w:rsid w:val="00E5120F"/>
    <w:rsid w:val="00E51E1D"/>
    <w:rsid w:val="00E525D2"/>
    <w:rsid w:val="00E5299D"/>
    <w:rsid w:val="00E530EF"/>
    <w:rsid w:val="00E53740"/>
    <w:rsid w:val="00E55124"/>
    <w:rsid w:val="00E554A9"/>
    <w:rsid w:val="00E55D68"/>
    <w:rsid w:val="00E56F22"/>
    <w:rsid w:val="00E57335"/>
    <w:rsid w:val="00E6020D"/>
    <w:rsid w:val="00E61659"/>
    <w:rsid w:val="00E61C54"/>
    <w:rsid w:val="00E6304C"/>
    <w:rsid w:val="00E64D3C"/>
    <w:rsid w:val="00E64D65"/>
    <w:rsid w:val="00E64EB0"/>
    <w:rsid w:val="00E6512B"/>
    <w:rsid w:val="00E65B6A"/>
    <w:rsid w:val="00E66203"/>
    <w:rsid w:val="00E664D4"/>
    <w:rsid w:val="00E66534"/>
    <w:rsid w:val="00E66A06"/>
    <w:rsid w:val="00E66A54"/>
    <w:rsid w:val="00E66C3F"/>
    <w:rsid w:val="00E676D8"/>
    <w:rsid w:val="00E702B9"/>
    <w:rsid w:val="00E707F3"/>
    <w:rsid w:val="00E70FF1"/>
    <w:rsid w:val="00E71A0A"/>
    <w:rsid w:val="00E72B79"/>
    <w:rsid w:val="00E74E16"/>
    <w:rsid w:val="00E7687A"/>
    <w:rsid w:val="00E76E4E"/>
    <w:rsid w:val="00E77177"/>
    <w:rsid w:val="00E772AB"/>
    <w:rsid w:val="00E7782E"/>
    <w:rsid w:val="00E778BE"/>
    <w:rsid w:val="00E77A1F"/>
    <w:rsid w:val="00E77A4F"/>
    <w:rsid w:val="00E77DD0"/>
    <w:rsid w:val="00E807BD"/>
    <w:rsid w:val="00E82C04"/>
    <w:rsid w:val="00E84233"/>
    <w:rsid w:val="00E84DC2"/>
    <w:rsid w:val="00E852B1"/>
    <w:rsid w:val="00E85970"/>
    <w:rsid w:val="00E8639B"/>
    <w:rsid w:val="00E86AA6"/>
    <w:rsid w:val="00E870B0"/>
    <w:rsid w:val="00E905F2"/>
    <w:rsid w:val="00E906E7"/>
    <w:rsid w:val="00E9078B"/>
    <w:rsid w:val="00E91158"/>
    <w:rsid w:val="00E91D41"/>
    <w:rsid w:val="00E9212C"/>
    <w:rsid w:val="00E923F4"/>
    <w:rsid w:val="00E95747"/>
    <w:rsid w:val="00E95A08"/>
    <w:rsid w:val="00E95E0E"/>
    <w:rsid w:val="00E97200"/>
    <w:rsid w:val="00E978B1"/>
    <w:rsid w:val="00E9790A"/>
    <w:rsid w:val="00E97EC0"/>
    <w:rsid w:val="00EA1FF7"/>
    <w:rsid w:val="00EA20D3"/>
    <w:rsid w:val="00EA22AE"/>
    <w:rsid w:val="00EA42B9"/>
    <w:rsid w:val="00EA42EB"/>
    <w:rsid w:val="00EA4651"/>
    <w:rsid w:val="00EA5D0B"/>
    <w:rsid w:val="00EA5D61"/>
    <w:rsid w:val="00EA7864"/>
    <w:rsid w:val="00EA7D75"/>
    <w:rsid w:val="00EB0267"/>
    <w:rsid w:val="00EB08C3"/>
    <w:rsid w:val="00EB0F17"/>
    <w:rsid w:val="00EB11AC"/>
    <w:rsid w:val="00EB160A"/>
    <w:rsid w:val="00EB182A"/>
    <w:rsid w:val="00EB1CE2"/>
    <w:rsid w:val="00EB2A16"/>
    <w:rsid w:val="00EB2F48"/>
    <w:rsid w:val="00EB498E"/>
    <w:rsid w:val="00EB54AE"/>
    <w:rsid w:val="00EB68D4"/>
    <w:rsid w:val="00EB6E5D"/>
    <w:rsid w:val="00EB7563"/>
    <w:rsid w:val="00EB7709"/>
    <w:rsid w:val="00EC1FD5"/>
    <w:rsid w:val="00EC2BA6"/>
    <w:rsid w:val="00EC2CB4"/>
    <w:rsid w:val="00EC3A8F"/>
    <w:rsid w:val="00EC476E"/>
    <w:rsid w:val="00EC47FD"/>
    <w:rsid w:val="00EC4AA7"/>
    <w:rsid w:val="00EC51CD"/>
    <w:rsid w:val="00EC52C8"/>
    <w:rsid w:val="00EC54A3"/>
    <w:rsid w:val="00EC60A2"/>
    <w:rsid w:val="00EC668F"/>
    <w:rsid w:val="00EC79A4"/>
    <w:rsid w:val="00ED02D3"/>
    <w:rsid w:val="00ED0E63"/>
    <w:rsid w:val="00ED0F42"/>
    <w:rsid w:val="00ED174F"/>
    <w:rsid w:val="00ED2BFC"/>
    <w:rsid w:val="00ED4A2F"/>
    <w:rsid w:val="00ED5FF9"/>
    <w:rsid w:val="00ED6562"/>
    <w:rsid w:val="00EE0403"/>
    <w:rsid w:val="00EE1127"/>
    <w:rsid w:val="00EE4878"/>
    <w:rsid w:val="00EE5EC6"/>
    <w:rsid w:val="00EE6B43"/>
    <w:rsid w:val="00EE71A9"/>
    <w:rsid w:val="00EE7950"/>
    <w:rsid w:val="00EE7EE5"/>
    <w:rsid w:val="00EF1BD1"/>
    <w:rsid w:val="00EF1F87"/>
    <w:rsid w:val="00EF3D59"/>
    <w:rsid w:val="00EF521B"/>
    <w:rsid w:val="00EF6767"/>
    <w:rsid w:val="00F0049D"/>
    <w:rsid w:val="00F006C1"/>
    <w:rsid w:val="00F0099F"/>
    <w:rsid w:val="00F00DF9"/>
    <w:rsid w:val="00F01503"/>
    <w:rsid w:val="00F01B26"/>
    <w:rsid w:val="00F01CE1"/>
    <w:rsid w:val="00F01E76"/>
    <w:rsid w:val="00F027AA"/>
    <w:rsid w:val="00F057B7"/>
    <w:rsid w:val="00F06806"/>
    <w:rsid w:val="00F06A81"/>
    <w:rsid w:val="00F07103"/>
    <w:rsid w:val="00F100E0"/>
    <w:rsid w:val="00F11B24"/>
    <w:rsid w:val="00F13279"/>
    <w:rsid w:val="00F13683"/>
    <w:rsid w:val="00F13950"/>
    <w:rsid w:val="00F140E2"/>
    <w:rsid w:val="00F144C9"/>
    <w:rsid w:val="00F148A0"/>
    <w:rsid w:val="00F15A62"/>
    <w:rsid w:val="00F15D8A"/>
    <w:rsid w:val="00F162AF"/>
    <w:rsid w:val="00F16FA1"/>
    <w:rsid w:val="00F209F1"/>
    <w:rsid w:val="00F20A17"/>
    <w:rsid w:val="00F20FC3"/>
    <w:rsid w:val="00F2123F"/>
    <w:rsid w:val="00F23000"/>
    <w:rsid w:val="00F23D98"/>
    <w:rsid w:val="00F24243"/>
    <w:rsid w:val="00F243CF"/>
    <w:rsid w:val="00F24CB2"/>
    <w:rsid w:val="00F2585A"/>
    <w:rsid w:val="00F25B8A"/>
    <w:rsid w:val="00F25D02"/>
    <w:rsid w:val="00F26028"/>
    <w:rsid w:val="00F2733A"/>
    <w:rsid w:val="00F27461"/>
    <w:rsid w:val="00F307B6"/>
    <w:rsid w:val="00F308C4"/>
    <w:rsid w:val="00F31C74"/>
    <w:rsid w:val="00F3231A"/>
    <w:rsid w:val="00F33547"/>
    <w:rsid w:val="00F33FE3"/>
    <w:rsid w:val="00F35300"/>
    <w:rsid w:val="00F368E9"/>
    <w:rsid w:val="00F36B79"/>
    <w:rsid w:val="00F373F2"/>
    <w:rsid w:val="00F37FE0"/>
    <w:rsid w:val="00F40C57"/>
    <w:rsid w:val="00F41600"/>
    <w:rsid w:val="00F42314"/>
    <w:rsid w:val="00F42892"/>
    <w:rsid w:val="00F428C8"/>
    <w:rsid w:val="00F43B0A"/>
    <w:rsid w:val="00F446DB"/>
    <w:rsid w:val="00F45D3C"/>
    <w:rsid w:val="00F46571"/>
    <w:rsid w:val="00F46C4E"/>
    <w:rsid w:val="00F47636"/>
    <w:rsid w:val="00F476D5"/>
    <w:rsid w:val="00F47DB4"/>
    <w:rsid w:val="00F5068C"/>
    <w:rsid w:val="00F50A02"/>
    <w:rsid w:val="00F511B3"/>
    <w:rsid w:val="00F5305E"/>
    <w:rsid w:val="00F54973"/>
    <w:rsid w:val="00F54A33"/>
    <w:rsid w:val="00F55465"/>
    <w:rsid w:val="00F55F2E"/>
    <w:rsid w:val="00F55FEB"/>
    <w:rsid w:val="00F561D2"/>
    <w:rsid w:val="00F56611"/>
    <w:rsid w:val="00F56CE1"/>
    <w:rsid w:val="00F56EF6"/>
    <w:rsid w:val="00F60E3D"/>
    <w:rsid w:val="00F611A6"/>
    <w:rsid w:val="00F6240D"/>
    <w:rsid w:val="00F628A5"/>
    <w:rsid w:val="00F62D49"/>
    <w:rsid w:val="00F63578"/>
    <w:rsid w:val="00F6380D"/>
    <w:rsid w:val="00F63FA6"/>
    <w:rsid w:val="00F6440B"/>
    <w:rsid w:val="00F64C40"/>
    <w:rsid w:val="00F650B9"/>
    <w:rsid w:val="00F65272"/>
    <w:rsid w:val="00F657E0"/>
    <w:rsid w:val="00F678E4"/>
    <w:rsid w:val="00F70400"/>
    <w:rsid w:val="00F704D6"/>
    <w:rsid w:val="00F70722"/>
    <w:rsid w:val="00F73841"/>
    <w:rsid w:val="00F738CC"/>
    <w:rsid w:val="00F73EFD"/>
    <w:rsid w:val="00F742BB"/>
    <w:rsid w:val="00F74901"/>
    <w:rsid w:val="00F76220"/>
    <w:rsid w:val="00F76949"/>
    <w:rsid w:val="00F77A45"/>
    <w:rsid w:val="00F77A79"/>
    <w:rsid w:val="00F80ED7"/>
    <w:rsid w:val="00F810AD"/>
    <w:rsid w:val="00F8206A"/>
    <w:rsid w:val="00F82DEA"/>
    <w:rsid w:val="00F83FB3"/>
    <w:rsid w:val="00F84508"/>
    <w:rsid w:val="00F84533"/>
    <w:rsid w:val="00F84C9A"/>
    <w:rsid w:val="00F8549E"/>
    <w:rsid w:val="00F8561C"/>
    <w:rsid w:val="00F861A2"/>
    <w:rsid w:val="00F86B98"/>
    <w:rsid w:val="00F87482"/>
    <w:rsid w:val="00F87ECC"/>
    <w:rsid w:val="00F90285"/>
    <w:rsid w:val="00F928B1"/>
    <w:rsid w:val="00F93B16"/>
    <w:rsid w:val="00F93D40"/>
    <w:rsid w:val="00F94965"/>
    <w:rsid w:val="00F94D11"/>
    <w:rsid w:val="00F95B6A"/>
    <w:rsid w:val="00F9741E"/>
    <w:rsid w:val="00FA0346"/>
    <w:rsid w:val="00FA0D43"/>
    <w:rsid w:val="00FA2DD1"/>
    <w:rsid w:val="00FA30E1"/>
    <w:rsid w:val="00FA37EB"/>
    <w:rsid w:val="00FA48EF"/>
    <w:rsid w:val="00FA490C"/>
    <w:rsid w:val="00FA532E"/>
    <w:rsid w:val="00FA64EE"/>
    <w:rsid w:val="00FA6FC6"/>
    <w:rsid w:val="00FA7D6F"/>
    <w:rsid w:val="00FB115F"/>
    <w:rsid w:val="00FB181C"/>
    <w:rsid w:val="00FB2119"/>
    <w:rsid w:val="00FB281A"/>
    <w:rsid w:val="00FB28D8"/>
    <w:rsid w:val="00FB2BC9"/>
    <w:rsid w:val="00FB2E00"/>
    <w:rsid w:val="00FB37AD"/>
    <w:rsid w:val="00FB3DCA"/>
    <w:rsid w:val="00FB5252"/>
    <w:rsid w:val="00FB5CD3"/>
    <w:rsid w:val="00FB5E2B"/>
    <w:rsid w:val="00FB6817"/>
    <w:rsid w:val="00FB7795"/>
    <w:rsid w:val="00FB78D6"/>
    <w:rsid w:val="00FB7B51"/>
    <w:rsid w:val="00FB7E4A"/>
    <w:rsid w:val="00FC0227"/>
    <w:rsid w:val="00FC0D25"/>
    <w:rsid w:val="00FC0F0B"/>
    <w:rsid w:val="00FC12AD"/>
    <w:rsid w:val="00FC139C"/>
    <w:rsid w:val="00FC149A"/>
    <w:rsid w:val="00FC16D1"/>
    <w:rsid w:val="00FC1A39"/>
    <w:rsid w:val="00FC21F1"/>
    <w:rsid w:val="00FC25D9"/>
    <w:rsid w:val="00FC2A0F"/>
    <w:rsid w:val="00FC3825"/>
    <w:rsid w:val="00FC3BAA"/>
    <w:rsid w:val="00FC4B53"/>
    <w:rsid w:val="00FC5CF9"/>
    <w:rsid w:val="00FC6E04"/>
    <w:rsid w:val="00FC6FAD"/>
    <w:rsid w:val="00FC788B"/>
    <w:rsid w:val="00FC7970"/>
    <w:rsid w:val="00FC7B55"/>
    <w:rsid w:val="00FD02C0"/>
    <w:rsid w:val="00FD0B77"/>
    <w:rsid w:val="00FD168D"/>
    <w:rsid w:val="00FD2163"/>
    <w:rsid w:val="00FD24C2"/>
    <w:rsid w:val="00FD2A99"/>
    <w:rsid w:val="00FD2C4D"/>
    <w:rsid w:val="00FD31BF"/>
    <w:rsid w:val="00FD4E09"/>
    <w:rsid w:val="00FD5AD7"/>
    <w:rsid w:val="00FD5B00"/>
    <w:rsid w:val="00FD602A"/>
    <w:rsid w:val="00FD663B"/>
    <w:rsid w:val="00FD663E"/>
    <w:rsid w:val="00FD7091"/>
    <w:rsid w:val="00FD75B2"/>
    <w:rsid w:val="00FD7848"/>
    <w:rsid w:val="00FD7C27"/>
    <w:rsid w:val="00FE0D5D"/>
    <w:rsid w:val="00FE12A1"/>
    <w:rsid w:val="00FE12E0"/>
    <w:rsid w:val="00FE1EA5"/>
    <w:rsid w:val="00FE2FBC"/>
    <w:rsid w:val="00FE32FC"/>
    <w:rsid w:val="00FE4131"/>
    <w:rsid w:val="00FE4210"/>
    <w:rsid w:val="00FE532F"/>
    <w:rsid w:val="00FE58DA"/>
    <w:rsid w:val="00FE68CE"/>
    <w:rsid w:val="00FE69AF"/>
    <w:rsid w:val="00FE6DFB"/>
    <w:rsid w:val="00FE745A"/>
    <w:rsid w:val="00FE7839"/>
    <w:rsid w:val="00FF0123"/>
    <w:rsid w:val="00FF094E"/>
    <w:rsid w:val="00FF227E"/>
    <w:rsid w:val="00FF38B5"/>
    <w:rsid w:val="00FF3AFD"/>
    <w:rsid w:val="00FF3BF3"/>
    <w:rsid w:val="00FF4530"/>
    <w:rsid w:val="00FF461C"/>
    <w:rsid w:val="00FF51B7"/>
    <w:rsid w:val="00FF6949"/>
    <w:rsid w:val="00FF695C"/>
    <w:rsid w:val="00FF6FF7"/>
    <w:rsid w:val="00FF71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355ea9,#5887c0"/>
    </o:shapedefaults>
    <o:shapelayout v:ext="edit">
      <o:idmap v:ext="edit" data="1"/>
    </o:shapelayout>
  </w:shapeDefaults>
  <w:decimalSymbol w:val="."/>
  <w:listSeparator w:val=";"/>
  <w14:docId w14:val="1108A414"/>
  <w15:chartTrackingRefBased/>
  <w15:docId w15:val="{F293F465-473D-4621-8F2C-98B4E5D6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569"/>
    <w:rPr>
      <w:lang w:val="es-ES" w:eastAsia="es-ES"/>
    </w:rPr>
  </w:style>
  <w:style w:type="paragraph" w:styleId="Ttulo1">
    <w:name w:val="heading 1"/>
    <w:basedOn w:val="Normal"/>
    <w:next w:val="Normal"/>
    <w:link w:val="Ttulo1Car"/>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link w:val="Ttulo3Car"/>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link w:val="Ttulo5Car"/>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C03BC8"/>
    <w:pPr>
      <w:tabs>
        <w:tab w:val="left" w:pos="400"/>
        <w:tab w:val="right" w:leader="dot" w:pos="8830"/>
      </w:tabs>
      <w:spacing w:before="120" w:after="120"/>
      <w:jc w:val="both"/>
    </w:pPr>
    <w:rPr>
      <w:rFonts w:ascii="Arial" w:hAnsi="Arial" w:cs="Arial"/>
      <w:b/>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uiPriority w:val="99"/>
    <w:semiHidden/>
    <w:rsid w:val="00FE4210"/>
    <w:rPr>
      <w:sz w:val="16"/>
      <w:szCs w:val="16"/>
    </w:rPr>
  </w:style>
  <w:style w:type="paragraph" w:styleId="Textocomentario">
    <w:name w:val="annotation text"/>
    <w:basedOn w:val="Normal"/>
    <w:link w:val="TextocomentarioCar"/>
    <w:uiPriority w:val="99"/>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customStyle="1" w:styleId="TtulodeTDC">
    <w:name w:val="Título de TDC"/>
    <w:basedOn w:val="Ttulo1"/>
    <w:next w:val="Normal"/>
    <w:uiPriority w:val="39"/>
    <w:unhideWhenUsed/>
    <w:qFormat/>
    <w:rsid w:val="001B042C"/>
    <w:pPr>
      <w:keepLines/>
      <w:widowControl/>
      <w:spacing w:before="480" w:line="276" w:lineRule="auto"/>
      <w:jc w:val="left"/>
      <w:outlineLvl w:val="9"/>
    </w:pPr>
    <w:rPr>
      <w:rFonts w:ascii="Cambria" w:hAnsi="Cambria"/>
      <w:bCs/>
      <w:color w:val="365F91"/>
      <w:sz w:val="28"/>
      <w:szCs w:val="28"/>
      <w:lang w:val="es-CO" w:eastAsia="es-CO"/>
    </w:rPr>
  </w:style>
  <w:style w:type="character" w:customStyle="1" w:styleId="inplacedisplayid32424771siteid9781">
    <w:name w:val="inplacedisplayid32424771siteid9781"/>
    <w:rsid w:val="000B5926"/>
    <w:rPr>
      <w:rFonts w:ascii="Ubuntu" w:hAnsi="Ubuntu" w:hint="default"/>
      <w:color w:val="333333"/>
      <w:sz w:val="19"/>
      <w:szCs w:val="19"/>
    </w:rPr>
  </w:style>
  <w:style w:type="paragraph" w:styleId="Prrafodelista">
    <w:name w:val="List Paragraph"/>
    <w:aliases w:val="LISTA,Párrafo de lista11,EY EPM - Lista,Num Bullet 1"/>
    <w:basedOn w:val="Normal"/>
    <w:link w:val="PrrafodelistaCar"/>
    <w:uiPriority w:val="34"/>
    <w:qFormat/>
    <w:rsid w:val="00026371"/>
    <w:pPr>
      <w:ind w:left="708"/>
    </w:pPr>
  </w:style>
  <w:style w:type="paragraph" w:customStyle="1" w:styleId="Default">
    <w:name w:val="Default"/>
    <w:rsid w:val="00B36326"/>
    <w:pPr>
      <w:autoSpaceDE w:val="0"/>
      <w:autoSpaceDN w:val="0"/>
      <w:adjustRightInd w:val="0"/>
    </w:pPr>
    <w:rPr>
      <w:rFonts w:ascii="Arial" w:eastAsia="Calibri" w:hAnsi="Arial" w:cs="Arial"/>
      <w:color w:val="000000"/>
      <w:sz w:val="24"/>
      <w:szCs w:val="24"/>
      <w:lang w:eastAsia="en-US"/>
    </w:rPr>
  </w:style>
  <w:style w:type="paragraph" w:customStyle="1" w:styleId="actor">
    <w:name w:val="actor"/>
    <w:basedOn w:val="Normal"/>
    <w:rsid w:val="00E77177"/>
    <w:pPr>
      <w:shd w:val="clear" w:color="auto" w:fill="CCCCCC"/>
      <w:spacing w:before="100" w:beforeAutospacing="1" w:after="100" w:afterAutospacing="1"/>
      <w:ind w:left="144"/>
      <w:jc w:val="center"/>
    </w:pPr>
    <w:rPr>
      <w:rFonts w:ascii="Arial" w:hAnsi="Arial" w:cs="Arial"/>
      <w:b/>
      <w:bCs/>
      <w:color w:val="336699"/>
      <w:spacing w:val="24"/>
      <w:sz w:val="27"/>
      <w:szCs w:val="27"/>
      <w:lang w:val="es-CO" w:eastAsia="es-CO"/>
    </w:rPr>
  </w:style>
  <w:style w:type="paragraph" w:customStyle="1" w:styleId="sectiontitle">
    <w:name w:val="sectiontitle"/>
    <w:basedOn w:val="Normal"/>
    <w:rsid w:val="00E77177"/>
    <w:pPr>
      <w:spacing w:before="100" w:beforeAutospacing="1" w:after="100" w:afterAutospacing="1"/>
      <w:ind w:left="144"/>
    </w:pPr>
    <w:rPr>
      <w:rFonts w:ascii="Arial" w:hAnsi="Arial" w:cs="Arial"/>
      <w:b/>
      <w:bCs/>
      <w:color w:val="336699"/>
      <w:sz w:val="27"/>
      <w:szCs w:val="27"/>
      <w:lang w:val="es-CO" w:eastAsia="es-CO"/>
    </w:rPr>
  </w:style>
  <w:style w:type="paragraph" w:styleId="z-Principiodelformulario">
    <w:name w:val="HTML Top of Form"/>
    <w:basedOn w:val="Normal"/>
    <w:next w:val="Normal"/>
    <w:link w:val="z-PrincipiodelformularioCar"/>
    <w:hidden/>
    <w:uiPriority w:val="99"/>
    <w:unhideWhenUsed/>
    <w:rsid w:val="00E77177"/>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link w:val="z-Principiodelformulario"/>
    <w:uiPriority w:val="99"/>
    <w:rsid w:val="00E77177"/>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E77177"/>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link w:val="z-Finaldelformulario"/>
    <w:uiPriority w:val="99"/>
    <w:rsid w:val="00E77177"/>
    <w:rPr>
      <w:rFonts w:ascii="Arial" w:hAnsi="Arial" w:cs="Arial"/>
      <w:vanish/>
      <w:sz w:val="16"/>
      <w:szCs w:val="16"/>
    </w:rPr>
  </w:style>
  <w:style w:type="table" w:styleId="Tablaconcuadrcula">
    <w:name w:val="Table Grid"/>
    <w:basedOn w:val="Tablanormal"/>
    <w:uiPriority w:val="59"/>
    <w:rsid w:val="00F8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3C04DD"/>
    <w:rPr>
      <w:color w:val="800080"/>
      <w:u w:val="single"/>
    </w:rPr>
  </w:style>
  <w:style w:type="paragraph" w:customStyle="1" w:styleId="estilo1">
    <w:name w:val="estilo1"/>
    <w:basedOn w:val="Normal"/>
    <w:uiPriority w:val="99"/>
    <w:rsid w:val="001F7C75"/>
    <w:pPr>
      <w:spacing w:before="230" w:after="230" w:line="216" w:lineRule="atLeast"/>
      <w:ind w:left="230" w:right="230"/>
    </w:pPr>
    <w:rPr>
      <w:rFonts w:ascii="Verdana" w:hAnsi="Verdana"/>
      <w:color w:val="000000"/>
      <w:sz w:val="18"/>
      <w:szCs w:val="18"/>
      <w:lang w:val="es-CO" w:eastAsia="es-CO"/>
    </w:rPr>
  </w:style>
  <w:style w:type="paragraph" w:styleId="NormalWeb">
    <w:name w:val="Normal (Web)"/>
    <w:basedOn w:val="Normal"/>
    <w:uiPriority w:val="99"/>
    <w:unhideWhenUsed/>
    <w:rsid w:val="003A00F2"/>
    <w:pPr>
      <w:spacing w:after="75"/>
    </w:pPr>
    <w:rPr>
      <w:sz w:val="24"/>
      <w:szCs w:val="24"/>
      <w:lang w:val="es-CO" w:eastAsia="es-CO"/>
    </w:rPr>
  </w:style>
  <w:style w:type="character" w:styleId="nfasis">
    <w:name w:val="Emphasis"/>
    <w:qFormat/>
    <w:rsid w:val="00946B82"/>
    <w:rPr>
      <w:i/>
      <w:iCs/>
    </w:rPr>
  </w:style>
  <w:style w:type="paragraph" w:styleId="TDC2">
    <w:name w:val="toc 2"/>
    <w:basedOn w:val="Normal"/>
    <w:next w:val="Normal"/>
    <w:autoRedefine/>
    <w:uiPriority w:val="39"/>
    <w:rsid w:val="00AA21A5"/>
    <w:pPr>
      <w:tabs>
        <w:tab w:val="left" w:pos="660"/>
        <w:tab w:val="right" w:leader="dot" w:pos="8830"/>
      </w:tabs>
      <w:spacing w:before="120" w:after="120"/>
      <w:ind w:left="658" w:right="284" w:hanging="658"/>
      <w:jc w:val="both"/>
    </w:pPr>
    <w:rPr>
      <w:rFonts w:ascii="Arial" w:hAnsi="Arial"/>
      <w:b/>
    </w:rPr>
  </w:style>
  <w:style w:type="paragraph" w:styleId="TDC3">
    <w:name w:val="toc 3"/>
    <w:basedOn w:val="Normal"/>
    <w:next w:val="Normal"/>
    <w:autoRedefine/>
    <w:uiPriority w:val="39"/>
    <w:rsid w:val="00AA21A5"/>
    <w:pPr>
      <w:tabs>
        <w:tab w:val="left" w:pos="1100"/>
        <w:tab w:val="right" w:leader="dot" w:pos="8830"/>
      </w:tabs>
      <w:spacing w:line="312" w:lineRule="auto"/>
      <w:ind w:left="658" w:right="284" w:hanging="658"/>
      <w:jc w:val="both"/>
    </w:pPr>
    <w:rPr>
      <w:rFonts w:ascii="Arial" w:hAnsi="Arial"/>
    </w:rPr>
  </w:style>
  <w:style w:type="character" w:customStyle="1" w:styleId="fontnormal1">
    <w:name w:val="fontnormal1"/>
    <w:rsid w:val="00705F8D"/>
    <w:rPr>
      <w:sz w:val="18"/>
      <w:szCs w:val="18"/>
    </w:rPr>
  </w:style>
  <w:style w:type="paragraph" w:styleId="Revisin">
    <w:name w:val="Revision"/>
    <w:hidden/>
    <w:uiPriority w:val="99"/>
    <w:semiHidden/>
    <w:rsid w:val="00325670"/>
    <w:rPr>
      <w:lang w:val="es-ES" w:eastAsia="es-ES"/>
    </w:rPr>
  </w:style>
  <w:style w:type="character" w:customStyle="1" w:styleId="baj1">
    <w:name w:val="b_aj1"/>
    <w:rsid w:val="00F06A81"/>
    <w:rPr>
      <w:b/>
      <w:bCs/>
      <w:color w:val="000000"/>
    </w:rPr>
  </w:style>
  <w:style w:type="paragraph" w:styleId="Sinespaciado">
    <w:name w:val="No Spacing"/>
    <w:link w:val="SinespaciadoCar"/>
    <w:uiPriority w:val="1"/>
    <w:qFormat/>
    <w:rsid w:val="005C0D56"/>
    <w:rPr>
      <w:lang w:val="es-ES" w:eastAsia="es-ES"/>
    </w:rPr>
  </w:style>
  <w:style w:type="character" w:customStyle="1" w:styleId="tgc">
    <w:name w:val="_tgc"/>
    <w:rsid w:val="00B0461B"/>
  </w:style>
  <w:style w:type="character" w:customStyle="1" w:styleId="TextocomentarioCar">
    <w:name w:val="Texto comentario Car"/>
    <w:link w:val="Textocomentario"/>
    <w:uiPriority w:val="99"/>
    <w:semiHidden/>
    <w:rsid w:val="006467C0"/>
    <w:rPr>
      <w:lang w:val="es-ES" w:eastAsia="es-ES"/>
    </w:rPr>
  </w:style>
  <w:style w:type="paragraph" w:customStyle="1" w:styleId="Estilo2">
    <w:name w:val="Estilo2"/>
    <w:basedOn w:val="Default"/>
    <w:qFormat/>
    <w:rsid w:val="004E4229"/>
    <w:pPr>
      <w:numPr>
        <w:numId w:val="7"/>
      </w:numPr>
    </w:pPr>
    <w:rPr>
      <w:rFonts w:ascii="Calibri" w:hAnsi="Calibri"/>
      <w:b/>
      <w:bCs/>
      <w:sz w:val="22"/>
      <w:szCs w:val="22"/>
    </w:rPr>
  </w:style>
  <w:style w:type="paragraph" w:customStyle="1" w:styleId="Estilo3">
    <w:name w:val="Estilo3"/>
    <w:basedOn w:val="Estilo2"/>
    <w:link w:val="Estilo3Car"/>
    <w:qFormat/>
    <w:rsid w:val="004E4229"/>
    <w:pPr>
      <w:numPr>
        <w:ilvl w:val="1"/>
      </w:numPr>
    </w:pPr>
  </w:style>
  <w:style w:type="character" w:customStyle="1" w:styleId="Estilo3Car">
    <w:name w:val="Estilo3 Car"/>
    <w:link w:val="Estilo3"/>
    <w:rsid w:val="004E4229"/>
    <w:rPr>
      <w:rFonts w:ascii="Calibri" w:eastAsia="Calibri" w:hAnsi="Calibri" w:cs="Arial"/>
      <w:b/>
      <w:bCs/>
      <w:color w:val="000000"/>
      <w:sz w:val="22"/>
      <w:szCs w:val="22"/>
      <w:lang w:eastAsia="en-US"/>
    </w:rPr>
  </w:style>
  <w:style w:type="paragraph" w:styleId="Subttulo">
    <w:name w:val="Subtitle"/>
    <w:basedOn w:val="Normal"/>
    <w:next w:val="Normal"/>
    <w:link w:val="SubttuloCar"/>
    <w:qFormat/>
    <w:rsid w:val="00A965BF"/>
    <w:pPr>
      <w:spacing w:after="60"/>
      <w:jc w:val="center"/>
      <w:outlineLvl w:val="1"/>
    </w:pPr>
    <w:rPr>
      <w:rFonts w:ascii="Calibri Light" w:hAnsi="Calibri Light"/>
      <w:sz w:val="24"/>
      <w:szCs w:val="24"/>
    </w:rPr>
  </w:style>
  <w:style w:type="character" w:customStyle="1" w:styleId="SubttuloCar">
    <w:name w:val="Subtítulo Car"/>
    <w:link w:val="Subttulo"/>
    <w:rsid w:val="00A965BF"/>
    <w:rPr>
      <w:rFonts w:ascii="Calibri Light" w:eastAsia="Times New Roman" w:hAnsi="Calibri Light" w:cs="Times New Roman"/>
      <w:sz w:val="24"/>
      <w:szCs w:val="24"/>
      <w:lang w:val="es-ES" w:eastAsia="es-ES"/>
    </w:rPr>
  </w:style>
  <w:style w:type="paragraph" w:customStyle="1" w:styleId="Pa4">
    <w:name w:val="Pa4"/>
    <w:basedOn w:val="Default"/>
    <w:next w:val="Default"/>
    <w:rsid w:val="00B51173"/>
    <w:pPr>
      <w:spacing w:before="20" w:after="20" w:line="191" w:lineRule="atLeast"/>
    </w:pPr>
    <w:rPr>
      <w:rFonts w:ascii="Formata LightCondensed" w:eastAsia="Times New Roman" w:hAnsi="Formata LightCondensed" w:cs="Times New Roman"/>
      <w:color w:val="auto"/>
      <w:lang w:val="es-ES" w:eastAsia="es-ES"/>
    </w:rPr>
  </w:style>
  <w:style w:type="character" w:customStyle="1" w:styleId="Ttulo1Car">
    <w:name w:val="Título 1 Car"/>
    <w:link w:val="Ttulo1"/>
    <w:uiPriority w:val="9"/>
    <w:rsid w:val="00531D57"/>
    <w:rPr>
      <w:b/>
      <w:sz w:val="18"/>
      <w:lang w:val="es-ES" w:eastAsia="es-ES"/>
    </w:rPr>
  </w:style>
  <w:style w:type="paragraph" w:customStyle="1" w:styleId="p9">
    <w:name w:val="p9"/>
    <w:basedOn w:val="Normal"/>
    <w:rsid w:val="000E07A4"/>
    <w:pPr>
      <w:spacing w:before="100" w:beforeAutospacing="1" w:after="100" w:afterAutospacing="1"/>
    </w:pPr>
    <w:rPr>
      <w:sz w:val="24"/>
      <w:szCs w:val="24"/>
      <w:lang w:val="es-CO" w:eastAsia="es-CO"/>
    </w:rPr>
  </w:style>
  <w:style w:type="character" w:customStyle="1" w:styleId="PrrafodelistaCar">
    <w:name w:val="Párrafo de lista Car"/>
    <w:aliases w:val="LISTA Car,Párrafo de lista11 Car,EY EPM - Lista Car,Num Bullet 1 Car"/>
    <w:link w:val="Prrafodelista"/>
    <w:uiPriority w:val="34"/>
    <w:locked/>
    <w:rsid w:val="005B2AE1"/>
    <w:rPr>
      <w:lang w:val="es-ES" w:eastAsia="es-ES"/>
    </w:rPr>
  </w:style>
  <w:style w:type="paragraph" w:styleId="TDC5">
    <w:name w:val="toc 5"/>
    <w:basedOn w:val="Normal"/>
    <w:next w:val="Normal"/>
    <w:autoRedefine/>
    <w:uiPriority w:val="39"/>
    <w:rsid w:val="000362D8"/>
    <w:pPr>
      <w:ind w:left="800"/>
    </w:pPr>
  </w:style>
  <w:style w:type="paragraph" w:styleId="TDC4">
    <w:name w:val="toc 4"/>
    <w:basedOn w:val="Normal"/>
    <w:next w:val="Normal"/>
    <w:autoRedefine/>
    <w:uiPriority w:val="39"/>
    <w:rsid w:val="00C03BC8"/>
    <w:pPr>
      <w:spacing w:before="120" w:after="120"/>
      <w:ind w:left="601"/>
    </w:pPr>
    <w:rPr>
      <w:rFonts w:ascii="Arial" w:hAnsi="Arial"/>
    </w:rPr>
  </w:style>
  <w:style w:type="character" w:customStyle="1" w:styleId="Ttulo3Car">
    <w:name w:val="Título 3 Car"/>
    <w:link w:val="Ttulo3"/>
    <w:rsid w:val="00AC7C2F"/>
    <w:rPr>
      <w:sz w:val="26"/>
      <w:lang w:val="es-ES" w:eastAsia="es-ES"/>
    </w:rPr>
  </w:style>
  <w:style w:type="table" w:styleId="Tablaconcuadrcula5">
    <w:name w:val="Table Grid 5"/>
    <w:basedOn w:val="Tablanormal"/>
    <w:rsid w:val="00C423E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423E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5oscura-nfasis1">
    <w:name w:val="Grid Table 5 Dark Accent 1"/>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5oscura">
    <w:name w:val="Grid Table 5 Dark"/>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laconcuadrcula5oscura-nfasis5">
    <w:name w:val="Grid Table 5 Dark Accent 5"/>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stavistosa-nfasis2">
    <w:name w:val="Colorful List Accent 2"/>
    <w:basedOn w:val="Tablanormal"/>
    <w:uiPriority w:val="72"/>
    <w:rsid w:val="00C423E0"/>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Tablavistosa2">
    <w:name w:val="Table Colorful 2"/>
    <w:basedOn w:val="Tablanormal"/>
    <w:rsid w:val="00C423E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unico">
    <w:name w:val="unico"/>
    <w:basedOn w:val="Normal"/>
    <w:rsid w:val="00501F03"/>
    <w:pPr>
      <w:spacing w:before="100" w:beforeAutospacing="1" w:after="100" w:afterAutospacing="1"/>
    </w:pPr>
    <w:rPr>
      <w:sz w:val="24"/>
      <w:szCs w:val="24"/>
      <w:lang w:val="es-CO" w:eastAsia="es-CO"/>
    </w:rPr>
  </w:style>
  <w:style w:type="character" w:customStyle="1" w:styleId="Ttulo5Car">
    <w:name w:val="Título 5 Car"/>
    <w:link w:val="Ttulo5"/>
    <w:rsid w:val="006A18B6"/>
    <w:rPr>
      <w:b/>
      <w:sz w:val="16"/>
      <w:lang w:val="es-ES" w:eastAsia="es-ES"/>
    </w:rPr>
  </w:style>
  <w:style w:type="paragraph" w:styleId="TDC6">
    <w:name w:val="toc 6"/>
    <w:basedOn w:val="Normal"/>
    <w:next w:val="Normal"/>
    <w:autoRedefine/>
    <w:uiPriority w:val="39"/>
    <w:unhideWhenUsed/>
    <w:rsid w:val="002D39A3"/>
    <w:pPr>
      <w:spacing w:after="100" w:line="259"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2D39A3"/>
    <w:pPr>
      <w:spacing w:after="100" w:line="259"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2D39A3"/>
    <w:pPr>
      <w:spacing w:after="100" w:line="259"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2D39A3"/>
    <w:pPr>
      <w:spacing w:after="100" w:line="259" w:lineRule="auto"/>
      <w:ind w:left="1760"/>
    </w:pPr>
    <w:rPr>
      <w:rFonts w:ascii="Calibri" w:hAnsi="Calibri"/>
      <w:sz w:val="22"/>
      <w:szCs w:val="22"/>
      <w:lang w:val="es-CO" w:eastAsia="es-CO"/>
    </w:rPr>
  </w:style>
  <w:style w:type="character" w:customStyle="1" w:styleId="Mencinsinresolver1">
    <w:name w:val="Mención sin resolver1"/>
    <w:uiPriority w:val="99"/>
    <w:semiHidden/>
    <w:unhideWhenUsed/>
    <w:rsid w:val="002D39A3"/>
    <w:rPr>
      <w:color w:val="605E5C"/>
      <w:shd w:val="clear" w:color="auto" w:fill="E1DFDD"/>
    </w:rPr>
  </w:style>
  <w:style w:type="character" w:customStyle="1" w:styleId="SinespaciadoCar">
    <w:name w:val="Sin espaciado Car"/>
    <w:link w:val="Sinespaciado"/>
    <w:uiPriority w:val="1"/>
    <w:rsid w:val="00107C2E"/>
    <w:rPr>
      <w:lang w:val="es-ES" w:eastAsia="es-ES"/>
    </w:rPr>
  </w:style>
  <w:style w:type="paragraph" w:customStyle="1" w:styleId="nueve">
    <w:name w:val="nueve"/>
    <w:basedOn w:val="Normal"/>
    <w:rsid w:val="00821530"/>
    <w:pPr>
      <w:spacing w:before="100" w:beforeAutospacing="1" w:after="100" w:afterAutospacing="1"/>
    </w:pPr>
    <w:rPr>
      <w:sz w:val="24"/>
      <w:szCs w:val="24"/>
      <w:lang w:val="es-CO" w:eastAsia="es-CO"/>
    </w:rPr>
  </w:style>
  <w:style w:type="table" w:styleId="Tablaconcuadrcula4-nfasis5">
    <w:name w:val="Grid Table 4 Accent 5"/>
    <w:basedOn w:val="Tablanormal"/>
    <w:uiPriority w:val="49"/>
    <w:rsid w:val="00535F6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353511"/>
    <w:rPr>
      <w:color w:val="808080"/>
    </w:rPr>
  </w:style>
  <w:style w:type="character" w:styleId="Mencinsinresolver">
    <w:name w:val="Unresolved Mention"/>
    <w:basedOn w:val="Fuentedeprrafopredeter"/>
    <w:uiPriority w:val="99"/>
    <w:semiHidden/>
    <w:unhideWhenUsed/>
    <w:rsid w:val="00B8697C"/>
    <w:rPr>
      <w:color w:val="605E5C"/>
      <w:shd w:val="clear" w:color="auto" w:fill="E1DFDD"/>
    </w:rPr>
  </w:style>
  <w:style w:type="paragraph" w:customStyle="1" w:styleId="Sangra2detindependiente2">
    <w:name w:val="Sangría 2 de t. independiente2"/>
    <w:basedOn w:val="Normal"/>
    <w:rsid w:val="00B82A52"/>
    <w:pPr>
      <w:widowControl w:val="0"/>
      <w:ind w:left="2124" w:hanging="2124"/>
      <w:jc w:val="both"/>
    </w:pPr>
    <w:rPr>
      <w:sz w:val="24"/>
    </w:rPr>
  </w:style>
  <w:style w:type="paragraph" w:customStyle="1" w:styleId="Sangra3detindependiente2">
    <w:name w:val="Sangría 3 de t. independiente2"/>
    <w:basedOn w:val="Normal"/>
    <w:rsid w:val="00B82A52"/>
    <w:pPr>
      <w:widowControl w:val="0"/>
      <w:ind w:left="2127" w:hanging="2127"/>
      <w:jc w:val="both"/>
    </w:pPr>
    <w:rPr>
      <w:sz w:val="24"/>
    </w:rPr>
  </w:style>
  <w:style w:type="paragraph" w:customStyle="1" w:styleId="Textoindependiente22">
    <w:name w:val="Texto independiente 22"/>
    <w:basedOn w:val="Normal"/>
    <w:rsid w:val="00B82A52"/>
    <w:pPr>
      <w:widowControl w:val="0"/>
      <w:jc w:val="both"/>
    </w:pPr>
    <w:rPr>
      <w:sz w:val="26"/>
    </w:rPr>
  </w:style>
  <w:style w:type="paragraph" w:customStyle="1" w:styleId="Textoindependiente32">
    <w:name w:val="Texto independiente 32"/>
    <w:basedOn w:val="Normal"/>
    <w:rsid w:val="00B82A52"/>
    <w:pPr>
      <w:widowControl w:val="0"/>
    </w:pPr>
    <w:rPr>
      <w:sz w:val="24"/>
    </w:rPr>
  </w:style>
  <w:style w:type="paragraph" w:customStyle="1" w:styleId="Normal2">
    <w:name w:val="Normal2"/>
    <w:basedOn w:val="Normal"/>
    <w:rsid w:val="00B82A52"/>
    <w:pPr>
      <w:spacing w:before="100" w:beforeAutospacing="1" w:after="100" w:afterAutospacing="1"/>
    </w:pPr>
    <w:rPr>
      <w:sz w:val="24"/>
      <w:szCs w:val="24"/>
    </w:rPr>
  </w:style>
  <w:style w:type="paragraph" w:styleId="TtuloTDC">
    <w:name w:val="TOC Heading"/>
    <w:basedOn w:val="Ttulo1"/>
    <w:next w:val="Normal"/>
    <w:uiPriority w:val="39"/>
    <w:unhideWhenUsed/>
    <w:qFormat/>
    <w:rsid w:val="00B82A52"/>
    <w:pPr>
      <w:keepLines/>
      <w:widowControl/>
      <w:spacing w:before="480" w:line="276" w:lineRule="auto"/>
      <w:jc w:val="left"/>
      <w:outlineLvl w:val="9"/>
    </w:pPr>
    <w:rPr>
      <w:rFonts w:ascii="Cambria" w:hAnsi="Cambria"/>
      <w:bCs/>
      <w:color w:val="365F91"/>
      <w:sz w:val="28"/>
      <w:szCs w:val="28"/>
      <w:lang w:val="es-CO" w:eastAsia="es-CO"/>
    </w:rPr>
  </w:style>
  <w:style w:type="paragraph" w:customStyle="1" w:styleId="TDC32">
    <w:name w:val="TDC 32"/>
    <w:basedOn w:val="Normal"/>
    <w:next w:val="Normal"/>
    <w:autoRedefine/>
    <w:uiPriority w:val="39"/>
    <w:rsid w:val="00B82A52"/>
    <w:pPr>
      <w:tabs>
        <w:tab w:val="left" w:pos="1100"/>
        <w:tab w:val="right" w:leader="dot" w:pos="8830"/>
      </w:tabs>
      <w:jc w:val="both"/>
    </w:pPr>
    <w:rPr>
      <w:rFonts w:ascii="Arial Narrow" w:hAnsi="Arial Narrow"/>
      <w:b/>
    </w:rPr>
  </w:style>
  <w:style w:type="paragraph" w:customStyle="1" w:styleId="TDC31">
    <w:name w:val="TDC 31"/>
    <w:basedOn w:val="Normal"/>
    <w:next w:val="Normal"/>
    <w:autoRedefine/>
    <w:uiPriority w:val="39"/>
    <w:rsid w:val="00B82A52"/>
    <w:pPr>
      <w:tabs>
        <w:tab w:val="left" w:pos="1100"/>
        <w:tab w:val="right" w:leader="dot" w:pos="8830"/>
      </w:tabs>
      <w:spacing w:before="120" w:after="120"/>
    </w:pPr>
    <w:rPr>
      <w:rFonts w:ascii="Arial Narrow" w:hAnsi="Arial Narrow"/>
    </w:rPr>
  </w:style>
  <w:style w:type="table" w:styleId="Tablaconcuadrcula6">
    <w:name w:val="Table Grid 6"/>
    <w:basedOn w:val="Tablanormal"/>
    <w:rsid w:val="00B82A5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olumnas2">
    <w:name w:val="Table Columns 2"/>
    <w:basedOn w:val="Tablanormal"/>
    <w:rsid w:val="00B82A5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82A5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uadrculamedia1-nfasis1">
    <w:name w:val="Medium Grid 1 Accent 1"/>
    <w:basedOn w:val="Tablanormal"/>
    <w:uiPriority w:val="67"/>
    <w:rsid w:val="00B82A5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1">
    <w:name w:val="Medium Shading 1 Accent 1"/>
    <w:basedOn w:val="Tablanormal"/>
    <w:uiPriority w:val="63"/>
    <w:rsid w:val="00B82A5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claro-nfasis1">
    <w:name w:val="Light Shading Accent 1"/>
    <w:basedOn w:val="Tablanormal"/>
    <w:uiPriority w:val="60"/>
    <w:rsid w:val="00B82A52"/>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tulo">
    <w:name w:val="Title"/>
    <w:basedOn w:val="Normal"/>
    <w:next w:val="Normal"/>
    <w:link w:val="TtuloCar"/>
    <w:qFormat/>
    <w:rsid w:val="00B82A52"/>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B82A52"/>
    <w:rPr>
      <w:rFonts w:ascii="Calibri Light" w:hAnsi="Calibri Light"/>
      <w:b/>
      <w:bCs/>
      <w:kern w:val="28"/>
      <w:sz w:val="32"/>
      <w:szCs w:val="32"/>
      <w:lang w:val="es-ES" w:eastAsia="es-ES"/>
    </w:rPr>
  </w:style>
  <w:style w:type="table" w:styleId="Tabladelista2-nfasis5">
    <w:name w:val="List Table 2 Accent 5"/>
    <w:basedOn w:val="Tablanormal"/>
    <w:uiPriority w:val="47"/>
    <w:rsid w:val="00B82A52"/>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tema">
    <w:name w:val="Table Theme"/>
    <w:basedOn w:val="Tablanormal"/>
    <w:rsid w:val="00B82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B82A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B82A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
    <w:uiPriority w:val="46"/>
    <w:rsid w:val="00B82A52"/>
  </w:style>
  <w:style w:type="character" w:customStyle="1" w:styleId="grame">
    <w:name w:val="grame"/>
    <w:rsid w:val="00B82A52"/>
  </w:style>
  <w:style w:type="paragraph" w:styleId="Lista">
    <w:name w:val="List"/>
    <w:basedOn w:val="Normal"/>
    <w:rsid w:val="00B82A52"/>
    <w:pPr>
      <w:ind w:left="283" w:hanging="283"/>
      <w:contextualSpacing/>
    </w:pPr>
  </w:style>
  <w:style w:type="paragraph" w:styleId="Lista2">
    <w:name w:val="List 2"/>
    <w:basedOn w:val="Normal"/>
    <w:rsid w:val="00B82A52"/>
    <w:pPr>
      <w:ind w:left="566" w:hanging="283"/>
      <w:contextualSpacing/>
    </w:pPr>
  </w:style>
  <w:style w:type="paragraph" w:styleId="Lista3">
    <w:name w:val="List 3"/>
    <w:basedOn w:val="Normal"/>
    <w:rsid w:val="00B82A52"/>
    <w:pPr>
      <w:ind w:left="849" w:hanging="283"/>
      <w:contextualSpacing/>
    </w:pPr>
  </w:style>
  <w:style w:type="paragraph" w:styleId="Lista4">
    <w:name w:val="List 4"/>
    <w:basedOn w:val="Normal"/>
    <w:rsid w:val="00B82A52"/>
    <w:pPr>
      <w:ind w:left="1132" w:hanging="283"/>
      <w:contextualSpacing/>
    </w:pPr>
  </w:style>
  <w:style w:type="paragraph" w:styleId="Lista5">
    <w:name w:val="List 5"/>
    <w:basedOn w:val="Normal"/>
    <w:rsid w:val="00B82A52"/>
    <w:pPr>
      <w:ind w:left="1415" w:hanging="283"/>
      <w:contextualSpacing/>
    </w:pPr>
  </w:style>
  <w:style w:type="paragraph" w:styleId="Encabezadodemensaje">
    <w:name w:val="Message Header"/>
    <w:basedOn w:val="Normal"/>
    <w:link w:val="EncabezadodemensajeCar"/>
    <w:rsid w:val="00B82A5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
    <w:rsid w:val="00B82A52"/>
    <w:rPr>
      <w:rFonts w:ascii="Calibri Light" w:hAnsi="Calibri Light"/>
      <w:sz w:val="24"/>
      <w:szCs w:val="24"/>
      <w:shd w:val="pct20" w:color="auto" w:fill="auto"/>
      <w:lang w:val="es-ES" w:eastAsia="es-ES"/>
    </w:rPr>
  </w:style>
  <w:style w:type="paragraph" w:styleId="Saludo">
    <w:name w:val="Salutation"/>
    <w:basedOn w:val="Normal"/>
    <w:next w:val="Normal"/>
    <w:link w:val="SaludoCar"/>
    <w:rsid w:val="00B82A52"/>
  </w:style>
  <w:style w:type="character" w:customStyle="1" w:styleId="SaludoCar">
    <w:name w:val="Saludo Car"/>
    <w:basedOn w:val="Fuentedeprrafopredeter"/>
    <w:link w:val="Saludo"/>
    <w:rsid w:val="00B82A52"/>
    <w:rPr>
      <w:lang w:val="es-ES" w:eastAsia="es-ES"/>
    </w:rPr>
  </w:style>
  <w:style w:type="paragraph" w:styleId="Listaconvietas2">
    <w:name w:val="List Bullet 2"/>
    <w:basedOn w:val="Normal"/>
    <w:rsid w:val="00B82A52"/>
    <w:pPr>
      <w:numPr>
        <w:numId w:val="40"/>
      </w:numPr>
      <w:contextualSpacing/>
    </w:pPr>
  </w:style>
  <w:style w:type="paragraph" w:styleId="Listaconvietas3">
    <w:name w:val="List Bullet 3"/>
    <w:basedOn w:val="Normal"/>
    <w:rsid w:val="00B82A52"/>
    <w:pPr>
      <w:numPr>
        <w:numId w:val="41"/>
      </w:numPr>
      <w:contextualSpacing/>
    </w:pPr>
  </w:style>
  <w:style w:type="paragraph" w:styleId="Listaconvietas4">
    <w:name w:val="List Bullet 4"/>
    <w:basedOn w:val="Normal"/>
    <w:rsid w:val="00B82A52"/>
    <w:pPr>
      <w:numPr>
        <w:numId w:val="42"/>
      </w:numPr>
      <w:contextualSpacing/>
    </w:pPr>
  </w:style>
  <w:style w:type="paragraph" w:styleId="Listaconvietas5">
    <w:name w:val="List Bullet 5"/>
    <w:basedOn w:val="Normal"/>
    <w:rsid w:val="00B82A52"/>
    <w:pPr>
      <w:numPr>
        <w:numId w:val="43"/>
      </w:numPr>
      <w:contextualSpacing/>
    </w:pPr>
  </w:style>
  <w:style w:type="paragraph" w:styleId="Continuarlista">
    <w:name w:val="List Continue"/>
    <w:basedOn w:val="Normal"/>
    <w:rsid w:val="00B82A52"/>
    <w:pPr>
      <w:spacing w:after="120"/>
      <w:ind w:left="283"/>
      <w:contextualSpacing/>
    </w:pPr>
  </w:style>
  <w:style w:type="paragraph" w:styleId="Continuarlista2">
    <w:name w:val="List Continue 2"/>
    <w:basedOn w:val="Normal"/>
    <w:rsid w:val="00B82A52"/>
    <w:pPr>
      <w:spacing w:after="120"/>
      <w:ind w:left="566"/>
      <w:contextualSpacing/>
    </w:pPr>
  </w:style>
  <w:style w:type="paragraph" w:styleId="Continuarlista3">
    <w:name w:val="List Continue 3"/>
    <w:basedOn w:val="Normal"/>
    <w:rsid w:val="00B82A52"/>
    <w:pPr>
      <w:spacing w:after="120"/>
      <w:ind w:left="849"/>
      <w:contextualSpacing/>
    </w:pPr>
  </w:style>
  <w:style w:type="paragraph" w:styleId="Continuarlista4">
    <w:name w:val="List Continue 4"/>
    <w:basedOn w:val="Normal"/>
    <w:rsid w:val="00B82A52"/>
    <w:pPr>
      <w:spacing w:after="120"/>
      <w:ind w:left="1132"/>
      <w:contextualSpacing/>
    </w:pPr>
  </w:style>
  <w:style w:type="paragraph" w:styleId="Continuarlista5">
    <w:name w:val="List Continue 5"/>
    <w:basedOn w:val="Normal"/>
    <w:rsid w:val="00B82A52"/>
    <w:pPr>
      <w:spacing w:after="120"/>
      <w:ind w:left="1415"/>
      <w:contextualSpacing/>
    </w:pPr>
  </w:style>
  <w:style w:type="paragraph" w:styleId="Sangradetextonormal">
    <w:name w:val="Body Text Indent"/>
    <w:basedOn w:val="Normal"/>
    <w:link w:val="SangradetextonormalCar"/>
    <w:rsid w:val="00B82A52"/>
    <w:pPr>
      <w:spacing w:after="120"/>
      <w:ind w:left="283"/>
    </w:pPr>
  </w:style>
  <w:style w:type="character" w:customStyle="1" w:styleId="SangradetextonormalCar">
    <w:name w:val="Sangría de texto normal Car"/>
    <w:basedOn w:val="Fuentedeprrafopredeter"/>
    <w:link w:val="Sangradetextonormal"/>
    <w:rsid w:val="00B82A52"/>
    <w:rPr>
      <w:lang w:val="es-ES" w:eastAsia="es-ES"/>
    </w:rPr>
  </w:style>
  <w:style w:type="paragraph" w:customStyle="1" w:styleId="Lneadeasunto">
    <w:name w:val="Línea de asunto"/>
    <w:basedOn w:val="Normal"/>
    <w:rsid w:val="00B82A52"/>
  </w:style>
  <w:style w:type="paragraph" w:styleId="Textoindependienteprimerasangra2">
    <w:name w:val="Body Text First Indent 2"/>
    <w:basedOn w:val="Sangradetextonormal"/>
    <w:link w:val="Textoindependienteprimerasangra2Car"/>
    <w:rsid w:val="00B82A52"/>
    <w:pPr>
      <w:ind w:firstLine="210"/>
    </w:pPr>
  </w:style>
  <w:style w:type="character" w:customStyle="1" w:styleId="Textoindependienteprimerasangra2Car">
    <w:name w:val="Texto independiente primera sangría 2 Car"/>
    <w:basedOn w:val="SangradetextonormalCar"/>
    <w:link w:val="Textoindependienteprimerasangra2"/>
    <w:rsid w:val="00B82A52"/>
    <w:rPr>
      <w:lang w:val="es-ES" w:eastAsia="es-ES"/>
    </w:rPr>
  </w:style>
  <w:style w:type="table" w:styleId="Tablaconcuadrcula1clara-nfasis5">
    <w:name w:val="Grid Table 1 Light Accent 5"/>
    <w:basedOn w:val="Tablanormal"/>
    <w:uiPriority w:val="46"/>
    <w:rsid w:val="00B82A5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B82A5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6033">
      <w:bodyDiv w:val="1"/>
      <w:marLeft w:val="0"/>
      <w:marRight w:val="0"/>
      <w:marTop w:val="0"/>
      <w:marBottom w:val="0"/>
      <w:divBdr>
        <w:top w:val="none" w:sz="0" w:space="0" w:color="auto"/>
        <w:left w:val="none" w:sz="0" w:space="0" w:color="auto"/>
        <w:bottom w:val="none" w:sz="0" w:space="0" w:color="auto"/>
        <w:right w:val="none" w:sz="0" w:space="0" w:color="auto"/>
      </w:divBdr>
    </w:div>
    <w:div w:id="15471192">
      <w:bodyDiv w:val="1"/>
      <w:marLeft w:val="0"/>
      <w:marRight w:val="0"/>
      <w:marTop w:val="0"/>
      <w:marBottom w:val="0"/>
      <w:divBdr>
        <w:top w:val="none" w:sz="0" w:space="0" w:color="auto"/>
        <w:left w:val="none" w:sz="0" w:space="0" w:color="auto"/>
        <w:bottom w:val="none" w:sz="0" w:space="0" w:color="auto"/>
        <w:right w:val="none" w:sz="0" w:space="0" w:color="auto"/>
      </w:divBdr>
    </w:div>
    <w:div w:id="23555735">
      <w:bodyDiv w:val="1"/>
      <w:marLeft w:val="0"/>
      <w:marRight w:val="0"/>
      <w:marTop w:val="0"/>
      <w:marBottom w:val="0"/>
      <w:divBdr>
        <w:top w:val="none" w:sz="0" w:space="0" w:color="auto"/>
        <w:left w:val="none" w:sz="0" w:space="0" w:color="auto"/>
        <w:bottom w:val="none" w:sz="0" w:space="0" w:color="auto"/>
        <w:right w:val="none" w:sz="0" w:space="0" w:color="auto"/>
      </w:divBdr>
    </w:div>
    <w:div w:id="48965802">
      <w:bodyDiv w:val="1"/>
      <w:marLeft w:val="0"/>
      <w:marRight w:val="0"/>
      <w:marTop w:val="0"/>
      <w:marBottom w:val="0"/>
      <w:divBdr>
        <w:top w:val="none" w:sz="0" w:space="0" w:color="auto"/>
        <w:left w:val="none" w:sz="0" w:space="0" w:color="auto"/>
        <w:bottom w:val="none" w:sz="0" w:space="0" w:color="auto"/>
        <w:right w:val="none" w:sz="0" w:space="0" w:color="auto"/>
      </w:divBdr>
    </w:div>
    <w:div w:id="58747535">
      <w:bodyDiv w:val="1"/>
      <w:marLeft w:val="0"/>
      <w:marRight w:val="0"/>
      <w:marTop w:val="0"/>
      <w:marBottom w:val="0"/>
      <w:divBdr>
        <w:top w:val="none" w:sz="0" w:space="0" w:color="auto"/>
        <w:left w:val="none" w:sz="0" w:space="0" w:color="auto"/>
        <w:bottom w:val="none" w:sz="0" w:space="0" w:color="auto"/>
        <w:right w:val="none" w:sz="0" w:space="0" w:color="auto"/>
      </w:divBdr>
    </w:div>
    <w:div w:id="72627177">
      <w:bodyDiv w:val="1"/>
      <w:marLeft w:val="0"/>
      <w:marRight w:val="0"/>
      <w:marTop w:val="0"/>
      <w:marBottom w:val="0"/>
      <w:divBdr>
        <w:top w:val="none" w:sz="0" w:space="0" w:color="auto"/>
        <w:left w:val="none" w:sz="0" w:space="0" w:color="auto"/>
        <w:bottom w:val="none" w:sz="0" w:space="0" w:color="auto"/>
        <w:right w:val="none" w:sz="0" w:space="0" w:color="auto"/>
      </w:divBdr>
    </w:div>
    <w:div w:id="79255694">
      <w:bodyDiv w:val="1"/>
      <w:marLeft w:val="0"/>
      <w:marRight w:val="0"/>
      <w:marTop w:val="0"/>
      <w:marBottom w:val="0"/>
      <w:divBdr>
        <w:top w:val="none" w:sz="0" w:space="0" w:color="auto"/>
        <w:left w:val="none" w:sz="0" w:space="0" w:color="auto"/>
        <w:bottom w:val="none" w:sz="0" w:space="0" w:color="auto"/>
        <w:right w:val="none" w:sz="0" w:space="0" w:color="auto"/>
      </w:divBdr>
    </w:div>
    <w:div w:id="93474584">
      <w:bodyDiv w:val="1"/>
      <w:marLeft w:val="0"/>
      <w:marRight w:val="0"/>
      <w:marTop w:val="0"/>
      <w:marBottom w:val="0"/>
      <w:divBdr>
        <w:top w:val="none" w:sz="0" w:space="0" w:color="auto"/>
        <w:left w:val="none" w:sz="0" w:space="0" w:color="auto"/>
        <w:bottom w:val="none" w:sz="0" w:space="0" w:color="auto"/>
        <w:right w:val="none" w:sz="0" w:space="0" w:color="auto"/>
      </w:divBdr>
    </w:div>
    <w:div w:id="140076589">
      <w:bodyDiv w:val="1"/>
      <w:marLeft w:val="0"/>
      <w:marRight w:val="0"/>
      <w:marTop w:val="0"/>
      <w:marBottom w:val="0"/>
      <w:divBdr>
        <w:top w:val="none" w:sz="0" w:space="0" w:color="auto"/>
        <w:left w:val="none" w:sz="0" w:space="0" w:color="auto"/>
        <w:bottom w:val="none" w:sz="0" w:space="0" w:color="auto"/>
        <w:right w:val="none" w:sz="0" w:space="0" w:color="auto"/>
      </w:divBdr>
    </w:div>
    <w:div w:id="145128765">
      <w:bodyDiv w:val="1"/>
      <w:marLeft w:val="0"/>
      <w:marRight w:val="0"/>
      <w:marTop w:val="0"/>
      <w:marBottom w:val="0"/>
      <w:divBdr>
        <w:top w:val="none" w:sz="0" w:space="0" w:color="auto"/>
        <w:left w:val="none" w:sz="0" w:space="0" w:color="auto"/>
        <w:bottom w:val="none" w:sz="0" w:space="0" w:color="auto"/>
        <w:right w:val="none" w:sz="0" w:space="0" w:color="auto"/>
      </w:divBdr>
    </w:div>
    <w:div w:id="170873544">
      <w:bodyDiv w:val="1"/>
      <w:marLeft w:val="0"/>
      <w:marRight w:val="0"/>
      <w:marTop w:val="0"/>
      <w:marBottom w:val="0"/>
      <w:divBdr>
        <w:top w:val="none" w:sz="0" w:space="0" w:color="auto"/>
        <w:left w:val="none" w:sz="0" w:space="0" w:color="auto"/>
        <w:bottom w:val="none" w:sz="0" w:space="0" w:color="auto"/>
        <w:right w:val="none" w:sz="0" w:space="0" w:color="auto"/>
      </w:divBdr>
    </w:div>
    <w:div w:id="197086824">
      <w:bodyDiv w:val="1"/>
      <w:marLeft w:val="0"/>
      <w:marRight w:val="0"/>
      <w:marTop w:val="0"/>
      <w:marBottom w:val="0"/>
      <w:divBdr>
        <w:top w:val="none" w:sz="0" w:space="0" w:color="auto"/>
        <w:left w:val="none" w:sz="0" w:space="0" w:color="auto"/>
        <w:bottom w:val="none" w:sz="0" w:space="0" w:color="auto"/>
        <w:right w:val="none" w:sz="0" w:space="0" w:color="auto"/>
      </w:divBdr>
    </w:div>
    <w:div w:id="212428433">
      <w:bodyDiv w:val="1"/>
      <w:marLeft w:val="0"/>
      <w:marRight w:val="0"/>
      <w:marTop w:val="0"/>
      <w:marBottom w:val="0"/>
      <w:divBdr>
        <w:top w:val="none" w:sz="0" w:space="0" w:color="auto"/>
        <w:left w:val="none" w:sz="0" w:space="0" w:color="auto"/>
        <w:bottom w:val="none" w:sz="0" w:space="0" w:color="auto"/>
        <w:right w:val="none" w:sz="0" w:space="0" w:color="auto"/>
      </w:divBdr>
    </w:div>
    <w:div w:id="238448542">
      <w:bodyDiv w:val="1"/>
      <w:marLeft w:val="0"/>
      <w:marRight w:val="0"/>
      <w:marTop w:val="0"/>
      <w:marBottom w:val="0"/>
      <w:divBdr>
        <w:top w:val="none" w:sz="0" w:space="0" w:color="auto"/>
        <w:left w:val="none" w:sz="0" w:space="0" w:color="auto"/>
        <w:bottom w:val="none" w:sz="0" w:space="0" w:color="auto"/>
        <w:right w:val="none" w:sz="0" w:space="0" w:color="auto"/>
      </w:divBdr>
    </w:div>
    <w:div w:id="251204998">
      <w:bodyDiv w:val="1"/>
      <w:marLeft w:val="0"/>
      <w:marRight w:val="0"/>
      <w:marTop w:val="0"/>
      <w:marBottom w:val="0"/>
      <w:divBdr>
        <w:top w:val="none" w:sz="0" w:space="0" w:color="auto"/>
        <w:left w:val="none" w:sz="0" w:space="0" w:color="auto"/>
        <w:bottom w:val="none" w:sz="0" w:space="0" w:color="auto"/>
        <w:right w:val="none" w:sz="0" w:space="0" w:color="auto"/>
      </w:divBdr>
    </w:div>
    <w:div w:id="252590858">
      <w:bodyDiv w:val="1"/>
      <w:marLeft w:val="0"/>
      <w:marRight w:val="0"/>
      <w:marTop w:val="0"/>
      <w:marBottom w:val="0"/>
      <w:divBdr>
        <w:top w:val="none" w:sz="0" w:space="0" w:color="auto"/>
        <w:left w:val="none" w:sz="0" w:space="0" w:color="auto"/>
        <w:bottom w:val="none" w:sz="0" w:space="0" w:color="auto"/>
        <w:right w:val="none" w:sz="0" w:space="0" w:color="auto"/>
      </w:divBdr>
    </w:div>
    <w:div w:id="266618078">
      <w:bodyDiv w:val="1"/>
      <w:marLeft w:val="0"/>
      <w:marRight w:val="0"/>
      <w:marTop w:val="0"/>
      <w:marBottom w:val="0"/>
      <w:divBdr>
        <w:top w:val="none" w:sz="0" w:space="0" w:color="auto"/>
        <w:left w:val="none" w:sz="0" w:space="0" w:color="auto"/>
        <w:bottom w:val="none" w:sz="0" w:space="0" w:color="auto"/>
        <w:right w:val="none" w:sz="0" w:space="0" w:color="auto"/>
      </w:divBdr>
    </w:div>
    <w:div w:id="298069834">
      <w:bodyDiv w:val="1"/>
      <w:marLeft w:val="0"/>
      <w:marRight w:val="0"/>
      <w:marTop w:val="0"/>
      <w:marBottom w:val="0"/>
      <w:divBdr>
        <w:top w:val="none" w:sz="0" w:space="0" w:color="auto"/>
        <w:left w:val="none" w:sz="0" w:space="0" w:color="auto"/>
        <w:bottom w:val="none" w:sz="0" w:space="0" w:color="auto"/>
        <w:right w:val="none" w:sz="0" w:space="0" w:color="auto"/>
      </w:divBdr>
    </w:div>
    <w:div w:id="303892228">
      <w:bodyDiv w:val="1"/>
      <w:marLeft w:val="0"/>
      <w:marRight w:val="0"/>
      <w:marTop w:val="0"/>
      <w:marBottom w:val="0"/>
      <w:divBdr>
        <w:top w:val="none" w:sz="0" w:space="0" w:color="auto"/>
        <w:left w:val="none" w:sz="0" w:space="0" w:color="auto"/>
        <w:bottom w:val="none" w:sz="0" w:space="0" w:color="auto"/>
        <w:right w:val="none" w:sz="0" w:space="0" w:color="auto"/>
      </w:divBdr>
    </w:div>
    <w:div w:id="312757746">
      <w:bodyDiv w:val="1"/>
      <w:marLeft w:val="0"/>
      <w:marRight w:val="0"/>
      <w:marTop w:val="0"/>
      <w:marBottom w:val="0"/>
      <w:divBdr>
        <w:top w:val="none" w:sz="0" w:space="0" w:color="auto"/>
        <w:left w:val="none" w:sz="0" w:space="0" w:color="auto"/>
        <w:bottom w:val="none" w:sz="0" w:space="0" w:color="auto"/>
        <w:right w:val="none" w:sz="0" w:space="0" w:color="auto"/>
      </w:divBdr>
    </w:div>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318844720">
      <w:bodyDiv w:val="1"/>
      <w:marLeft w:val="0"/>
      <w:marRight w:val="0"/>
      <w:marTop w:val="0"/>
      <w:marBottom w:val="0"/>
      <w:divBdr>
        <w:top w:val="none" w:sz="0" w:space="0" w:color="auto"/>
        <w:left w:val="none" w:sz="0" w:space="0" w:color="auto"/>
        <w:bottom w:val="none" w:sz="0" w:space="0" w:color="auto"/>
        <w:right w:val="none" w:sz="0" w:space="0" w:color="auto"/>
      </w:divBdr>
    </w:div>
    <w:div w:id="336731351">
      <w:bodyDiv w:val="1"/>
      <w:marLeft w:val="0"/>
      <w:marRight w:val="0"/>
      <w:marTop w:val="0"/>
      <w:marBottom w:val="0"/>
      <w:divBdr>
        <w:top w:val="none" w:sz="0" w:space="0" w:color="auto"/>
        <w:left w:val="none" w:sz="0" w:space="0" w:color="auto"/>
        <w:bottom w:val="none" w:sz="0" w:space="0" w:color="auto"/>
        <w:right w:val="none" w:sz="0" w:space="0" w:color="auto"/>
      </w:divBdr>
    </w:div>
    <w:div w:id="345442743">
      <w:bodyDiv w:val="1"/>
      <w:marLeft w:val="0"/>
      <w:marRight w:val="0"/>
      <w:marTop w:val="0"/>
      <w:marBottom w:val="0"/>
      <w:divBdr>
        <w:top w:val="none" w:sz="0" w:space="0" w:color="auto"/>
        <w:left w:val="none" w:sz="0" w:space="0" w:color="auto"/>
        <w:bottom w:val="none" w:sz="0" w:space="0" w:color="auto"/>
        <w:right w:val="none" w:sz="0" w:space="0" w:color="auto"/>
      </w:divBdr>
    </w:div>
    <w:div w:id="347676726">
      <w:bodyDiv w:val="1"/>
      <w:marLeft w:val="0"/>
      <w:marRight w:val="0"/>
      <w:marTop w:val="0"/>
      <w:marBottom w:val="0"/>
      <w:divBdr>
        <w:top w:val="none" w:sz="0" w:space="0" w:color="auto"/>
        <w:left w:val="none" w:sz="0" w:space="0" w:color="auto"/>
        <w:bottom w:val="none" w:sz="0" w:space="0" w:color="auto"/>
        <w:right w:val="none" w:sz="0" w:space="0" w:color="auto"/>
      </w:divBdr>
    </w:div>
    <w:div w:id="368839424">
      <w:bodyDiv w:val="1"/>
      <w:marLeft w:val="0"/>
      <w:marRight w:val="0"/>
      <w:marTop w:val="0"/>
      <w:marBottom w:val="0"/>
      <w:divBdr>
        <w:top w:val="none" w:sz="0" w:space="0" w:color="auto"/>
        <w:left w:val="none" w:sz="0" w:space="0" w:color="auto"/>
        <w:bottom w:val="none" w:sz="0" w:space="0" w:color="auto"/>
        <w:right w:val="none" w:sz="0" w:space="0" w:color="auto"/>
      </w:divBdr>
    </w:div>
    <w:div w:id="414278926">
      <w:bodyDiv w:val="1"/>
      <w:marLeft w:val="0"/>
      <w:marRight w:val="0"/>
      <w:marTop w:val="0"/>
      <w:marBottom w:val="0"/>
      <w:divBdr>
        <w:top w:val="none" w:sz="0" w:space="0" w:color="auto"/>
        <w:left w:val="none" w:sz="0" w:space="0" w:color="auto"/>
        <w:bottom w:val="none" w:sz="0" w:space="0" w:color="auto"/>
        <w:right w:val="none" w:sz="0" w:space="0" w:color="auto"/>
      </w:divBdr>
    </w:div>
    <w:div w:id="442067892">
      <w:bodyDiv w:val="1"/>
      <w:marLeft w:val="0"/>
      <w:marRight w:val="0"/>
      <w:marTop w:val="0"/>
      <w:marBottom w:val="0"/>
      <w:divBdr>
        <w:top w:val="none" w:sz="0" w:space="0" w:color="auto"/>
        <w:left w:val="none" w:sz="0" w:space="0" w:color="auto"/>
        <w:bottom w:val="none" w:sz="0" w:space="0" w:color="auto"/>
        <w:right w:val="none" w:sz="0" w:space="0" w:color="auto"/>
      </w:divBdr>
    </w:div>
    <w:div w:id="448012393">
      <w:bodyDiv w:val="1"/>
      <w:marLeft w:val="0"/>
      <w:marRight w:val="0"/>
      <w:marTop w:val="0"/>
      <w:marBottom w:val="0"/>
      <w:divBdr>
        <w:top w:val="none" w:sz="0" w:space="0" w:color="auto"/>
        <w:left w:val="none" w:sz="0" w:space="0" w:color="auto"/>
        <w:bottom w:val="none" w:sz="0" w:space="0" w:color="auto"/>
        <w:right w:val="none" w:sz="0" w:space="0" w:color="auto"/>
      </w:divBdr>
    </w:div>
    <w:div w:id="477068711">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492377821">
      <w:bodyDiv w:val="1"/>
      <w:marLeft w:val="0"/>
      <w:marRight w:val="0"/>
      <w:marTop w:val="0"/>
      <w:marBottom w:val="0"/>
      <w:divBdr>
        <w:top w:val="none" w:sz="0" w:space="0" w:color="auto"/>
        <w:left w:val="none" w:sz="0" w:space="0" w:color="auto"/>
        <w:bottom w:val="none" w:sz="0" w:space="0" w:color="auto"/>
        <w:right w:val="none" w:sz="0" w:space="0" w:color="auto"/>
      </w:divBdr>
    </w:div>
    <w:div w:id="495611212">
      <w:bodyDiv w:val="1"/>
      <w:marLeft w:val="0"/>
      <w:marRight w:val="0"/>
      <w:marTop w:val="0"/>
      <w:marBottom w:val="0"/>
      <w:divBdr>
        <w:top w:val="none" w:sz="0" w:space="0" w:color="auto"/>
        <w:left w:val="none" w:sz="0" w:space="0" w:color="auto"/>
        <w:bottom w:val="none" w:sz="0" w:space="0" w:color="auto"/>
        <w:right w:val="none" w:sz="0" w:space="0" w:color="auto"/>
      </w:divBdr>
    </w:div>
    <w:div w:id="528642709">
      <w:bodyDiv w:val="1"/>
      <w:marLeft w:val="0"/>
      <w:marRight w:val="0"/>
      <w:marTop w:val="0"/>
      <w:marBottom w:val="0"/>
      <w:divBdr>
        <w:top w:val="none" w:sz="0" w:space="0" w:color="auto"/>
        <w:left w:val="none" w:sz="0" w:space="0" w:color="auto"/>
        <w:bottom w:val="none" w:sz="0" w:space="0" w:color="auto"/>
        <w:right w:val="none" w:sz="0" w:space="0" w:color="auto"/>
      </w:divBdr>
    </w:div>
    <w:div w:id="547958069">
      <w:bodyDiv w:val="1"/>
      <w:marLeft w:val="0"/>
      <w:marRight w:val="0"/>
      <w:marTop w:val="0"/>
      <w:marBottom w:val="0"/>
      <w:divBdr>
        <w:top w:val="none" w:sz="0" w:space="0" w:color="auto"/>
        <w:left w:val="none" w:sz="0" w:space="0" w:color="auto"/>
        <w:bottom w:val="none" w:sz="0" w:space="0" w:color="auto"/>
        <w:right w:val="none" w:sz="0" w:space="0" w:color="auto"/>
      </w:divBdr>
    </w:div>
    <w:div w:id="560286908">
      <w:bodyDiv w:val="1"/>
      <w:marLeft w:val="0"/>
      <w:marRight w:val="0"/>
      <w:marTop w:val="0"/>
      <w:marBottom w:val="0"/>
      <w:divBdr>
        <w:top w:val="none" w:sz="0" w:space="0" w:color="auto"/>
        <w:left w:val="none" w:sz="0" w:space="0" w:color="auto"/>
        <w:bottom w:val="none" w:sz="0" w:space="0" w:color="auto"/>
        <w:right w:val="none" w:sz="0" w:space="0" w:color="auto"/>
      </w:divBdr>
    </w:div>
    <w:div w:id="605239478">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638802735">
      <w:bodyDiv w:val="1"/>
      <w:marLeft w:val="0"/>
      <w:marRight w:val="0"/>
      <w:marTop w:val="0"/>
      <w:marBottom w:val="0"/>
      <w:divBdr>
        <w:top w:val="none" w:sz="0" w:space="0" w:color="auto"/>
        <w:left w:val="none" w:sz="0" w:space="0" w:color="auto"/>
        <w:bottom w:val="none" w:sz="0" w:space="0" w:color="auto"/>
        <w:right w:val="none" w:sz="0" w:space="0" w:color="auto"/>
      </w:divBdr>
    </w:div>
    <w:div w:id="639379177">
      <w:bodyDiv w:val="1"/>
      <w:marLeft w:val="0"/>
      <w:marRight w:val="0"/>
      <w:marTop w:val="0"/>
      <w:marBottom w:val="0"/>
      <w:divBdr>
        <w:top w:val="none" w:sz="0" w:space="0" w:color="auto"/>
        <w:left w:val="none" w:sz="0" w:space="0" w:color="auto"/>
        <w:bottom w:val="none" w:sz="0" w:space="0" w:color="auto"/>
        <w:right w:val="none" w:sz="0" w:space="0" w:color="auto"/>
      </w:divBdr>
    </w:div>
    <w:div w:id="648171442">
      <w:bodyDiv w:val="1"/>
      <w:marLeft w:val="0"/>
      <w:marRight w:val="0"/>
      <w:marTop w:val="0"/>
      <w:marBottom w:val="0"/>
      <w:divBdr>
        <w:top w:val="none" w:sz="0" w:space="0" w:color="auto"/>
        <w:left w:val="none" w:sz="0" w:space="0" w:color="auto"/>
        <w:bottom w:val="none" w:sz="0" w:space="0" w:color="auto"/>
        <w:right w:val="none" w:sz="0" w:space="0" w:color="auto"/>
      </w:divBdr>
    </w:div>
    <w:div w:id="662783498">
      <w:bodyDiv w:val="1"/>
      <w:marLeft w:val="0"/>
      <w:marRight w:val="0"/>
      <w:marTop w:val="0"/>
      <w:marBottom w:val="0"/>
      <w:divBdr>
        <w:top w:val="none" w:sz="0" w:space="0" w:color="auto"/>
        <w:left w:val="none" w:sz="0" w:space="0" w:color="auto"/>
        <w:bottom w:val="none" w:sz="0" w:space="0" w:color="auto"/>
        <w:right w:val="none" w:sz="0" w:space="0" w:color="auto"/>
      </w:divBdr>
    </w:div>
    <w:div w:id="682707717">
      <w:bodyDiv w:val="1"/>
      <w:marLeft w:val="0"/>
      <w:marRight w:val="0"/>
      <w:marTop w:val="0"/>
      <w:marBottom w:val="0"/>
      <w:divBdr>
        <w:top w:val="none" w:sz="0" w:space="0" w:color="auto"/>
        <w:left w:val="none" w:sz="0" w:space="0" w:color="auto"/>
        <w:bottom w:val="none" w:sz="0" w:space="0" w:color="auto"/>
        <w:right w:val="none" w:sz="0" w:space="0" w:color="auto"/>
      </w:divBdr>
    </w:div>
    <w:div w:id="698631202">
      <w:bodyDiv w:val="1"/>
      <w:marLeft w:val="0"/>
      <w:marRight w:val="0"/>
      <w:marTop w:val="0"/>
      <w:marBottom w:val="0"/>
      <w:divBdr>
        <w:top w:val="none" w:sz="0" w:space="0" w:color="auto"/>
        <w:left w:val="none" w:sz="0" w:space="0" w:color="auto"/>
        <w:bottom w:val="none" w:sz="0" w:space="0" w:color="auto"/>
        <w:right w:val="none" w:sz="0" w:space="0" w:color="auto"/>
      </w:divBdr>
    </w:div>
    <w:div w:id="708799852">
      <w:bodyDiv w:val="1"/>
      <w:marLeft w:val="0"/>
      <w:marRight w:val="0"/>
      <w:marTop w:val="0"/>
      <w:marBottom w:val="0"/>
      <w:divBdr>
        <w:top w:val="none" w:sz="0" w:space="0" w:color="auto"/>
        <w:left w:val="none" w:sz="0" w:space="0" w:color="auto"/>
        <w:bottom w:val="none" w:sz="0" w:space="0" w:color="auto"/>
        <w:right w:val="none" w:sz="0" w:space="0" w:color="auto"/>
      </w:divBdr>
    </w:div>
    <w:div w:id="713577499">
      <w:bodyDiv w:val="1"/>
      <w:marLeft w:val="0"/>
      <w:marRight w:val="0"/>
      <w:marTop w:val="0"/>
      <w:marBottom w:val="0"/>
      <w:divBdr>
        <w:top w:val="none" w:sz="0" w:space="0" w:color="auto"/>
        <w:left w:val="none" w:sz="0" w:space="0" w:color="auto"/>
        <w:bottom w:val="none" w:sz="0" w:space="0" w:color="auto"/>
        <w:right w:val="none" w:sz="0" w:space="0" w:color="auto"/>
      </w:divBdr>
    </w:div>
    <w:div w:id="715085613">
      <w:bodyDiv w:val="1"/>
      <w:marLeft w:val="0"/>
      <w:marRight w:val="0"/>
      <w:marTop w:val="0"/>
      <w:marBottom w:val="0"/>
      <w:divBdr>
        <w:top w:val="none" w:sz="0" w:space="0" w:color="auto"/>
        <w:left w:val="none" w:sz="0" w:space="0" w:color="auto"/>
        <w:bottom w:val="none" w:sz="0" w:space="0" w:color="auto"/>
        <w:right w:val="none" w:sz="0" w:space="0" w:color="auto"/>
      </w:divBdr>
    </w:div>
    <w:div w:id="721901810">
      <w:bodyDiv w:val="1"/>
      <w:marLeft w:val="0"/>
      <w:marRight w:val="0"/>
      <w:marTop w:val="0"/>
      <w:marBottom w:val="0"/>
      <w:divBdr>
        <w:top w:val="none" w:sz="0" w:space="0" w:color="auto"/>
        <w:left w:val="none" w:sz="0" w:space="0" w:color="auto"/>
        <w:bottom w:val="none" w:sz="0" w:space="0" w:color="auto"/>
        <w:right w:val="none" w:sz="0" w:space="0" w:color="auto"/>
      </w:divBdr>
    </w:div>
    <w:div w:id="757362746">
      <w:bodyDiv w:val="1"/>
      <w:marLeft w:val="0"/>
      <w:marRight w:val="0"/>
      <w:marTop w:val="0"/>
      <w:marBottom w:val="0"/>
      <w:divBdr>
        <w:top w:val="none" w:sz="0" w:space="0" w:color="auto"/>
        <w:left w:val="none" w:sz="0" w:space="0" w:color="auto"/>
        <w:bottom w:val="none" w:sz="0" w:space="0" w:color="auto"/>
        <w:right w:val="none" w:sz="0" w:space="0" w:color="auto"/>
      </w:divBdr>
    </w:div>
    <w:div w:id="761947276">
      <w:bodyDiv w:val="1"/>
      <w:marLeft w:val="0"/>
      <w:marRight w:val="0"/>
      <w:marTop w:val="0"/>
      <w:marBottom w:val="0"/>
      <w:divBdr>
        <w:top w:val="none" w:sz="0" w:space="0" w:color="auto"/>
        <w:left w:val="none" w:sz="0" w:space="0" w:color="auto"/>
        <w:bottom w:val="none" w:sz="0" w:space="0" w:color="auto"/>
        <w:right w:val="none" w:sz="0" w:space="0" w:color="auto"/>
      </w:divBdr>
    </w:div>
    <w:div w:id="786587502">
      <w:bodyDiv w:val="1"/>
      <w:marLeft w:val="0"/>
      <w:marRight w:val="0"/>
      <w:marTop w:val="0"/>
      <w:marBottom w:val="0"/>
      <w:divBdr>
        <w:top w:val="none" w:sz="0" w:space="0" w:color="auto"/>
        <w:left w:val="none" w:sz="0" w:space="0" w:color="auto"/>
        <w:bottom w:val="none" w:sz="0" w:space="0" w:color="auto"/>
        <w:right w:val="none" w:sz="0" w:space="0" w:color="auto"/>
      </w:divBdr>
    </w:div>
    <w:div w:id="809174491">
      <w:bodyDiv w:val="1"/>
      <w:marLeft w:val="0"/>
      <w:marRight w:val="0"/>
      <w:marTop w:val="0"/>
      <w:marBottom w:val="0"/>
      <w:divBdr>
        <w:top w:val="none" w:sz="0" w:space="0" w:color="auto"/>
        <w:left w:val="none" w:sz="0" w:space="0" w:color="auto"/>
        <w:bottom w:val="none" w:sz="0" w:space="0" w:color="auto"/>
        <w:right w:val="none" w:sz="0" w:space="0" w:color="auto"/>
      </w:divBdr>
    </w:div>
    <w:div w:id="813331978">
      <w:bodyDiv w:val="1"/>
      <w:marLeft w:val="0"/>
      <w:marRight w:val="0"/>
      <w:marTop w:val="0"/>
      <w:marBottom w:val="0"/>
      <w:divBdr>
        <w:top w:val="none" w:sz="0" w:space="0" w:color="auto"/>
        <w:left w:val="none" w:sz="0" w:space="0" w:color="auto"/>
        <w:bottom w:val="none" w:sz="0" w:space="0" w:color="auto"/>
        <w:right w:val="none" w:sz="0" w:space="0" w:color="auto"/>
      </w:divBdr>
    </w:div>
    <w:div w:id="844706005">
      <w:bodyDiv w:val="1"/>
      <w:marLeft w:val="0"/>
      <w:marRight w:val="0"/>
      <w:marTop w:val="0"/>
      <w:marBottom w:val="0"/>
      <w:divBdr>
        <w:top w:val="none" w:sz="0" w:space="0" w:color="auto"/>
        <w:left w:val="none" w:sz="0" w:space="0" w:color="auto"/>
        <w:bottom w:val="none" w:sz="0" w:space="0" w:color="auto"/>
        <w:right w:val="none" w:sz="0" w:space="0" w:color="auto"/>
      </w:divBdr>
    </w:div>
    <w:div w:id="866875016">
      <w:bodyDiv w:val="1"/>
      <w:marLeft w:val="0"/>
      <w:marRight w:val="0"/>
      <w:marTop w:val="0"/>
      <w:marBottom w:val="0"/>
      <w:divBdr>
        <w:top w:val="none" w:sz="0" w:space="0" w:color="auto"/>
        <w:left w:val="none" w:sz="0" w:space="0" w:color="auto"/>
        <w:bottom w:val="none" w:sz="0" w:space="0" w:color="auto"/>
        <w:right w:val="none" w:sz="0" w:space="0" w:color="auto"/>
      </w:divBdr>
    </w:div>
    <w:div w:id="905722949">
      <w:bodyDiv w:val="1"/>
      <w:marLeft w:val="0"/>
      <w:marRight w:val="0"/>
      <w:marTop w:val="0"/>
      <w:marBottom w:val="0"/>
      <w:divBdr>
        <w:top w:val="none" w:sz="0" w:space="0" w:color="auto"/>
        <w:left w:val="none" w:sz="0" w:space="0" w:color="auto"/>
        <w:bottom w:val="none" w:sz="0" w:space="0" w:color="auto"/>
        <w:right w:val="none" w:sz="0" w:space="0" w:color="auto"/>
      </w:divBdr>
      <w:divsChild>
        <w:div w:id="273052081">
          <w:marLeft w:val="0"/>
          <w:marRight w:val="0"/>
          <w:marTop w:val="0"/>
          <w:marBottom w:val="0"/>
          <w:divBdr>
            <w:top w:val="none" w:sz="0" w:space="0" w:color="auto"/>
            <w:left w:val="none" w:sz="0" w:space="0" w:color="auto"/>
            <w:bottom w:val="none" w:sz="0" w:space="0" w:color="auto"/>
            <w:right w:val="none" w:sz="0" w:space="0" w:color="auto"/>
          </w:divBdr>
          <w:divsChild>
            <w:div w:id="3162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22940">
      <w:bodyDiv w:val="1"/>
      <w:marLeft w:val="0"/>
      <w:marRight w:val="0"/>
      <w:marTop w:val="0"/>
      <w:marBottom w:val="0"/>
      <w:divBdr>
        <w:top w:val="none" w:sz="0" w:space="0" w:color="auto"/>
        <w:left w:val="none" w:sz="0" w:space="0" w:color="auto"/>
        <w:bottom w:val="none" w:sz="0" w:space="0" w:color="auto"/>
        <w:right w:val="none" w:sz="0" w:space="0" w:color="auto"/>
      </w:divBdr>
    </w:div>
    <w:div w:id="921645520">
      <w:bodyDiv w:val="1"/>
      <w:marLeft w:val="0"/>
      <w:marRight w:val="0"/>
      <w:marTop w:val="0"/>
      <w:marBottom w:val="0"/>
      <w:divBdr>
        <w:top w:val="none" w:sz="0" w:space="0" w:color="auto"/>
        <w:left w:val="none" w:sz="0" w:space="0" w:color="auto"/>
        <w:bottom w:val="none" w:sz="0" w:space="0" w:color="auto"/>
        <w:right w:val="none" w:sz="0" w:space="0" w:color="auto"/>
      </w:divBdr>
    </w:div>
    <w:div w:id="935553171">
      <w:bodyDiv w:val="1"/>
      <w:marLeft w:val="0"/>
      <w:marRight w:val="0"/>
      <w:marTop w:val="0"/>
      <w:marBottom w:val="0"/>
      <w:divBdr>
        <w:top w:val="none" w:sz="0" w:space="0" w:color="auto"/>
        <w:left w:val="none" w:sz="0" w:space="0" w:color="auto"/>
        <w:bottom w:val="none" w:sz="0" w:space="0" w:color="auto"/>
        <w:right w:val="none" w:sz="0" w:space="0" w:color="auto"/>
      </w:divBdr>
    </w:div>
    <w:div w:id="963776582">
      <w:bodyDiv w:val="1"/>
      <w:marLeft w:val="0"/>
      <w:marRight w:val="0"/>
      <w:marTop w:val="0"/>
      <w:marBottom w:val="0"/>
      <w:divBdr>
        <w:top w:val="none" w:sz="0" w:space="0" w:color="auto"/>
        <w:left w:val="none" w:sz="0" w:space="0" w:color="auto"/>
        <w:bottom w:val="none" w:sz="0" w:space="0" w:color="auto"/>
        <w:right w:val="none" w:sz="0" w:space="0" w:color="auto"/>
      </w:divBdr>
    </w:div>
    <w:div w:id="973371123">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11879510">
      <w:bodyDiv w:val="1"/>
      <w:marLeft w:val="0"/>
      <w:marRight w:val="0"/>
      <w:marTop w:val="0"/>
      <w:marBottom w:val="0"/>
      <w:divBdr>
        <w:top w:val="none" w:sz="0" w:space="0" w:color="auto"/>
        <w:left w:val="none" w:sz="0" w:space="0" w:color="auto"/>
        <w:bottom w:val="none" w:sz="0" w:space="0" w:color="auto"/>
        <w:right w:val="none" w:sz="0" w:space="0" w:color="auto"/>
      </w:divBdr>
    </w:div>
    <w:div w:id="1019969203">
      <w:bodyDiv w:val="1"/>
      <w:marLeft w:val="0"/>
      <w:marRight w:val="0"/>
      <w:marTop w:val="0"/>
      <w:marBottom w:val="0"/>
      <w:divBdr>
        <w:top w:val="none" w:sz="0" w:space="0" w:color="auto"/>
        <w:left w:val="none" w:sz="0" w:space="0" w:color="auto"/>
        <w:bottom w:val="none" w:sz="0" w:space="0" w:color="auto"/>
        <w:right w:val="none" w:sz="0" w:space="0" w:color="auto"/>
      </w:divBdr>
    </w:div>
    <w:div w:id="1027485671">
      <w:bodyDiv w:val="1"/>
      <w:marLeft w:val="0"/>
      <w:marRight w:val="0"/>
      <w:marTop w:val="0"/>
      <w:marBottom w:val="0"/>
      <w:divBdr>
        <w:top w:val="none" w:sz="0" w:space="0" w:color="auto"/>
        <w:left w:val="none" w:sz="0" w:space="0" w:color="auto"/>
        <w:bottom w:val="none" w:sz="0" w:space="0" w:color="auto"/>
        <w:right w:val="none" w:sz="0" w:space="0" w:color="auto"/>
      </w:divBdr>
    </w:div>
    <w:div w:id="1046486610">
      <w:bodyDiv w:val="1"/>
      <w:marLeft w:val="0"/>
      <w:marRight w:val="0"/>
      <w:marTop w:val="0"/>
      <w:marBottom w:val="0"/>
      <w:divBdr>
        <w:top w:val="none" w:sz="0" w:space="0" w:color="auto"/>
        <w:left w:val="none" w:sz="0" w:space="0" w:color="auto"/>
        <w:bottom w:val="none" w:sz="0" w:space="0" w:color="auto"/>
        <w:right w:val="none" w:sz="0" w:space="0" w:color="auto"/>
      </w:divBdr>
    </w:div>
    <w:div w:id="1057583670">
      <w:bodyDiv w:val="1"/>
      <w:marLeft w:val="0"/>
      <w:marRight w:val="0"/>
      <w:marTop w:val="0"/>
      <w:marBottom w:val="0"/>
      <w:divBdr>
        <w:top w:val="none" w:sz="0" w:space="0" w:color="auto"/>
        <w:left w:val="none" w:sz="0" w:space="0" w:color="auto"/>
        <w:bottom w:val="none" w:sz="0" w:space="0" w:color="auto"/>
        <w:right w:val="none" w:sz="0" w:space="0" w:color="auto"/>
      </w:divBdr>
    </w:div>
    <w:div w:id="1105004243">
      <w:bodyDiv w:val="1"/>
      <w:marLeft w:val="0"/>
      <w:marRight w:val="0"/>
      <w:marTop w:val="0"/>
      <w:marBottom w:val="0"/>
      <w:divBdr>
        <w:top w:val="none" w:sz="0" w:space="0" w:color="auto"/>
        <w:left w:val="none" w:sz="0" w:space="0" w:color="auto"/>
        <w:bottom w:val="none" w:sz="0" w:space="0" w:color="auto"/>
        <w:right w:val="none" w:sz="0" w:space="0" w:color="auto"/>
      </w:divBdr>
    </w:div>
    <w:div w:id="1115752195">
      <w:bodyDiv w:val="1"/>
      <w:marLeft w:val="0"/>
      <w:marRight w:val="0"/>
      <w:marTop w:val="0"/>
      <w:marBottom w:val="0"/>
      <w:divBdr>
        <w:top w:val="none" w:sz="0" w:space="0" w:color="auto"/>
        <w:left w:val="none" w:sz="0" w:space="0" w:color="auto"/>
        <w:bottom w:val="none" w:sz="0" w:space="0" w:color="auto"/>
        <w:right w:val="none" w:sz="0" w:space="0" w:color="auto"/>
      </w:divBdr>
    </w:div>
    <w:div w:id="1154953415">
      <w:bodyDiv w:val="1"/>
      <w:marLeft w:val="0"/>
      <w:marRight w:val="0"/>
      <w:marTop w:val="0"/>
      <w:marBottom w:val="0"/>
      <w:divBdr>
        <w:top w:val="none" w:sz="0" w:space="0" w:color="auto"/>
        <w:left w:val="none" w:sz="0" w:space="0" w:color="auto"/>
        <w:bottom w:val="none" w:sz="0" w:space="0" w:color="auto"/>
        <w:right w:val="none" w:sz="0" w:space="0" w:color="auto"/>
      </w:divBdr>
    </w:div>
    <w:div w:id="1159467143">
      <w:bodyDiv w:val="1"/>
      <w:marLeft w:val="0"/>
      <w:marRight w:val="0"/>
      <w:marTop w:val="0"/>
      <w:marBottom w:val="0"/>
      <w:divBdr>
        <w:top w:val="none" w:sz="0" w:space="0" w:color="auto"/>
        <w:left w:val="none" w:sz="0" w:space="0" w:color="auto"/>
        <w:bottom w:val="none" w:sz="0" w:space="0" w:color="auto"/>
        <w:right w:val="none" w:sz="0" w:space="0" w:color="auto"/>
      </w:divBdr>
    </w:div>
    <w:div w:id="1163278823">
      <w:bodyDiv w:val="1"/>
      <w:marLeft w:val="0"/>
      <w:marRight w:val="0"/>
      <w:marTop w:val="0"/>
      <w:marBottom w:val="0"/>
      <w:divBdr>
        <w:top w:val="none" w:sz="0" w:space="0" w:color="auto"/>
        <w:left w:val="none" w:sz="0" w:space="0" w:color="auto"/>
        <w:bottom w:val="none" w:sz="0" w:space="0" w:color="auto"/>
        <w:right w:val="none" w:sz="0" w:space="0" w:color="auto"/>
      </w:divBdr>
    </w:div>
    <w:div w:id="1190296167">
      <w:bodyDiv w:val="1"/>
      <w:marLeft w:val="0"/>
      <w:marRight w:val="0"/>
      <w:marTop w:val="0"/>
      <w:marBottom w:val="0"/>
      <w:divBdr>
        <w:top w:val="none" w:sz="0" w:space="0" w:color="auto"/>
        <w:left w:val="none" w:sz="0" w:space="0" w:color="auto"/>
        <w:bottom w:val="none" w:sz="0" w:space="0" w:color="auto"/>
        <w:right w:val="none" w:sz="0" w:space="0" w:color="auto"/>
      </w:divBdr>
    </w:div>
    <w:div w:id="1190677026">
      <w:bodyDiv w:val="1"/>
      <w:marLeft w:val="0"/>
      <w:marRight w:val="0"/>
      <w:marTop w:val="0"/>
      <w:marBottom w:val="0"/>
      <w:divBdr>
        <w:top w:val="none" w:sz="0" w:space="0" w:color="auto"/>
        <w:left w:val="none" w:sz="0" w:space="0" w:color="auto"/>
        <w:bottom w:val="none" w:sz="0" w:space="0" w:color="auto"/>
        <w:right w:val="none" w:sz="0" w:space="0" w:color="auto"/>
      </w:divBdr>
    </w:div>
    <w:div w:id="1198348053">
      <w:bodyDiv w:val="1"/>
      <w:marLeft w:val="0"/>
      <w:marRight w:val="0"/>
      <w:marTop w:val="0"/>
      <w:marBottom w:val="0"/>
      <w:divBdr>
        <w:top w:val="none" w:sz="0" w:space="0" w:color="auto"/>
        <w:left w:val="none" w:sz="0" w:space="0" w:color="auto"/>
        <w:bottom w:val="none" w:sz="0" w:space="0" w:color="auto"/>
        <w:right w:val="none" w:sz="0" w:space="0" w:color="auto"/>
      </w:divBdr>
    </w:div>
    <w:div w:id="1224482200">
      <w:bodyDiv w:val="1"/>
      <w:marLeft w:val="0"/>
      <w:marRight w:val="0"/>
      <w:marTop w:val="0"/>
      <w:marBottom w:val="0"/>
      <w:divBdr>
        <w:top w:val="none" w:sz="0" w:space="0" w:color="auto"/>
        <w:left w:val="none" w:sz="0" w:space="0" w:color="auto"/>
        <w:bottom w:val="none" w:sz="0" w:space="0" w:color="auto"/>
        <w:right w:val="none" w:sz="0" w:space="0" w:color="auto"/>
      </w:divBdr>
    </w:div>
    <w:div w:id="1254818370">
      <w:bodyDiv w:val="1"/>
      <w:marLeft w:val="0"/>
      <w:marRight w:val="0"/>
      <w:marTop w:val="0"/>
      <w:marBottom w:val="0"/>
      <w:divBdr>
        <w:top w:val="none" w:sz="0" w:space="0" w:color="auto"/>
        <w:left w:val="none" w:sz="0" w:space="0" w:color="auto"/>
        <w:bottom w:val="none" w:sz="0" w:space="0" w:color="auto"/>
        <w:right w:val="none" w:sz="0" w:space="0" w:color="auto"/>
      </w:divBdr>
    </w:div>
    <w:div w:id="1256549538">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282227582">
      <w:bodyDiv w:val="1"/>
      <w:marLeft w:val="0"/>
      <w:marRight w:val="0"/>
      <w:marTop w:val="0"/>
      <w:marBottom w:val="0"/>
      <w:divBdr>
        <w:top w:val="none" w:sz="0" w:space="0" w:color="auto"/>
        <w:left w:val="none" w:sz="0" w:space="0" w:color="auto"/>
        <w:bottom w:val="none" w:sz="0" w:space="0" w:color="auto"/>
        <w:right w:val="none" w:sz="0" w:space="0" w:color="auto"/>
      </w:divBdr>
    </w:div>
    <w:div w:id="1285307193">
      <w:bodyDiv w:val="1"/>
      <w:marLeft w:val="0"/>
      <w:marRight w:val="0"/>
      <w:marTop w:val="0"/>
      <w:marBottom w:val="0"/>
      <w:divBdr>
        <w:top w:val="none" w:sz="0" w:space="0" w:color="auto"/>
        <w:left w:val="none" w:sz="0" w:space="0" w:color="auto"/>
        <w:bottom w:val="none" w:sz="0" w:space="0" w:color="auto"/>
        <w:right w:val="none" w:sz="0" w:space="0" w:color="auto"/>
      </w:divBdr>
    </w:div>
    <w:div w:id="1299606623">
      <w:bodyDiv w:val="1"/>
      <w:marLeft w:val="0"/>
      <w:marRight w:val="0"/>
      <w:marTop w:val="0"/>
      <w:marBottom w:val="0"/>
      <w:divBdr>
        <w:top w:val="none" w:sz="0" w:space="0" w:color="auto"/>
        <w:left w:val="none" w:sz="0" w:space="0" w:color="auto"/>
        <w:bottom w:val="none" w:sz="0" w:space="0" w:color="auto"/>
        <w:right w:val="none" w:sz="0" w:space="0" w:color="auto"/>
      </w:divBdr>
    </w:div>
    <w:div w:id="1304389846">
      <w:bodyDiv w:val="1"/>
      <w:marLeft w:val="0"/>
      <w:marRight w:val="0"/>
      <w:marTop w:val="0"/>
      <w:marBottom w:val="0"/>
      <w:divBdr>
        <w:top w:val="none" w:sz="0" w:space="0" w:color="auto"/>
        <w:left w:val="none" w:sz="0" w:space="0" w:color="auto"/>
        <w:bottom w:val="none" w:sz="0" w:space="0" w:color="auto"/>
        <w:right w:val="none" w:sz="0" w:space="0" w:color="auto"/>
      </w:divBdr>
    </w:div>
    <w:div w:id="1322343169">
      <w:bodyDiv w:val="1"/>
      <w:marLeft w:val="0"/>
      <w:marRight w:val="0"/>
      <w:marTop w:val="0"/>
      <w:marBottom w:val="0"/>
      <w:divBdr>
        <w:top w:val="none" w:sz="0" w:space="0" w:color="auto"/>
        <w:left w:val="none" w:sz="0" w:space="0" w:color="auto"/>
        <w:bottom w:val="none" w:sz="0" w:space="0" w:color="auto"/>
        <w:right w:val="none" w:sz="0" w:space="0" w:color="auto"/>
      </w:divBdr>
      <w:divsChild>
        <w:div w:id="1413428797">
          <w:marLeft w:val="0"/>
          <w:marRight w:val="0"/>
          <w:marTop w:val="0"/>
          <w:marBottom w:val="0"/>
          <w:divBdr>
            <w:top w:val="none" w:sz="0" w:space="0" w:color="auto"/>
            <w:left w:val="none" w:sz="0" w:space="0" w:color="auto"/>
            <w:bottom w:val="none" w:sz="0" w:space="0" w:color="auto"/>
            <w:right w:val="none" w:sz="0" w:space="0" w:color="auto"/>
          </w:divBdr>
          <w:divsChild>
            <w:div w:id="501043004">
              <w:marLeft w:val="0"/>
              <w:marRight w:val="0"/>
              <w:marTop w:val="0"/>
              <w:marBottom w:val="0"/>
              <w:divBdr>
                <w:top w:val="none" w:sz="0" w:space="0" w:color="auto"/>
                <w:left w:val="none" w:sz="0" w:space="0" w:color="auto"/>
                <w:bottom w:val="none" w:sz="0" w:space="0" w:color="auto"/>
                <w:right w:val="none" w:sz="0" w:space="0" w:color="auto"/>
              </w:divBdr>
              <w:divsChild>
                <w:div w:id="1958636332">
                  <w:marLeft w:val="0"/>
                  <w:marRight w:val="0"/>
                  <w:marTop w:val="0"/>
                  <w:marBottom w:val="0"/>
                  <w:divBdr>
                    <w:top w:val="none" w:sz="0" w:space="0" w:color="auto"/>
                    <w:left w:val="none" w:sz="0" w:space="0" w:color="auto"/>
                    <w:bottom w:val="none" w:sz="0" w:space="0" w:color="auto"/>
                    <w:right w:val="none" w:sz="0" w:space="0" w:color="auto"/>
                  </w:divBdr>
                  <w:divsChild>
                    <w:div w:id="1984462833">
                      <w:marLeft w:val="0"/>
                      <w:marRight w:val="0"/>
                      <w:marTop w:val="0"/>
                      <w:marBottom w:val="0"/>
                      <w:divBdr>
                        <w:top w:val="none" w:sz="0" w:space="0" w:color="auto"/>
                        <w:left w:val="none" w:sz="0" w:space="0" w:color="auto"/>
                        <w:bottom w:val="none" w:sz="0" w:space="0" w:color="auto"/>
                        <w:right w:val="none" w:sz="0" w:space="0" w:color="auto"/>
                      </w:divBdr>
                      <w:divsChild>
                        <w:div w:id="1876845064">
                          <w:marLeft w:val="0"/>
                          <w:marRight w:val="0"/>
                          <w:marTop w:val="45"/>
                          <w:marBottom w:val="0"/>
                          <w:divBdr>
                            <w:top w:val="none" w:sz="0" w:space="0" w:color="auto"/>
                            <w:left w:val="none" w:sz="0" w:space="0" w:color="auto"/>
                            <w:bottom w:val="none" w:sz="0" w:space="0" w:color="auto"/>
                            <w:right w:val="none" w:sz="0" w:space="0" w:color="auto"/>
                          </w:divBdr>
                          <w:divsChild>
                            <w:div w:id="1041202828">
                              <w:marLeft w:val="0"/>
                              <w:marRight w:val="0"/>
                              <w:marTop w:val="0"/>
                              <w:marBottom w:val="0"/>
                              <w:divBdr>
                                <w:top w:val="none" w:sz="0" w:space="0" w:color="auto"/>
                                <w:left w:val="none" w:sz="0" w:space="0" w:color="auto"/>
                                <w:bottom w:val="none" w:sz="0" w:space="0" w:color="auto"/>
                                <w:right w:val="none" w:sz="0" w:space="0" w:color="auto"/>
                              </w:divBdr>
                              <w:divsChild>
                                <w:div w:id="977882286">
                                  <w:marLeft w:val="2070"/>
                                  <w:marRight w:val="3810"/>
                                  <w:marTop w:val="0"/>
                                  <w:marBottom w:val="0"/>
                                  <w:divBdr>
                                    <w:top w:val="none" w:sz="0" w:space="0" w:color="auto"/>
                                    <w:left w:val="none" w:sz="0" w:space="0" w:color="auto"/>
                                    <w:bottom w:val="none" w:sz="0" w:space="0" w:color="auto"/>
                                    <w:right w:val="none" w:sz="0" w:space="0" w:color="auto"/>
                                  </w:divBdr>
                                  <w:divsChild>
                                    <w:div w:id="2105152828">
                                      <w:marLeft w:val="0"/>
                                      <w:marRight w:val="0"/>
                                      <w:marTop w:val="0"/>
                                      <w:marBottom w:val="0"/>
                                      <w:divBdr>
                                        <w:top w:val="none" w:sz="0" w:space="0" w:color="auto"/>
                                        <w:left w:val="none" w:sz="0" w:space="0" w:color="auto"/>
                                        <w:bottom w:val="none" w:sz="0" w:space="0" w:color="auto"/>
                                        <w:right w:val="none" w:sz="0" w:space="0" w:color="auto"/>
                                      </w:divBdr>
                                      <w:divsChild>
                                        <w:div w:id="1743865814">
                                          <w:marLeft w:val="0"/>
                                          <w:marRight w:val="0"/>
                                          <w:marTop w:val="0"/>
                                          <w:marBottom w:val="0"/>
                                          <w:divBdr>
                                            <w:top w:val="none" w:sz="0" w:space="0" w:color="auto"/>
                                            <w:left w:val="none" w:sz="0" w:space="0" w:color="auto"/>
                                            <w:bottom w:val="none" w:sz="0" w:space="0" w:color="auto"/>
                                            <w:right w:val="none" w:sz="0" w:space="0" w:color="auto"/>
                                          </w:divBdr>
                                          <w:divsChild>
                                            <w:div w:id="1659068565">
                                              <w:marLeft w:val="0"/>
                                              <w:marRight w:val="0"/>
                                              <w:marTop w:val="0"/>
                                              <w:marBottom w:val="0"/>
                                              <w:divBdr>
                                                <w:top w:val="none" w:sz="0" w:space="0" w:color="auto"/>
                                                <w:left w:val="none" w:sz="0" w:space="0" w:color="auto"/>
                                                <w:bottom w:val="none" w:sz="0" w:space="0" w:color="auto"/>
                                                <w:right w:val="none" w:sz="0" w:space="0" w:color="auto"/>
                                              </w:divBdr>
                                              <w:divsChild>
                                                <w:div w:id="1951084450">
                                                  <w:marLeft w:val="0"/>
                                                  <w:marRight w:val="0"/>
                                                  <w:marTop w:val="0"/>
                                                  <w:marBottom w:val="0"/>
                                                  <w:divBdr>
                                                    <w:top w:val="none" w:sz="0" w:space="0" w:color="auto"/>
                                                    <w:left w:val="none" w:sz="0" w:space="0" w:color="auto"/>
                                                    <w:bottom w:val="none" w:sz="0" w:space="0" w:color="auto"/>
                                                    <w:right w:val="none" w:sz="0" w:space="0" w:color="auto"/>
                                                  </w:divBdr>
                                                  <w:divsChild>
                                                    <w:div w:id="806825069">
                                                      <w:marLeft w:val="0"/>
                                                      <w:marRight w:val="0"/>
                                                      <w:marTop w:val="0"/>
                                                      <w:marBottom w:val="0"/>
                                                      <w:divBdr>
                                                        <w:top w:val="none" w:sz="0" w:space="0" w:color="auto"/>
                                                        <w:left w:val="none" w:sz="0" w:space="0" w:color="auto"/>
                                                        <w:bottom w:val="none" w:sz="0" w:space="0" w:color="auto"/>
                                                        <w:right w:val="none" w:sz="0" w:space="0" w:color="auto"/>
                                                      </w:divBdr>
                                                      <w:divsChild>
                                                        <w:div w:id="1525946047">
                                                          <w:marLeft w:val="0"/>
                                                          <w:marRight w:val="0"/>
                                                          <w:marTop w:val="0"/>
                                                          <w:marBottom w:val="0"/>
                                                          <w:divBdr>
                                                            <w:top w:val="none" w:sz="0" w:space="0" w:color="auto"/>
                                                            <w:left w:val="none" w:sz="0" w:space="0" w:color="auto"/>
                                                            <w:bottom w:val="none" w:sz="0" w:space="0" w:color="auto"/>
                                                            <w:right w:val="none" w:sz="0" w:space="0" w:color="auto"/>
                                                          </w:divBdr>
                                                          <w:divsChild>
                                                            <w:div w:id="1947735300">
                                                              <w:marLeft w:val="0"/>
                                                              <w:marRight w:val="0"/>
                                                              <w:marTop w:val="0"/>
                                                              <w:marBottom w:val="0"/>
                                                              <w:divBdr>
                                                                <w:top w:val="none" w:sz="0" w:space="0" w:color="auto"/>
                                                                <w:left w:val="none" w:sz="0" w:space="0" w:color="auto"/>
                                                                <w:bottom w:val="none" w:sz="0" w:space="0" w:color="auto"/>
                                                                <w:right w:val="none" w:sz="0" w:space="0" w:color="auto"/>
                                                              </w:divBdr>
                                                              <w:divsChild>
                                                                <w:div w:id="1006715164">
                                                                  <w:marLeft w:val="0"/>
                                                                  <w:marRight w:val="0"/>
                                                                  <w:marTop w:val="0"/>
                                                                  <w:marBottom w:val="0"/>
                                                                  <w:divBdr>
                                                                    <w:top w:val="none" w:sz="0" w:space="0" w:color="auto"/>
                                                                    <w:left w:val="none" w:sz="0" w:space="0" w:color="auto"/>
                                                                    <w:bottom w:val="none" w:sz="0" w:space="0" w:color="auto"/>
                                                                    <w:right w:val="none" w:sz="0" w:space="0" w:color="auto"/>
                                                                  </w:divBdr>
                                                                  <w:divsChild>
                                                                    <w:div w:id="632827028">
                                                                      <w:marLeft w:val="0"/>
                                                                      <w:marRight w:val="0"/>
                                                                      <w:marTop w:val="0"/>
                                                                      <w:marBottom w:val="0"/>
                                                                      <w:divBdr>
                                                                        <w:top w:val="none" w:sz="0" w:space="0" w:color="auto"/>
                                                                        <w:left w:val="none" w:sz="0" w:space="0" w:color="auto"/>
                                                                        <w:bottom w:val="none" w:sz="0" w:space="0" w:color="auto"/>
                                                                        <w:right w:val="none" w:sz="0" w:space="0" w:color="auto"/>
                                                                      </w:divBdr>
                                                                      <w:divsChild>
                                                                        <w:div w:id="118841518">
                                                                          <w:marLeft w:val="0"/>
                                                                          <w:marRight w:val="0"/>
                                                                          <w:marTop w:val="0"/>
                                                                          <w:marBottom w:val="0"/>
                                                                          <w:divBdr>
                                                                            <w:top w:val="none" w:sz="0" w:space="0" w:color="auto"/>
                                                                            <w:left w:val="none" w:sz="0" w:space="0" w:color="auto"/>
                                                                            <w:bottom w:val="none" w:sz="0" w:space="0" w:color="auto"/>
                                                                            <w:right w:val="none" w:sz="0" w:space="0" w:color="auto"/>
                                                                          </w:divBdr>
                                                                          <w:divsChild>
                                                                            <w:div w:id="284896566">
                                                                              <w:marLeft w:val="0"/>
                                                                              <w:marRight w:val="0"/>
                                                                              <w:marTop w:val="0"/>
                                                                              <w:marBottom w:val="0"/>
                                                                              <w:divBdr>
                                                                                <w:top w:val="none" w:sz="0" w:space="0" w:color="auto"/>
                                                                                <w:left w:val="none" w:sz="0" w:space="0" w:color="auto"/>
                                                                                <w:bottom w:val="none" w:sz="0" w:space="0" w:color="auto"/>
                                                                                <w:right w:val="none" w:sz="0" w:space="0" w:color="auto"/>
                                                                              </w:divBdr>
                                                                              <w:divsChild>
                                                                                <w:div w:id="503976151">
                                                                                  <w:marLeft w:val="0"/>
                                                                                  <w:marRight w:val="0"/>
                                                                                  <w:marTop w:val="0"/>
                                                                                  <w:marBottom w:val="0"/>
                                                                                  <w:divBdr>
                                                                                    <w:top w:val="none" w:sz="0" w:space="0" w:color="auto"/>
                                                                                    <w:left w:val="none" w:sz="0" w:space="0" w:color="auto"/>
                                                                                    <w:bottom w:val="none" w:sz="0" w:space="0" w:color="auto"/>
                                                                                    <w:right w:val="none" w:sz="0" w:space="0" w:color="auto"/>
                                                                                  </w:divBdr>
                                                                                  <w:divsChild>
                                                                                    <w:div w:id="763957403">
                                                                                      <w:marLeft w:val="0"/>
                                                                                      <w:marRight w:val="0"/>
                                                                                      <w:marTop w:val="0"/>
                                                                                      <w:marBottom w:val="0"/>
                                                                                      <w:divBdr>
                                                                                        <w:top w:val="none" w:sz="0" w:space="0" w:color="auto"/>
                                                                                        <w:left w:val="none" w:sz="0" w:space="0" w:color="auto"/>
                                                                                        <w:bottom w:val="none" w:sz="0" w:space="0" w:color="auto"/>
                                                                                        <w:right w:val="none" w:sz="0" w:space="0" w:color="auto"/>
                                                                                      </w:divBdr>
                                                                                      <w:divsChild>
                                                                                        <w:div w:id="1087119587">
                                                                                          <w:marLeft w:val="300"/>
                                                                                          <w:marRight w:val="0"/>
                                                                                          <w:marTop w:val="0"/>
                                                                                          <w:marBottom w:val="0"/>
                                                                                          <w:divBdr>
                                                                                            <w:top w:val="none" w:sz="0" w:space="0" w:color="auto"/>
                                                                                            <w:left w:val="none" w:sz="0" w:space="0" w:color="auto"/>
                                                                                            <w:bottom w:val="none" w:sz="0" w:space="0" w:color="auto"/>
                                                                                            <w:right w:val="none" w:sz="0" w:space="0" w:color="auto"/>
                                                                                          </w:divBdr>
                                                                                          <w:divsChild>
                                                                                            <w:div w:id="772482412">
                                                                                              <w:marLeft w:val="-300"/>
                                                                                              <w:marRight w:val="0"/>
                                                                                              <w:marTop w:val="0"/>
                                                                                              <w:marBottom w:val="0"/>
                                                                                              <w:divBdr>
                                                                                                <w:top w:val="none" w:sz="0" w:space="0" w:color="auto"/>
                                                                                                <w:left w:val="none" w:sz="0" w:space="0" w:color="auto"/>
                                                                                                <w:bottom w:val="none" w:sz="0" w:space="0" w:color="auto"/>
                                                                                                <w:right w:val="none" w:sz="0" w:space="0" w:color="auto"/>
                                                                                              </w:divBdr>
                                                                                              <w:divsChild>
                                                                                                <w:div w:id="150829442">
                                                                                                  <w:marLeft w:val="0"/>
                                                                                                  <w:marRight w:val="0"/>
                                                                                                  <w:marTop w:val="0"/>
                                                                                                  <w:marBottom w:val="0"/>
                                                                                                  <w:divBdr>
                                                                                                    <w:top w:val="none" w:sz="0" w:space="0" w:color="auto"/>
                                                                                                    <w:left w:val="none" w:sz="0" w:space="0" w:color="auto"/>
                                                                                                    <w:bottom w:val="none" w:sz="0" w:space="0" w:color="auto"/>
                                                                                                    <w:right w:val="none" w:sz="0" w:space="0" w:color="auto"/>
                                                                                                  </w:divBdr>
                                                                                                </w:div>
                                                                                                <w:div w:id="6598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655969">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374382292">
      <w:bodyDiv w:val="1"/>
      <w:marLeft w:val="0"/>
      <w:marRight w:val="0"/>
      <w:marTop w:val="0"/>
      <w:marBottom w:val="0"/>
      <w:divBdr>
        <w:top w:val="none" w:sz="0" w:space="0" w:color="auto"/>
        <w:left w:val="none" w:sz="0" w:space="0" w:color="auto"/>
        <w:bottom w:val="none" w:sz="0" w:space="0" w:color="auto"/>
        <w:right w:val="none" w:sz="0" w:space="0" w:color="auto"/>
      </w:divBdr>
    </w:div>
    <w:div w:id="1403063819">
      <w:bodyDiv w:val="1"/>
      <w:marLeft w:val="0"/>
      <w:marRight w:val="0"/>
      <w:marTop w:val="0"/>
      <w:marBottom w:val="0"/>
      <w:divBdr>
        <w:top w:val="none" w:sz="0" w:space="0" w:color="auto"/>
        <w:left w:val="none" w:sz="0" w:space="0" w:color="auto"/>
        <w:bottom w:val="none" w:sz="0" w:space="0" w:color="auto"/>
        <w:right w:val="none" w:sz="0" w:space="0" w:color="auto"/>
      </w:divBdr>
    </w:div>
    <w:div w:id="1493374250">
      <w:bodyDiv w:val="1"/>
      <w:marLeft w:val="0"/>
      <w:marRight w:val="0"/>
      <w:marTop w:val="0"/>
      <w:marBottom w:val="0"/>
      <w:divBdr>
        <w:top w:val="none" w:sz="0" w:space="0" w:color="auto"/>
        <w:left w:val="none" w:sz="0" w:space="0" w:color="auto"/>
        <w:bottom w:val="none" w:sz="0" w:space="0" w:color="auto"/>
        <w:right w:val="none" w:sz="0" w:space="0" w:color="auto"/>
      </w:divBdr>
    </w:div>
    <w:div w:id="1497454749">
      <w:bodyDiv w:val="1"/>
      <w:marLeft w:val="0"/>
      <w:marRight w:val="0"/>
      <w:marTop w:val="0"/>
      <w:marBottom w:val="0"/>
      <w:divBdr>
        <w:top w:val="none" w:sz="0" w:space="0" w:color="auto"/>
        <w:left w:val="none" w:sz="0" w:space="0" w:color="auto"/>
        <w:bottom w:val="none" w:sz="0" w:space="0" w:color="auto"/>
        <w:right w:val="none" w:sz="0" w:space="0" w:color="auto"/>
      </w:divBdr>
    </w:div>
    <w:div w:id="1513688909">
      <w:bodyDiv w:val="1"/>
      <w:marLeft w:val="0"/>
      <w:marRight w:val="0"/>
      <w:marTop w:val="0"/>
      <w:marBottom w:val="0"/>
      <w:divBdr>
        <w:top w:val="none" w:sz="0" w:space="0" w:color="auto"/>
        <w:left w:val="none" w:sz="0" w:space="0" w:color="auto"/>
        <w:bottom w:val="none" w:sz="0" w:space="0" w:color="auto"/>
        <w:right w:val="none" w:sz="0" w:space="0" w:color="auto"/>
      </w:divBdr>
    </w:div>
    <w:div w:id="1519585487">
      <w:bodyDiv w:val="1"/>
      <w:marLeft w:val="0"/>
      <w:marRight w:val="0"/>
      <w:marTop w:val="0"/>
      <w:marBottom w:val="0"/>
      <w:divBdr>
        <w:top w:val="none" w:sz="0" w:space="0" w:color="auto"/>
        <w:left w:val="none" w:sz="0" w:space="0" w:color="auto"/>
        <w:bottom w:val="none" w:sz="0" w:space="0" w:color="auto"/>
        <w:right w:val="none" w:sz="0" w:space="0" w:color="auto"/>
      </w:divBdr>
    </w:div>
    <w:div w:id="1520655254">
      <w:bodyDiv w:val="1"/>
      <w:marLeft w:val="0"/>
      <w:marRight w:val="0"/>
      <w:marTop w:val="0"/>
      <w:marBottom w:val="0"/>
      <w:divBdr>
        <w:top w:val="none" w:sz="0" w:space="0" w:color="auto"/>
        <w:left w:val="none" w:sz="0" w:space="0" w:color="auto"/>
        <w:bottom w:val="none" w:sz="0" w:space="0" w:color="auto"/>
        <w:right w:val="none" w:sz="0" w:space="0" w:color="auto"/>
      </w:divBdr>
      <w:divsChild>
        <w:div w:id="420220925">
          <w:marLeft w:val="0"/>
          <w:marRight w:val="0"/>
          <w:marTop w:val="0"/>
          <w:marBottom w:val="0"/>
          <w:divBdr>
            <w:top w:val="none" w:sz="0" w:space="0" w:color="auto"/>
            <w:left w:val="none" w:sz="0" w:space="0" w:color="auto"/>
            <w:bottom w:val="none" w:sz="0" w:space="0" w:color="auto"/>
            <w:right w:val="none" w:sz="0" w:space="0" w:color="auto"/>
          </w:divBdr>
        </w:div>
      </w:divsChild>
    </w:div>
    <w:div w:id="1522892773">
      <w:bodyDiv w:val="1"/>
      <w:marLeft w:val="0"/>
      <w:marRight w:val="0"/>
      <w:marTop w:val="0"/>
      <w:marBottom w:val="0"/>
      <w:divBdr>
        <w:top w:val="none" w:sz="0" w:space="0" w:color="auto"/>
        <w:left w:val="none" w:sz="0" w:space="0" w:color="auto"/>
        <w:bottom w:val="none" w:sz="0" w:space="0" w:color="auto"/>
        <w:right w:val="none" w:sz="0" w:space="0" w:color="auto"/>
      </w:divBdr>
      <w:divsChild>
        <w:div w:id="841965780">
          <w:marLeft w:val="0"/>
          <w:marRight w:val="0"/>
          <w:marTop w:val="0"/>
          <w:marBottom w:val="0"/>
          <w:divBdr>
            <w:top w:val="none" w:sz="0" w:space="0" w:color="auto"/>
            <w:left w:val="none" w:sz="0" w:space="0" w:color="auto"/>
            <w:bottom w:val="none" w:sz="0" w:space="0" w:color="auto"/>
            <w:right w:val="none" w:sz="0" w:space="0" w:color="auto"/>
          </w:divBdr>
          <w:divsChild>
            <w:div w:id="1871333355">
              <w:marLeft w:val="0"/>
              <w:marRight w:val="0"/>
              <w:marTop w:val="0"/>
              <w:marBottom w:val="0"/>
              <w:divBdr>
                <w:top w:val="none" w:sz="0" w:space="0" w:color="auto"/>
                <w:left w:val="none" w:sz="0" w:space="0" w:color="auto"/>
                <w:bottom w:val="none" w:sz="0" w:space="0" w:color="auto"/>
                <w:right w:val="none" w:sz="0" w:space="0" w:color="auto"/>
              </w:divBdr>
              <w:divsChild>
                <w:div w:id="38676903">
                  <w:marLeft w:val="0"/>
                  <w:marRight w:val="0"/>
                  <w:marTop w:val="0"/>
                  <w:marBottom w:val="0"/>
                  <w:divBdr>
                    <w:top w:val="none" w:sz="0" w:space="0" w:color="auto"/>
                    <w:left w:val="none" w:sz="0" w:space="0" w:color="auto"/>
                    <w:bottom w:val="none" w:sz="0" w:space="0" w:color="auto"/>
                    <w:right w:val="none" w:sz="0" w:space="0" w:color="auto"/>
                  </w:divBdr>
                  <w:divsChild>
                    <w:div w:id="21317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4769">
      <w:bodyDiv w:val="1"/>
      <w:marLeft w:val="0"/>
      <w:marRight w:val="0"/>
      <w:marTop w:val="0"/>
      <w:marBottom w:val="0"/>
      <w:divBdr>
        <w:top w:val="none" w:sz="0" w:space="0" w:color="auto"/>
        <w:left w:val="none" w:sz="0" w:space="0" w:color="auto"/>
        <w:bottom w:val="none" w:sz="0" w:space="0" w:color="auto"/>
        <w:right w:val="none" w:sz="0" w:space="0" w:color="auto"/>
      </w:divBdr>
    </w:div>
    <w:div w:id="1541550817">
      <w:bodyDiv w:val="1"/>
      <w:marLeft w:val="0"/>
      <w:marRight w:val="0"/>
      <w:marTop w:val="0"/>
      <w:marBottom w:val="0"/>
      <w:divBdr>
        <w:top w:val="none" w:sz="0" w:space="0" w:color="auto"/>
        <w:left w:val="none" w:sz="0" w:space="0" w:color="auto"/>
        <w:bottom w:val="none" w:sz="0" w:space="0" w:color="auto"/>
        <w:right w:val="none" w:sz="0" w:space="0" w:color="auto"/>
      </w:divBdr>
    </w:div>
    <w:div w:id="1559970175">
      <w:bodyDiv w:val="1"/>
      <w:marLeft w:val="0"/>
      <w:marRight w:val="0"/>
      <w:marTop w:val="0"/>
      <w:marBottom w:val="0"/>
      <w:divBdr>
        <w:top w:val="none" w:sz="0" w:space="0" w:color="auto"/>
        <w:left w:val="none" w:sz="0" w:space="0" w:color="auto"/>
        <w:bottom w:val="none" w:sz="0" w:space="0" w:color="auto"/>
        <w:right w:val="none" w:sz="0" w:space="0" w:color="auto"/>
      </w:divBdr>
    </w:div>
    <w:div w:id="1576086681">
      <w:bodyDiv w:val="1"/>
      <w:marLeft w:val="0"/>
      <w:marRight w:val="0"/>
      <w:marTop w:val="0"/>
      <w:marBottom w:val="0"/>
      <w:divBdr>
        <w:top w:val="none" w:sz="0" w:space="0" w:color="auto"/>
        <w:left w:val="none" w:sz="0" w:space="0" w:color="auto"/>
        <w:bottom w:val="none" w:sz="0" w:space="0" w:color="auto"/>
        <w:right w:val="none" w:sz="0" w:space="0" w:color="auto"/>
      </w:divBdr>
    </w:div>
    <w:div w:id="1589119273">
      <w:bodyDiv w:val="1"/>
      <w:marLeft w:val="0"/>
      <w:marRight w:val="0"/>
      <w:marTop w:val="0"/>
      <w:marBottom w:val="0"/>
      <w:divBdr>
        <w:top w:val="none" w:sz="0" w:space="0" w:color="auto"/>
        <w:left w:val="none" w:sz="0" w:space="0" w:color="auto"/>
        <w:bottom w:val="none" w:sz="0" w:space="0" w:color="auto"/>
        <w:right w:val="none" w:sz="0" w:space="0" w:color="auto"/>
      </w:divBdr>
    </w:div>
    <w:div w:id="1599481720">
      <w:bodyDiv w:val="1"/>
      <w:marLeft w:val="0"/>
      <w:marRight w:val="0"/>
      <w:marTop w:val="0"/>
      <w:marBottom w:val="0"/>
      <w:divBdr>
        <w:top w:val="none" w:sz="0" w:space="0" w:color="auto"/>
        <w:left w:val="none" w:sz="0" w:space="0" w:color="auto"/>
        <w:bottom w:val="none" w:sz="0" w:space="0" w:color="auto"/>
        <w:right w:val="none" w:sz="0" w:space="0" w:color="auto"/>
      </w:divBdr>
    </w:div>
    <w:div w:id="1602377796">
      <w:bodyDiv w:val="1"/>
      <w:marLeft w:val="0"/>
      <w:marRight w:val="0"/>
      <w:marTop w:val="0"/>
      <w:marBottom w:val="0"/>
      <w:divBdr>
        <w:top w:val="none" w:sz="0" w:space="0" w:color="auto"/>
        <w:left w:val="none" w:sz="0" w:space="0" w:color="auto"/>
        <w:bottom w:val="none" w:sz="0" w:space="0" w:color="auto"/>
        <w:right w:val="none" w:sz="0" w:space="0" w:color="auto"/>
      </w:divBdr>
    </w:div>
    <w:div w:id="1614707373">
      <w:bodyDiv w:val="1"/>
      <w:marLeft w:val="0"/>
      <w:marRight w:val="0"/>
      <w:marTop w:val="0"/>
      <w:marBottom w:val="0"/>
      <w:divBdr>
        <w:top w:val="none" w:sz="0" w:space="0" w:color="auto"/>
        <w:left w:val="none" w:sz="0" w:space="0" w:color="auto"/>
        <w:bottom w:val="none" w:sz="0" w:space="0" w:color="auto"/>
        <w:right w:val="none" w:sz="0" w:space="0" w:color="auto"/>
      </w:divBdr>
    </w:div>
    <w:div w:id="1615987075">
      <w:bodyDiv w:val="1"/>
      <w:marLeft w:val="0"/>
      <w:marRight w:val="0"/>
      <w:marTop w:val="0"/>
      <w:marBottom w:val="0"/>
      <w:divBdr>
        <w:top w:val="none" w:sz="0" w:space="0" w:color="auto"/>
        <w:left w:val="none" w:sz="0" w:space="0" w:color="auto"/>
        <w:bottom w:val="none" w:sz="0" w:space="0" w:color="auto"/>
        <w:right w:val="none" w:sz="0" w:space="0" w:color="auto"/>
      </w:divBdr>
    </w:div>
    <w:div w:id="1638489338">
      <w:bodyDiv w:val="1"/>
      <w:marLeft w:val="0"/>
      <w:marRight w:val="0"/>
      <w:marTop w:val="0"/>
      <w:marBottom w:val="0"/>
      <w:divBdr>
        <w:top w:val="none" w:sz="0" w:space="0" w:color="auto"/>
        <w:left w:val="none" w:sz="0" w:space="0" w:color="auto"/>
        <w:bottom w:val="none" w:sz="0" w:space="0" w:color="auto"/>
        <w:right w:val="none" w:sz="0" w:space="0" w:color="auto"/>
      </w:divBdr>
    </w:div>
    <w:div w:id="1646081271">
      <w:bodyDiv w:val="1"/>
      <w:marLeft w:val="0"/>
      <w:marRight w:val="0"/>
      <w:marTop w:val="0"/>
      <w:marBottom w:val="0"/>
      <w:divBdr>
        <w:top w:val="none" w:sz="0" w:space="0" w:color="auto"/>
        <w:left w:val="none" w:sz="0" w:space="0" w:color="auto"/>
        <w:bottom w:val="none" w:sz="0" w:space="0" w:color="auto"/>
        <w:right w:val="none" w:sz="0" w:space="0" w:color="auto"/>
      </w:divBdr>
    </w:div>
    <w:div w:id="1652326076">
      <w:bodyDiv w:val="1"/>
      <w:marLeft w:val="0"/>
      <w:marRight w:val="0"/>
      <w:marTop w:val="0"/>
      <w:marBottom w:val="0"/>
      <w:divBdr>
        <w:top w:val="none" w:sz="0" w:space="0" w:color="auto"/>
        <w:left w:val="none" w:sz="0" w:space="0" w:color="auto"/>
        <w:bottom w:val="none" w:sz="0" w:space="0" w:color="auto"/>
        <w:right w:val="none" w:sz="0" w:space="0" w:color="auto"/>
      </w:divBdr>
    </w:div>
    <w:div w:id="1670983036">
      <w:bodyDiv w:val="1"/>
      <w:marLeft w:val="0"/>
      <w:marRight w:val="0"/>
      <w:marTop w:val="0"/>
      <w:marBottom w:val="0"/>
      <w:divBdr>
        <w:top w:val="none" w:sz="0" w:space="0" w:color="auto"/>
        <w:left w:val="none" w:sz="0" w:space="0" w:color="auto"/>
        <w:bottom w:val="none" w:sz="0" w:space="0" w:color="auto"/>
        <w:right w:val="none" w:sz="0" w:space="0" w:color="auto"/>
      </w:divBdr>
    </w:div>
    <w:div w:id="1685131961">
      <w:bodyDiv w:val="1"/>
      <w:marLeft w:val="0"/>
      <w:marRight w:val="0"/>
      <w:marTop w:val="0"/>
      <w:marBottom w:val="0"/>
      <w:divBdr>
        <w:top w:val="none" w:sz="0" w:space="0" w:color="auto"/>
        <w:left w:val="none" w:sz="0" w:space="0" w:color="auto"/>
        <w:bottom w:val="none" w:sz="0" w:space="0" w:color="auto"/>
        <w:right w:val="none" w:sz="0" w:space="0" w:color="auto"/>
      </w:divBdr>
    </w:div>
    <w:div w:id="1692535017">
      <w:bodyDiv w:val="1"/>
      <w:marLeft w:val="0"/>
      <w:marRight w:val="0"/>
      <w:marTop w:val="0"/>
      <w:marBottom w:val="0"/>
      <w:divBdr>
        <w:top w:val="none" w:sz="0" w:space="0" w:color="auto"/>
        <w:left w:val="none" w:sz="0" w:space="0" w:color="auto"/>
        <w:bottom w:val="none" w:sz="0" w:space="0" w:color="auto"/>
        <w:right w:val="none" w:sz="0" w:space="0" w:color="auto"/>
      </w:divBdr>
    </w:div>
    <w:div w:id="1693533915">
      <w:bodyDiv w:val="1"/>
      <w:marLeft w:val="0"/>
      <w:marRight w:val="0"/>
      <w:marTop w:val="0"/>
      <w:marBottom w:val="0"/>
      <w:divBdr>
        <w:top w:val="none" w:sz="0" w:space="0" w:color="auto"/>
        <w:left w:val="none" w:sz="0" w:space="0" w:color="auto"/>
        <w:bottom w:val="none" w:sz="0" w:space="0" w:color="auto"/>
        <w:right w:val="none" w:sz="0" w:space="0" w:color="auto"/>
      </w:divBdr>
    </w:div>
    <w:div w:id="1704938229">
      <w:bodyDiv w:val="1"/>
      <w:marLeft w:val="0"/>
      <w:marRight w:val="0"/>
      <w:marTop w:val="0"/>
      <w:marBottom w:val="0"/>
      <w:divBdr>
        <w:top w:val="none" w:sz="0" w:space="0" w:color="auto"/>
        <w:left w:val="none" w:sz="0" w:space="0" w:color="auto"/>
        <w:bottom w:val="none" w:sz="0" w:space="0" w:color="auto"/>
        <w:right w:val="none" w:sz="0" w:space="0" w:color="auto"/>
      </w:divBdr>
    </w:div>
    <w:div w:id="1726249924">
      <w:bodyDiv w:val="1"/>
      <w:marLeft w:val="0"/>
      <w:marRight w:val="0"/>
      <w:marTop w:val="0"/>
      <w:marBottom w:val="0"/>
      <w:divBdr>
        <w:top w:val="none" w:sz="0" w:space="0" w:color="auto"/>
        <w:left w:val="none" w:sz="0" w:space="0" w:color="auto"/>
        <w:bottom w:val="none" w:sz="0" w:space="0" w:color="auto"/>
        <w:right w:val="none" w:sz="0" w:space="0" w:color="auto"/>
      </w:divBdr>
    </w:div>
    <w:div w:id="1736245964">
      <w:bodyDiv w:val="1"/>
      <w:marLeft w:val="0"/>
      <w:marRight w:val="0"/>
      <w:marTop w:val="0"/>
      <w:marBottom w:val="0"/>
      <w:divBdr>
        <w:top w:val="none" w:sz="0" w:space="0" w:color="auto"/>
        <w:left w:val="none" w:sz="0" w:space="0" w:color="auto"/>
        <w:bottom w:val="none" w:sz="0" w:space="0" w:color="auto"/>
        <w:right w:val="none" w:sz="0" w:space="0" w:color="auto"/>
      </w:divBdr>
    </w:div>
    <w:div w:id="1745757929">
      <w:bodyDiv w:val="1"/>
      <w:marLeft w:val="0"/>
      <w:marRight w:val="0"/>
      <w:marTop w:val="0"/>
      <w:marBottom w:val="0"/>
      <w:divBdr>
        <w:top w:val="none" w:sz="0" w:space="0" w:color="auto"/>
        <w:left w:val="none" w:sz="0" w:space="0" w:color="auto"/>
        <w:bottom w:val="none" w:sz="0" w:space="0" w:color="auto"/>
        <w:right w:val="none" w:sz="0" w:space="0" w:color="auto"/>
      </w:divBdr>
    </w:div>
    <w:div w:id="1745911321">
      <w:bodyDiv w:val="1"/>
      <w:marLeft w:val="0"/>
      <w:marRight w:val="0"/>
      <w:marTop w:val="0"/>
      <w:marBottom w:val="0"/>
      <w:divBdr>
        <w:top w:val="none" w:sz="0" w:space="0" w:color="auto"/>
        <w:left w:val="none" w:sz="0" w:space="0" w:color="auto"/>
        <w:bottom w:val="none" w:sz="0" w:space="0" w:color="auto"/>
        <w:right w:val="none" w:sz="0" w:space="0" w:color="auto"/>
      </w:divBdr>
    </w:div>
    <w:div w:id="1789012138">
      <w:bodyDiv w:val="1"/>
      <w:marLeft w:val="0"/>
      <w:marRight w:val="0"/>
      <w:marTop w:val="0"/>
      <w:marBottom w:val="0"/>
      <w:divBdr>
        <w:top w:val="none" w:sz="0" w:space="0" w:color="auto"/>
        <w:left w:val="none" w:sz="0" w:space="0" w:color="auto"/>
        <w:bottom w:val="none" w:sz="0" w:space="0" w:color="auto"/>
        <w:right w:val="none" w:sz="0" w:space="0" w:color="auto"/>
      </w:divBdr>
    </w:div>
    <w:div w:id="1829009257">
      <w:bodyDiv w:val="1"/>
      <w:marLeft w:val="0"/>
      <w:marRight w:val="0"/>
      <w:marTop w:val="0"/>
      <w:marBottom w:val="0"/>
      <w:divBdr>
        <w:top w:val="none" w:sz="0" w:space="0" w:color="auto"/>
        <w:left w:val="none" w:sz="0" w:space="0" w:color="auto"/>
        <w:bottom w:val="none" w:sz="0" w:space="0" w:color="auto"/>
        <w:right w:val="none" w:sz="0" w:space="0" w:color="auto"/>
      </w:divBdr>
    </w:div>
    <w:div w:id="1838492019">
      <w:bodyDiv w:val="1"/>
      <w:marLeft w:val="0"/>
      <w:marRight w:val="0"/>
      <w:marTop w:val="0"/>
      <w:marBottom w:val="0"/>
      <w:divBdr>
        <w:top w:val="none" w:sz="0" w:space="0" w:color="auto"/>
        <w:left w:val="none" w:sz="0" w:space="0" w:color="auto"/>
        <w:bottom w:val="none" w:sz="0" w:space="0" w:color="auto"/>
        <w:right w:val="none" w:sz="0" w:space="0" w:color="auto"/>
      </w:divBdr>
    </w:div>
    <w:div w:id="1841003941">
      <w:bodyDiv w:val="1"/>
      <w:marLeft w:val="0"/>
      <w:marRight w:val="0"/>
      <w:marTop w:val="0"/>
      <w:marBottom w:val="0"/>
      <w:divBdr>
        <w:top w:val="none" w:sz="0" w:space="0" w:color="auto"/>
        <w:left w:val="none" w:sz="0" w:space="0" w:color="auto"/>
        <w:bottom w:val="none" w:sz="0" w:space="0" w:color="auto"/>
        <w:right w:val="none" w:sz="0" w:space="0" w:color="auto"/>
      </w:divBdr>
    </w:div>
    <w:div w:id="1859156818">
      <w:bodyDiv w:val="1"/>
      <w:marLeft w:val="0"/>
      <w:marRight w:val="0"/>
      <w:marTop w:val="0"/>
      <w:marBottom w:val="0"/>
      <w:divBdr>
        <w:top w:val="none" w:sz="0" w:space="0" w:color="auto"/>
        <w:left w:val="none" w:sz="0" w:space="0" w:color="auto"/>
        <w:bottom w:val="none" w:sz="0" w:space="0" w:color="auto"/>
        <w:right w:val="none" w:sz="0" w:space="0" w:color="auto"/>
      </w:divBdr>
    </w:div>
    <w:div w:id="1871068035">
      <w:bodyDiv w:val="1"/>
      <w:marLeft w:val="0"/>
      <w:marRight w:val="0"/>
      <w:marTop w:val="0"/>
      <w:marBottom w:val="0"/>
      <w:divBdr>
        <w:top w:val="none" w:sz="0" w:space="0" w:color="auto"/>
        <w:left w:val="none" w:sz="0" w:space="0" w:color="auto"/>
        <w:bottom w:val="none" w:sz="0" w:space="0" w:color="auto"/>
        <w:right w:val="none" w:sz="0" w:space="0" w:color="auto"/>
      </w:divBdr>
    </w:div>
    <w:div w:id="1872643527">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890608812">
      <w:bodyDiv w:val="1"/>
      <w:marLeft w:val="0"/>
      <w:marRight w:val="0"/>
      <w:marTop w:val="0"/>
      <w:marBottom w:val="0"/>
      <w:divBdr>
        <w:top w:val="none" w:sz="0" w:space="0" w:color="auto"/>
        <w:left w:val="none" w:sz="0" w:space="0" w:color="auto"/>
        <w:bottom w:val="none" w:sz="0" w:space="0" w:color="auto"/>
        <w:right w:val="none" w:sz="0" w:space="0" w:color="auto"/>
      </w:divBdr>
    </w:div>
    <w:div w:id="1930190450">
      <w:bodyDiv w:val="1"/>
      <w:marLeft w:val="0"/>
      <w:marRight w:val="0"/>
      <w:marTop w:val="0"/>
      <w:marBottom w:val="0"/>
      <w:divBdr>
        <w:top w:val="none" w:sz="0" w:space="0" w:color="auto"/>
        <w:left w:val="none" w:sz="0" w:space="0" w:color="auto"/>
        <w:bottom w:val="none" w:sz="0" w:space="0" w:color="auto"/>
        <w:right w:val="none" w:sz="0" w:space="0" w:color="auto"/>
      </w:divBdr>
      <w:divsChild>
        <w:div w:id="968321975">
          <w:marLeft w:val="0"/>
          <w:marRight w:val="0"/>
          <w:marTop w:val="0"/>
          <w:marBottom w:val="0"/>
          <w:divBdr>
            <w:top w:val="none" w:sz="0" w:space="0" w:color="auto"/>
            <w:left w:val="none" w:sz="0" w:space="0" w:color="auto"/>
            <w:bottom w:val="none" w:sz="0" w:space="0" w:color="auto"/>
            <w:right w:val="none" w:sz="0" w:space="0" w:color="auto"/>
          </w:divBdr>
          <w:divsChild>
            <w:div w:id="320084598">
              <w:marLeft w:val="0"/>
              <w:marRight w:val="0"/>
              <w:marTop w:val="0"/>
              <w:marBottom w:val="0"/>
              <w:divBdr>
                <w:top w:val="none" w:sz="0" w:space="0" w:color="auto"/>
                <w:left w:val="none" w:sz="0" w:space="0" w:color="auto"/>
                <w:bottom w:val="none" w:sz="0" w:space="0" w:color="auto"/>
                <w:right w:val="none" w:sz="0" w:space="0" w:color="auto"/>
              </w:divBdr>
              <w:divsChild>
                <w:div w:id="1905750284">
                  <w:marLeft w:val="0"/>
                  <w:marRight w:val="0"/>
                  <w:marTop w:val="0"/>
                  <w:marBottom w:val="0"/>
                  <w:divBdr>
                    <w:top w:val="none" w:sz="0" w:space="0" w:color="auto"/>
                    <w:left w:val="none" w:sz="0" w:space="0" w:color="auto"/>
                    <w:bottom w:val="none" w:sz="0" w:space="0" w:color="auto"/>
                    <w:right w:val="none" w:sz="0" w:space="0" w:color="auto"/>
                  </w:divBdr>
                  <w:divsChild>
                    <w:div w:id="834492532">
                      <w:marLeft w:val="0"/>
                      <w:marRight w:val="0"/>
                      <w:marTop w:val="0"/>
                      <w:marBottom w:val="0"/>
                      <w:divBdr>
                        <w:top w:val="none" w:sz="0" w:space="0" w:color="auto"/>
                        <w:left w:val="none" w:sz="0" w:space="0" w:color="auto"/>
                        <w:bottom w:val="none" w:sz="0" w:space="0" w:color="auto"/>
                        <w:right w:val="none" w:sz="0" w:space="0" w:color="auto"/>
                      </w:divBdr>
                      <w:divsChild>
                        <w:div w:id="902832362">
                          <w:marLeft w:val="0"/>
                          <w:marRight w:val="0"/>
                          <w:marTop w:val="0"/>
                          <w:marBottom w:val="0"/>
                          <w:divBdr>
                            <w:top w:val="none" w:sz="0" w:space="0" w:color="auto"/>
                            <w:left w:val="none" w:sz="0" w:space="0" w:color="auto"/>
                            <w:bottom w:val="none" w:sz="0" w:space="0" w:color="auto"/>
                            <w:right w:val="none" w:sz="0" w:space="0" w:color="auto"/>
                          </w:divBdr>
                          <w:divsChild>
                            <w:div w:id="97873172">
                              <w:marLeft w:val="0"/>
                              <w:marRight w:val="0"/>
                              <w:marTop w:val="0"/>
                              <w:marBottom w:val="0"/>
                              <w:divBdr>
                                <w:top w:val="none" w:sz="0" w:space="0" w:color="auto"/>
                                <w:left w:val="none" w:sz="0" w:space="0" w:color="auto"/>
                                <w:bottom w:val="none" w:sz="0" w:space="0" w:color="auto"/>
                                <w:right w:val="none" w:sz="0" w:space="0" w:color="auto"/>
                              </w:divBdr>
                              <w:divsChild>
                                <w:div w:id="97065659">
                                  <w:marLeft w:val="0"/>
                                  <w:marRight w:val="0"/>
                                  <w:marTop w:val="0"/>
                                  <w:marBottom w:val="0"/>
                                  <w:divBdr>
                                    <w:top w:val="none" w:sz="0" w:space="0" w:color="auto"/>
                                    <w:left w:val="none" w:sz="0" w:space="0" w:color="auto"/>
                                    <w:bottom w:val="none" w:sz="0" w:space="0" w:color="auto"/>
                                    <w:right w:val="none" w:sz="0" w:space="0" w:color="auto"/>
                                  </w:divBdr>
                                  <w:divsChild>
                                    <w:div w:id="16051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726332">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1981835695">
      <w:bodyDiv w:val="1"/>
      <w:marLeft w:val="0"/>
      <w:marRight w:val="0"/>
      <w:marTop w:val="0"/>
      <w:marBottom w:val="0"/>
      <w:divBdr>
        <w:top w:val="none" w:sz="0" w:space="0" w:color="auto"/>
        <w:left w:val="none" w:sz="0" w:space="0" w:color="auto"/>
        <w:bottom w:val="none" w:sz="0" w:space="0" w:color="auto"/>
        <w:right w:val="none" w:sz="0" w:space="0" w:color="auto"/>
      </w:divBdr>
    </w:div>
    <w:div w:id="1985772361">
      <w:bodyDiv w:val="1"/>
      <w:marLeft w:val="0"/>
      <w:marRight w:val="0"/>
      <w:marTop w:val="0"/>
      <w:marBottom w:val="0"/>
      <w:divBdr>
        <w:top w:val="none" w:sz="0" w:space="0" w:color="auto"/>
        <w:left w:val="none" w:sz="0" w:space="0" w:color="auto"/>
        <w:bottom w:val="none" w:sz="0" w:space="0" w:color="auto"/>
        <w:right w:val="none" w:sz="0" w:space="0" w:color="auto"/>
      </w:divBdr>
    </w:div>
    <w:div w:id="1990359238">
      <w:bodyDiv w:val="1"/>
      <w:marLeft w:val="0"/>
      <w:marRight w:val="0"/>
      <w:marTop w:val="0"/>
      <w:marBottom w:val="0"/>
      <w:divBdr>
        <w:top w:val="none" w:sz="0" w:space="0" w:color="auto"/>
        <w:left w:val="none" w:sz="0" w:space="0" w:color="auto"/>
        <w:bottom w:val="none" w:sz="0" w:space="0" w:color="auto"/>
        <w:right w:val="none" w:sz="0" w:space="0" w:color="auto"/>
      </w:divBdr>
    </w:div>
    <w:div w:id="2029940842">
      <w:bodyDiv w:val="1"/>
      <w:marLeft w:val="0"/>
      <w:marRight w:val="0"/>
      <w:marTop w:val="0"/>
      <w:marBottom w:val="0"/>
      <w:divBdr>
        <w:top w:val="none" w:sz="0" w:space="0" w:color="auto"/>
        <w:left w:val="none" w:sz="0" w:space="0" w:color="auto"/>
        <w:bottom w:val="none" w:sz="0" w:space="0" w:color="auto"/>
        <w:right w:val="none" w:sz="0" w:space="0" w:color="auto"/>
      </w:divBdr>
    </w:div>
    <w:div w:id="2087608871">
      <w:bodyDiv w:val="1"/>
      <w:marLeft w:val="0"/>
      <w:marRight w:val="0"/>
      <w:marTop w:val="0"/>
      <w:marBottom w:val="0"/>
      <w:divBdr>
        <w:top w:val="none" w:sz="0" w:space="0" w:color="auto"/>
        <w:left w:val="none" w:sz="0" w:space="0" w:color="auto"/>
        <w:bottom w:val="none" w:sz="0" w:space="0" w:color="auto"/>
        <w:right w:val="none" w:sz="0" w:space="0" w:color="auto"/>
      </w:divBdr>
    </w:div>
    <w:div w:id="2102144441">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 w:id="2132019175">
      <w:bodyDiv w:val="1"/>
      <w:marLeft w:val="0"/>
      <w:marRight w:val="0"/>
      <w:marTop w:val="0"/>
      <w:marBottom w:val="0"/>
      <w:divBdr>
        <w:top w:val="none" w:sz="0" w:space="0" w:color="auto"/>
        <w:left w:val="none" w:sz="0" w:space="0" w:color="auto"/>
        <w:bottom w:val="none" w:sz="0" w:space="0" w:color="auto"/>
        <w:right w:val="none" w:sz="0" w:space="0" w:color="auto"/>
      </w:divBdr>
    </w:div>
    <w:div w:id="2135169287">
      <w:bodyDiv w:val="1"/>
      <w:marLeft w:val="0"/>
      <w:marRight w:val="0"/>
      <w:marTop w:val="0"/>
      <w:marBottom w:val="0"/>
      <w:divBdr>
        <w:top w:val="none" w:sz="0" w:space="0" w:color="auto"/>
        <w:left w:val="none" w:sz="0" w:space="0" w:color="auto"/>
        <w:bottom w:val="none" w:sz="0" w:space="0" w:color="auto"/>
        <w:right w:val="none" w:sz="0" w:space="0" w:color="auto"/>
      </w:divBdr>
    </w:div>
    <w:div w:id="2135564160">
      <w:bodyDiv w:val="1"/>
      <w:marLeft w:val="0"/>
      <w:marRight w:val="0"/>
      <w:marTop w:val="0"/>
      <w:marBottom w:val="0"/>
      <w:divBdr>
        <w:top w:val="none" w:sz="0" w:space="0" w:color="auto"/>
        <w:left w:val="none" w:sz="0" w:space="0" w:color="auto"/>
        <w:bottom w:val="none" w:sz="0" w:space="0" w:color="auto"/>
        <w:right w:val="none" w:sz="0" w:space="0" w:color="auto"/>
      </w:divBdr>
    </w:div>
    <w:div w:id="213668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diagramLayout" Target="diagrams/layout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inhacienda.gov.co" TargetMode="External"/><Relationship Id="rId32" Type="http://schemas.openxmlformats.org/officeDocument/2006/relationships/image" Target="media/image12.png"/><Relationship Id="rId37" Type="http://schemas.microsoft.com/office/2007/relationships/diagramDrawing" Target="diagrams/drawing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minhacienda.gov.co" TargetMode="External"/><Relationship Id="rId23" Type="http://schemas.openxmlformats.org/officeDocument/2006/relationships/hyperlink" Target="http://www.minhacienda.gov.co"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10" Type="http://schemas.openxmlformats.org/officeDocument/2006/relationships/footnotes" Target="footnotes.xml"/><Relationship Id="rId19" Type="http://schemas.openxmlformats.org/officeDocument/2006/relationships/image" Target="media/image7.emf"/><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hyperlink" Target="http://www.minhacienda.gov.co" TargetMode="External"/><Relationship Id="rId33" Type="http://schemas.openxmlformats.org/officeDocument/2006/relationships/diagramData" Target="diagrams/data2.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ntaduria.gov.co" TargetMode="External"/><Relationship Id="rId2" Type="http://schemas.openxmlformats.org/officeDocument/2006/relationships/hyperlink" Target="https://www.minhacienda.gov.co/webcenter/portal/GestinDocumental/pages_instrumentosdegestinpblica1/tablasderetencindocumental" TargetMode="External"/><Relationship Id="rId1" Type="http://schemas.openxmlformats.org/officeDocument/2006/relationships/hyperlink" Target="https://www.minhacienda.gov.co/webcenter/portal/SIIFNacion" TargetMode="External"/><Relationship Id="rId4" Type="http://schemas.openxmlformats.org/officeDocument/2006/relationships/hyperlink" Target="https://www.minhacienda.gov.co/webcenter/portal/SIIFN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EEBF2F-7F2D-4942-AED1-57C0B4CE046D}" type="doc">
      <dgm:prSet loTypeId="urn:microsoft.com/office/officeart/2005/8/layout/equation1" loCatId="process" qsTypeId="urn:microsoft.com/office/officeart/2005/8/quickstyle/simple1" qsCatId="simple" csTypeId="urn:microsoft.com/office/officeart/2005/8/colors/accent5_3" csCatId="accent5" phldr="1"/>
      <dgm:spPr/>
      <dgm:t>
        <a:bodyPr/>
        <a:lstStyle/>
        <a:p>
          <a:endParaRPr lang="es-ES"/>
        </a:p>
      </dgm:t>
    </dgm:pt>
    <dgm:pt modelId="{B9A246E3-3A0E-4C22-A5C3-2221C9DDC427}">
      <dgm:prSet phldrT="[Texto]"/>
      <dgm:spPr/>
      <dgm:t>
        <a:bodyPr/>
        <a:lstStyle/>
        <a:p>
          <a:pPr algn="ctr"/>
          <a:r>
            <a:rPr lang="es-ES" b="1"/>
            <a:t>RESULTADO DEL EJERCICIO</a:t>
          </a:r>
        </a:p>
      </dgm:t>
    </dgm:pt>
    <dgm:pt modelId="{0DBA5A52-58C1-4247-9025-2C9E9BBAA1AA}" type="parTrans" cxnId="{F9AE90E0-AFD3-4DAD-BA43-D9ACAA5F0C8C}">
      <dgm:prSet/>
      <dgm:spPr/>
      <dgm:t>
        <a:bodyPr/>
        <a:lstStyle/>
        <a:p>
          <a:pPr algn="ctr"/>
          <a:endParaRPr lang="es-ES"/>
        </a:p>
      </dgm:t>
    </dgm:pt>
    <dgm:pt modelId="{DC011BF4-25A2-4C81-BA97-816CC6EEF0B9}" type="sibTrans" cxnId="{F9AE90E0-AFD3-4DAD-BA43-D9ACAA5F0C8C}">
      <dgm:prSet/>
      <dgm:spPr/>
      <dgm:t>
        <a:bodyPr/>
        <a:lstStyle/>
        <a:p>
          <a:pPr algn="ctr"/>
          <a:endParaRPr lang="es-ES"/>
        </a:p>
      </dgm:t>
    </dgm:pt>
    <dgm:pt modelId="{2EFF73E1-0898-4DED-8D6B-A33C786CAE07}">
      <dgm:prSet phldrT="[Texto]"/>
      <dgm:spPr/>
      <dgm:t>
        <a:bodyPr/>
        <a:lstStyle/>
        <a:p>
          <a:pPr algn="ctr"/>
          <a:r>
            <a:rPr lang="es-ES" b="1"/>
            <a:t>GASTOS</a:t>
          </a:r>
        </a:p>
      </dgm:t>
    </dgm:pt>
    <dgm:pt modelId="{4410F3B2-3181-4814-9A0B-4A6273A7C454}" type="parTrans" cxnId="{1E6D1DFA-9FDB-4403-A2E5-4BBD8B492585}">
      <dgm:prSet/>
      <dgm:spPr/>
      <dgm:t>
        <a:bodyPr/>
        <a:lstStyle/>
        <a:p>
          <a:pPr algn="ctr"/>
          <a:endParaRPr lang="es-ES"/>
        </a:p>
      </dgm:t>
    </dgm:pt>
    <dgm:pt modelId="{69585A32-7E02-4A01-85FD-5CEFB302360E}" type="sibTrans" cxnId="{1E6D1DFA-9FDB-4403-A2E5-4BBD8B492585}">
      <dgm:prSet/>
      <dgm:spPr/>
      <dgm:t>
        <a:bodyPr/>
        <a:lstStyle/>
        <a:p>
          <a:pPr algn="ctr"/>
          <a:endParaRPr lang="es-ES"/>
        </a:p>
      </dgm:t>
    </dgm:pt>
    <dgm:pt modelId="{08372DFC-D049-45A3-8D29-A5B9431BDDD3}">
      <dgm:prSet phldrT="[Texto]"/>
      <dgm:spPr/>
      <dgm:t>
        <a:bodyPr/>
        <a:lstStyle/>
        <a:p>
          <a:pPr algn="ctr"/>
          <a:r>
            <a:rPr lang="es-ES" b="1"/>
            <a:t>INGRESOS</a:t>
          </a:r>
        </a:p>
      </dgm:t>
    </dgm:pt>
    <dgm:pt modelId="{066D3F4A-A0D1-437A-B288-72C8ED1AB0AC}" type="parTrans" cxnId="{4A584033-51DF-424D-B337-484C9EC00B6E}">
      <dgm:prSet/>
      <dgm:spPr/>
      <dgm:t>
        <a:bodyPr/>
        <a:lstStyle/>
        <a:p>
          <a:pPr algn="ctr"/>
          <a:endParaRPr lang="es-ES"/>
        </a:p>
      </dgm:t>
    </dgm:pt>
    <dgm:pt modelId="{8526313D-50C2-44F4-8F70-8746283277FD}" type="sibTrans" cxnId="{4A584033-51DF-424D-B337-484C9EC00B6E}">
      <dgm:prSet/>
      <dgm:spPr/>
      <dgm:t>
        <a:bodyPr/>
        <a:lstStyle/>
        <a:p>
          <a:pPr algn="ctr"/>
          <a:endParaRPr lang="es-ES"/>
        </a:p>
      </dgm:t>
    </dgm:pt>
    <dgm:pt modelId="{72858E28-F5FE-427E-A1CA-14A4A4322682}" type="pres">
      <dgm:prSet presAssocID="{5CEEBF2F-7F2D-4942-AED1-57C0B4CE046D}" presName="linearFlow" presStyleCnt="0">
        <dgm:presLayoutVars>
          <dgm:dir/>
          <dgm:resizeHandles val="exact"/>
        </dgm:presLayoutVars>
      </dgm:prSet>
      <dgm:spPr/>
    </dgm:pt>
    <dgm:pt modelId="{23EA29D2-C05A-4CD8-BB8B-33BA6F169297}" type="pres">
      <dgm:prSet presAssocID="{B9A246E3-3A0E-4C22-A5C3-2221C9DDC427}" presName="node" presStyleLbl="node1" presStyleIdx="0" presStyleCnt="3">
        <dgm:presLayoutVars>
          <dgm:bulletEnabled val="1"/>
        </dgm:presLayoutVars>
      </dgm:prSet>
      <dgm:spPr/>
    </dgm:pt>
    <dgm:pt modelId="{92A094F0-F918-4FF6-95F1-863608BF89E8}" type="pres">
      <dgm:prSet presAssocID="{DC011BF4-25A2-4C81-BA97-816CC6EEF0B9}" presName="spacerL" presStyleCnt="0"/>
      <dgm:spPr/>
    </dgm:pt>
    <dgm:pt modelId="{5749AE20-3630-491D-B788-CD213FA9C33B}" type="pres">
      <dgm:prSet presAssocID="{DC011BF4-25A2-4C81-BA97-816CC6EEF0B9}" presName="sibTrans" presStyleLbl="sibTrans2D1" presStyleIdx="0" presStyleCnt="2" custLinFactX="257464" custLinFactNeighborX="300000" custLinFactNeighborY="1343"/>
      <dgm:spPr>
        <a:prstGeom prst="mathMinus">
          <a:avLst/>
        </a:prstGeom>
      </dgm:spPr>
    </dgm:pt>
    <dgm:pt modelId="{5E377CE3-5A47-48B0-ADB4-F4AA33769356}" type="pres">
      <dgm:prSet presAssocID="{DC011BF4-25A2-4C81-BA97-816CC6EEF0B9}" presName="spacerR" presStyleCnt="0"/>
      <dgm:spPr/>
    </dgm:pt>
    <dgm:pt modelId="{07B2CF43-ED06-42E7-A711-55B8A135A658}" type="pres">
      <dgm:prSet presAssocID="{08372DFC-D049-45A3-8D29-A5B9431BDDD3}" presName="node" presStyleLbl="node1" presStyleIdx="1" presStyleCnt="3">
        <dgm:presLayoutVars>
          <dgm:bulletEnabled val="1"/>
        </dgm:presLayoutVars>
      </dgm:prSet>
      <dgm:spPr/>
    </dgm:pt>
    <dgm:pt modelId="{252EC30C-D7D3-4251-A1D9-ACEDC1C3D3F3}" type="pres">
      <dgm:prSet presAssocID="{8526313D-50C2-44F4-8F70-8746283277FD}" presName="spacerL" presStyleCnt="0"/>
      <dgm:spPr/>
    </dgm:pt>
    <dgm:pt modelId="{C06205DE-3001-4DE7-9989-F92C7CEE2DCE}" type="pres">
      <dgm:prSet presAssocID="{8526313D-50C2-44F4-8F70-8746283277FD}" presName="sibTrans" presStyleLbl="sibTrans2D1" presStyleIdx="1" presStyleCnt="2" custLinFactX="-256120" custLinFactNeighborX="-300000" custLinFactNeighborY="6714"/>
      <dgm:spPr/>
    </dgm:pt>
    <dgm:pt modelId="{95E0D018-9B19-4812-AD2F-71635AACDB76}" type="pres">
      <dgm:prSet presAssocID="{8526313D-50C2-44F4-8F70-8746283277FD}" presName="spacerR" presStyleCnt="0"/>
      <dgm:spPr/>
    </dgm:pt>
    <dgm:pt modelId="{A2BD786B-D5D0-454F-9C30-B307FAEAAAD7}" type="pres">
      <dgm:prSet presAssocID="{2EFF73E1-0898-4DED-8D6B-A33C786CAE07}" presName="node" presStyleLbl="node1" presStyleIdx="2" presStyleCnt="3">
        <dgm:presLayoutVars>
          <dgm:bulletEnabled val="1"/>
        </dgm:presLayoutVars>
      </dgm:prSet>
      <dgm:spPr/>
    </dgm:pt>
  </dgm:ptLst>
  <dgm:cxnLst>
    <dgm:cxn modelId="{54236B02-6A09-4842-A485-CBCE9FAF254C}" type="presOf" srcId="{B9A246E3-3A0E-4C22-A5C3-2221C9DDC427}" destId="{23EA29D2-C05A-4CD8-BB8B-33BA6F169297}" srcOrd="0" destOrd="0" presId="urn:microsoft.com/office/officeart/2005/8/layout/equation1"/>
    <dgm:cxn modelId="{9E15930B-2E76-4A15-88B6-CC9FB142E20A}" type="presOf" srcId="{5CEEBF2F-7F2D-4942-AED1-57C0B4CE046D}" destId="{72858E28-F5FE-427E-A1CA-14A4A4322682}" srcOrd="0" destOrd="0" presId="urn:microsoft.com/office/officeart/2005/8/layout/equation1"/>
    <dgm:cxn modelId="{9F51FA2B-1742-44C9-9327-51FB15351767}" type="presOf" srcId="{8526313D-50C2-44F4-8F70-8746283277FD}" destId="{C06205DE-3001-4DE7-9989-F92C7CEE2DCE}" srcOrd="0" destOrd="0" presId="urn:microsoft.com/office/officeart/2005/8/layout/equation1"/>
    <dgm:cxn modelId="{4A584033-51DF-424D-B337-484C9EC00B6E}" srcId="{5CEEBF2F-7F2D-4942-AED1-57C0B4CE046D}" destId="{08372DFC-D049-45A3-8D29-A5B9431BDDD3}" srcOrd="1" destOrd="0" parTransId="{066D3F4A-A0D1-437A-B288-72C8ED1AB0AC}" sibTransId="{8526313D-50C2-44F4-8F70-8746283277FD}"/>
    <dgm:cxn modelId="{80E64E43-1408-428B-8E13-84E6791046C2}" type="presOf" srcId="{08372DFC-D049-45A3-8D29-A5B9431BDDD3}" destId="{07B2CF43-ED06-42E7-A711-55B8A135A658}" srcOrd="0" destOrd="0" presId="urn:microsoft.com/office/officeart/2005/8/layout/equation1"/>
    <dgm:cxn modelId="{A2A41352-4868-42EA-8C31-DEB542045026}" type="presOf" srcId="{2EFF73E1-0898-4DED-8D6B-A33C786CAE07}" destId="{A2BD786B-D5D0-454F-9C30-B307FAEAAAD7}" srcOrd="0" destOrd="0" presId="urn:microsoft.com/office/officeart/2005/8/layout/equation1"/>
    <dgm:cxn modelId="{2D464BCA-201F-498B-9769-88FF67A38281}" type="presOf" srcId="{DC011BF4-25A2-4C81-BA97-816CC6EEF0B9}" destId="{5749AE20-3630-491D-B788-CD213FA9C33B}" srcOrd="0" destOrd="0" presId="urn:microsoft.com/office/officeart/2005/8/layout/equation1"/>
    <dgm:cxn modelId="{F9AE90E0-AFD3-4DAD-BA43-D9ACAA5F0C8C}" srcId="{5CEEBF2F-7F2D-4942-AED1-57C0B4CE046D}" destId="{B9A246E3-3A0E-4C22-A5C3-2221C9DDC427}" srcOrd="0" destOrd="0" parTransId="{0DBA5A52-58C1-4247-9025-2C9E9BBAA1AA}" sibTransId="{DC011BF4-25A2-4C81-BA97-816CC6EEF0B9}"/>
    <dgm:cxn modelId="{1E6D1DFA-9FDB-4403-A2E5-4BBD8B492585}" srcId="{5CEEBF2F-7F2D-4942-AED1-57C0B4CE046D}" destId="{2EFF73E1-0898-4DED-8D6B-A33C786CAE07}" srcOrd="2" destOrd="0" parTransId="{4410F3B2-3181-4814-9A0B-4A6273A7C454}" sibTransId="{69585A32-7E02-4A01-85FD-5CEFB302360E}"/>
    <dgm:cxn modelId="{F7FE21E9-33AE-4C98-B2C7-3A7CC6A283B0}" type="presParOf" srcId="{72858E28-F5FE-427E-A1CA-14A4A4322682}" destId="{23EA29D2-C05A-4CD8-BB8B-33BA6F169297}" srcOrd="0" destOrd="0" presId="urn:microsoft.com/office/officeart/2005/8/layout/equation1"/>
    <dgm:cxn modelId="{E75924CD-E2B6-411C-B991-B1C84B515FE4}" type="presParOf" srcId="{72858E28-F5FE-427E-A1CA-14A4A4322682}" destId="{92A094F0-F918-4FF6-95F1-863608BF89E8}" srcOrd="1" destOrd="0" presId="urn:microsoft.com/office/officeart/2005/8/layout/equation1"/>
    <dgm:cxn modelId="{E8E7E327-D347-4C6C-AE9D-7B10BDBF0708}" type="presParOf" srcId="{72858E28-F5FE-427E-A1CA-14A4A4322682}" destId="{5749AE20-3630-491D-B788-CD213FA9C33B}" srcOrd="2" destOrd="0" presId="urn:microsoft.com/office/officeart/2005/8/layout/equation1"/>
    <dgm:cxn modelId="{6B0E1D72-B37D-4972-9F51-D4C92DB82978}" type="presParOf" srcId="{72858E28-F5FE-427E-A1CA-14A4A4322682}" destId="{5E377CE3-5A47-48B0-ADB4-F4AA33769356}" srcOrd="3" destOrd="0" presId="urn:microsoft.com/office/officeart/2005/8/layout/equation1"/>
    <dgm:cxn modelId="{2B46539C-BAEE-4EAA-BC05-A73E1448C7D7}" type="presParOf" srcId="{72858E28-F5FE-427E-A1CA-14A4A4322682}" destId="{07B2CF43-ED06-42E7-A711-55B8A135A658}" srcOrd="4" destOrd="0" presId="urn:microsoft.com/office/officeart/2005/8/layout/equation1"/>
    <dgm:cxn modelId="{2AC13117-9C7E-4C32-BED0-BBFF4E1DBF22}" type="presParOf" srcId="{72858E28-F5FE-427E-A1CA-14A4A4322682}" destId="{252EC30C-D7D3-4251-A1D9-ACEDC1C3D3F3}" srcOrd="5" destOrd="0" presId="urn:microsoft.com/office/officeart/2005/8/layout/equation1"/>
    <dgm:cxn modelId="{C4865448-B80F-4695-8698-DB6B347B3A71}" type="presParOf" srcId="{72858E28-F5FE-427E-A1CA-14A4A4322682}" destId="{C06205DE-3001-4DE7-9989-F92C7CEE2DCE}" srcOrd="6" destOrd="0" presId="urn:microsoft.com/office/officeart/2005/8/layout/equation1"/>
    <dgm:cxn modelId="{305A7F89-4237-45ED-8CC9-0E80208DDC82}" type="presParOf" srcId="{72858E28-F5FE-427E-A1CA-14A4A4322682}" destId="{95E0D018-9B19-4812-AD2F-71635AACDB76}" srcOrd="7" destOrd="0" presId="urn:microsoft.com/office/officeart/2005/8/layout/equation1"/>
    <dgm:cxn modelId="{2D261AA0-1DA6-487D-96CA-7537A722AB00}" type="presParOf" srcId="{72858E28-F5FE-427E-A1CA-14A4A4322682}" destId="{A2BD786B-D5D0-454F-9C30-B307FAEAAAD7}" srcOrd="8" destOrd="0" presId="urn:microsoft.com/office/officeart/2005/8/layout/equation1"/>
  </dgm:cxnLst>
  <dgm:bg>
    <a:effectLst>
      <a:glow rad="50800">
        <a:schemeClr val="tx2"/>
      </a:glow>
      <a:softEdge rad="12700"/>
    </a:effectLst>
  </dgm:bg>
  <dgm:whole>
    <a:ln>
      <a:solidFill>
        <a:schemeClr val="accent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EEBF2F-7F2D-4942-AED1-57C0B4CE046D}" type="doc">
      <dgm:prSet loTypeId="urn:microsoft.com/office/officeart/2005/8/layout/equation1" loCatId="process" qsTypeId="urn:microsoft.com/office/officeart/2005/8/quickstyle/simple1" qsCatId="simple" csTypeId="urn:microsoft.com/office/officeart/2005/8/colors/accent5_3" csCatId="accent5" phldr="1"/>
      <dgm:spPr/>
      <dgm:t>
        <a:bodyPr/>
        <a:lstStyle/>
        <a:p>
          <a:endParaRPr lang="es-ES"/>
        </a:p>
      </dgm:t>
    </dgm:pt>
    <dgm:pt modelId="{B9A246E3-3A0E-4C22-A5C3-2221C9DDC427}">
      <dgm:prSet phldrT="[Texto]"/>
      <dgm:spPr/>
      <dgm:t>
        <a:bodyPr/>
        <a:lstStyle/>
        <a:p>
          <a:pPr algn="ctr"/>
          <a:r>
            <a:rPr lang="es-ES" b="1"/>
            <a:t>EFECTO EN RESULTADO DEL EJERCICIO</a:t>
          </a:r>
        </a:p>
      </dgm:t>
    </dgm:pt>
    <dgm:pt modelId="{0DBA5A52-58C1-4247-9025-2C9E9BBAA1AA}" type="parTrans" cxnId="{F9AE90E0-AFD3-4DAD-BA43-D9ACAA5F0C8C}">
      <dgm:prSet/>
      <dgm:spPr/>
      <dgm:t>
        <a:bodyPr/>
        <a:lstStyle/>
        <a:p>
          <a:pPr algn="ctr"/>
          <a:endParaRPr lang="es-ES"/>
        </a:p>
      </dgm:t>
    </dgm:pt>
    <dgm:pt modelId="{DC011BF4-25A2-4C81-BA97-816CC6EEF0B9}" type="sibTrans" cxnId="{F9AE90E0-AFD3-4DAD-BA43-D9ACAA5F0C8C}">
      <dgm:prSet/>
      <dgm:spPr/>
      <dgm:t>
        <a:bodyPr/>
        <a:lstStyle/>
        <a:p>
          <a:pPr algn="ctr"/>
          <a:endParaRPr lang="es-ES"/>
        </a:p>
      </dgm:t>
    </dgm:pt>
    <dgm:pt modelId="{2EFF73E1-0898-4DED-8D6B-A33C786CAE07}">
      <dgm:prSet phldrT="[Texto]"/>
      <dgm:spPr/>
      <dgm:t>
        <a:bodyPr/>
        <a:lstStyle/>
        <a:p>
          <a:pPr algn="ctr"/>
          <a:r>
            <a:rPr lang="es-ES" b="1"/>
            <a:t>RESULTADO DEL EJERCICIO</a:t>
          </a:r>
        </a:p>
      </dgm:t>
    </dgm:pt>
    <dgm:pt modelId="{4410F3B2-3181-4814-9A0B-4A6273A7C454}" type="parTrans" cxnId="{1E6D1DFA-9FDB-4403-A2E5-4BBD8B492585}">
      <dgm:prSet/>
      <dgm:spPr/>
      <dgm:t>
        <a:bodyPr/>
        <a:lstStyle/>
        <a:p>
          <a:pPr algn="ctr"/>
          <a:endParaRPr lang="es-ES"/>
        </a:p>
      </dgm:t>
    </dgm:pt>
    <dgm:pt modelId="{69585A32-7E02-4A01-85FD-5CEFB302360E}" type="sibTrans" cxnId="{1E6D1DFA-9FDB-4403-A2E5-4BBD8B492585}">
      <dgm:prSet/>
      <dgm:spPr/>
      <dgm:t>
        <a:bodyPr/>
        <a:lstStyle/>
        <a:p>
          <a:pPr algn="ctr"/>
          <a:endParaRPr lang="es-ES"/>
        </a:p>
      </dgm:t>
    </dgm:pt>
    <dgm:pt modelId="{08372DFC-D049-45A3-8D29-A5B9431BDDD3}">
      <dgm:prSet phldrT="[Texto]"/>
      <dgm:spPr/>
      <dgm:t>
        <a:bodyPr/>
        <a:lstStyle/>
        <a:p>
          <a:pPr algn="ctr"/>
          <a:r>
            <a:rPr lang="es-ES" b="1"/>
            <a:t>RESULTADO DEL EJERCICIO SIN OP. INTERINST.</a:t>
          </a:r>
        </a:p>
      </dgm:t>
    </dgm:pt>
    <dgm:pt modelId="{066D3F4A-A0D1-437A-B288-72C8ED1AB0AC}" type="parTrans" cxnId="{4A584033-51DF-424D-B337-484C9EC00B6E}">
      <dgm:prSet/>
      <dgm:spPr/>
      <dgm:t>
        <a:bodyPr/>
        <a:lstStyle/>
        <a:p>
          <a:pPr algn="ctr"/>
          <a:endParaRPr lang="es-ES"/>
        </a:p>
      </dgm:t>
    </dgm:pt>
    <dgm:pt modelId="{8526313D-50C2-44F4-8F70-8746283277FD}" type="sibTrans" cxnId="{4A584033-51DF-424D-B337-484C9EC00B6E}">
      <dgm:prSet/>
      <dgm:spPr/>
      <dgm:t>
        <a:bodyPr/>
        <a:lstStyle/>
        <a:p>
          <a:pPr algn="ctr"/>
          <a:endParaRPr lang="es-ES"/>
        </a:p>
      </dgm:t>
    </dgm:pt>
    <dgm:pt modelId="{3FC1A2CB-6D0E-4867-B16D-DDABC59ED245}">
      <dgm:prSet phldrT="[Texto]"/>
      <dgm:spPr/>
      <dgm:t>
        <a:bodyPr/>
        <a:lstStyle/>
        <a:p>
          <a:pPr algn="ctr"/>
          <a:r>
            <a:rPr lang="es-ES" b="1"/>
            <a:t>RESULTADO DEL EJERCICIO</a:t>
          </a:r>
        </a:p>
      </dgm:t>
    </dgm:pt>
    <dgm:pt modelId="{885F4907-805F-4E3A-825E-FDA4FC8AE4CB}" type="parTrans" cxnId="{C8278624-3476-457A-A989-C2DD37A01B08}">
      <dgm:prSet/>
      <dgm:spPr/>
      <dgm:t>
        <a:bodyPr/>
        <a:lstStyle/>
        <a:p>
          <a:pPr algn="ctr"/>
          <a:endParaRPr lang="es-ES"/>
        </a:p>
      </dgm:t>
    </dgm:pt>
    <dgm:pt modelId="{51D63F42-7F79-4D7C-A627-0F23A0562F86}" type="sibTrans" cxnId="{C8278624-3476-457A-A989-C2DD37A01B08}">
      <dgm:prSet/>
      <dgm:spPr/>
      <dgm:t>
        <a:bodyPr/>
        <a:lstStyle/>
        <a:p>
          <a:pPr algn="ctr"/>
          <a:endParaRPr lang="es-ES"/>
        </a:p>
      </dgm:t>
    </dgm:pt>
    <dgm:pt modelId="{72858E28-F5FE-427E-A1CA-14A4A4322682}" type="pres">
      <dgm:prSet presAssocID="{5CEEBF2F-7F2D-4942-AED1-57C0B4CE046D}" presName="linearFlow" presStyleCnt="0">
        <dgm:presLayoutVars>
          <dgm:dir/>
          <dgm:resizeHandles val="exact"/>
        </dgm:presLayoutVars>
      </dgm:prSet>
      <dgm:spPr/>
    </dgm:pt>
    <dgm:pt modelId="{23EA29D2-C05A-4CD8-BB8B-33BA6F169297}" type="pres">
      <dgm:prSet presAssocID="{B9A246E3-3A0E-4C22-A5C3-2221C9DDC427}" presName="node" presStyleLbl="node1" presStyleIdx="0" presStyleCnt="4">
        <dgm:presLayoutVars>
          <dgm:bulletEnabled val="1"/>
        </dgm:presLayoutVars>
      </dgm:prSet>
      <dgm:spPr/>
    </dgm:pt>
    <dgm:pt modelId="{92A094F0-F918-4FF6-95F1-863608BF89E8}" type="pres">
      <dgm:prSet presAssocID="{DC011BF4-25A2-4C81-BA97-816CC6EEF0B9}" presName="spacerL" presStyleCnt="0"/>
      <dgm:spPr/>
    </dgm:pt>
    <dgm:pt modelId="{5749AE20-3630-491D-B788-CD213FA9C33B}" type="pres">
      <dgm:prSet presAssocID="{DC011BF4-25A2-4C81-BA97-816CC6EEF0B9}" presName="sibTrans" presStyleLbl="sibTrans2D1" presStyleIdx="0" presStyleCnt="3" custLinFactX="257464" custLinFactNeighborX="300000" custLinFactNeighborY="1343"/>
      <dgm:spPr>
        <a:prstGeom prst="mathMinus">
          <a:avLst/>
        </a:prstGeom>
      </dgm:spPr>
    </dgm:pt>
    <dgm:pt modelId="{5E377CE3-5A47-48B0-ADB4-F4AA33769356}" type="pres">
      <dgm:prSet presAssocID="{DC011BF4-25A2-4C81-BA97-816CC6EEF0B9}" presName="spacerR" presStyleCnt="0"/>
      <dgm:spPr/>
    </dgm:pt>
    <dgm:pt modelId="{07B2CF43-ED06-42E7-A711-55B8A135A658}" type="pres">
      <dgm:prSet presAssocID="{08372DFC-D049-45A3-8D29-A5B9431BDDD3}" presName="node" presStyleLbl="node1" presStyleIdx="1" presStyleCnt="4">
        <dgm:presLayoutVars>
          <dgm:bulletEnabled val="1"/>
        </dgm:presLayoutVars>
      </dgm:prSet>
      <dgm:spPr/>
    </dgm:pt>
    <dgm:pt modelId="{252EC30C-D7D3-4251-A1D9-ACEDC1C3D3F3}" type="pres">
      <dgm:prSet presAssocID="{8526313D-50C2-44F4-8F70-8746283277FD}" presName="spacerL" presStyleCnt="0"/>
      <dgm:spPr/>
    </dgm:pt>
    <dgm:pt modelId="{C06205DE-3001-4DE7-9989-F92C7CEE2DCE}" type="pres">
      <dgm:prSet presAssocID="{8526313D-50C2-44F4-8F70-8746283277FD}" presName="sibTrans" presStyleLbl="sibTrans2D1" presStyleIdx="1" presStyleCnt="3" custLinFactX="-256120" custLinFactNeighborX="-300000" custLinFactNeighborY="6714"/>
      <dgm:spPr>
        <a:prstGeom prst="mathEqual">
          <a:avLst/>
        </a:prstGeom>
      </dgm:spPr>
    </dgm:pt>
    <dgm:pt modelId="{95E0D018-9B19-4812-AD2F-71635AACDB76}" type="pres">
      <dgm:prSet presAssocID="{8526313D-50C2-44F4-8F70-8746283277FD}" presName="spacerR" presStyleCnt="0"/>
      <dgm:spPr/>
    </dgm:pt>
    <dgm:pt modelId="{A2BD786B-D5D0-454F-9C30-B307FAEAAAD7}" type="pres">
      <dgm:prSet presAssocID="{2EFF73E1-0898-4DED-8D6B-A33C786CAE07}" presName="node" presStyleLbl="node1" presStyleIdx="2" presStyleCnt="4">
        <dgm:presLayoutVars>
          <dgm:bulletEnabled val="1"/>
        </dgm:presLayoutVars>
      </dgm:prSet>
      <dgm:spPr/>
    </dgm:pt>
    <dgm:pt modelId="{C74C149A-EAC2-4B53-832F-85DFA3732D84}" type="pres">
      <dgm:prSet presAssocID="{69585A32-7E02-4A01-85FD-5CEFB302360E}" presName="spacerL" presStyleCnt="0"/>
      <dgm:spPr/>
    </dgm:pt>
    <dgm:pt modelId="{401C8D8E-AF5E-4141-8F10-A2AA985E731B}" type="pres">
      <dgm:prSet presAssocID="{69585A32-7E02-4A01-85FD-5CEFB302360E}" presName="sibTrans" presStyleLbl="sibTrans2D1" presStyleIdx="2" presStyleCnt="3"/>
      <dgm:spPr>
        <a:prstGeom prst="mathDivide">
          <a:avLst/>
        </a:prstGeom>
      </dgm:spPr>
    </dgm:pt>
    <dgm:pt modelId="{14391B16-CF00-419D-8DD3-7CF226AC5B04}" type="pres">
      <dgm:prSet presAssocID="{69585A32-7E02-4A01-85FD-5CEFB302360E}" presName="spacerR" presStyleCnt="0"/>
      <dgm:spPr/>
    </dgm:pt>
    <dgm:pt modelId="{59AE4B17-1DB9-452C-8816-3AF247DC0F83}" type="pres">
      <dgm:prSet presAssocID="{3FC1A2CB-6D0E-4867-B16D-DDABC59ED245}" presName="node" presStyleLbl="node1" presStyleIdx="3" presStyleCnt="4">
        <dgm:presLayoutVars>
          <dgm:bulletEnabled val="1"/>
        </dgm:presLayoutVars>
      </dgm:prSet>
      <dgm:spPr/>
    </dgm:pt>
  </dgm:ptLst>
  <dgm:cxnLst>
    <dgm:cxn modelId="{54236B02-6A09-4842-A485-CBCE9FAF254C}" type="presOf" srcId="{B9A246E3-3A0E-4C22-A5C3-2221C9DDC427}" destId="{23EA29D2-C05A-4CD8-BB8B-33BA6F169297}" srcOrd="0" destOrd="0" presId="urn:microsoft.com/office/officeart/2005/8/layout/equation1"/>
    <dgm:cxn modelId="{9E15930B-2E76-4A15-88B6-CC9FB142E20A}" type="presOf" srcId="{5CEEBF2F-7F2D-4942-AED1-57C0B4CE046D}" destId="{72858E28-F5FE-427E-A1CA-14A4A4322682}" srcOrd="0" destOrd="0" presId="urn:microsoft.com/office/officeart/2005/8/layout/equation1"/>
    <dgm:cxn modelId="{C8278624-3476-457A-A989-C2DD37A01B08}" srcId="{5CEEBF2F-7F2D-4942-AED1-57C0B4CE046D}" destId="{3FC1A2CB-6D0E-4867-B16D-DDABC59ED245}" srcOrd="3" destOrd="0" parTransId="{885F4907-805F-4E3A-825E-FDA4FC8AE4CB}" sibTransId="{51D63F42-7F79-4D7C-A627-0F23A0562F86}"/>
    <dgm:cxn modelId="{9F51FA2B-1742-44C9-9327-51FB15351767}" type="presOf" srcId="{8526313D-50C2-44F4-8F70-8746283277FD}" destId="{C06205DE-3001-4DE7-9989-F92C7CEE2DCE}" srcOrd="0" destOrd="0" presId="urn:microsoft.com/office/officeart/2005/8/layout/equation1"/>
    <dgm:cxn modelId="{4A584033-51DF-424D-B337-484C9EC00B6E}" srcId="{5CEEBF2F-7F2D-4942-AED1-57C0B4CE046D}" destId="{08372DFC-D049-45A3-8D29-A5B9431BDDD3}" srcOrd="1" destOrd="0" parTransId="{066D3F4A-A0D1-437A-B288-72C8ED1AB0AC}" sibTransId="{8526313D-50C2-44F4-8F70-8746283277FD}"/>
    <dgm:cxn modelId="{80E64E43-1408-428B-8E13-84E6791046C2}" type="presOf" srcId="{08372DFC-D049-45A3-8D29-A5B9431BDDD3}" destId="{07B2CF43-ED06-42E7-A711-55B8A135A658}" srcOrd="0" destOrd="0" presId="urn:microsoft.com/office/officeart/2005/8/layout/equation1"/>
    <dgm:cxn modelId="{A2A41352-4868-42EA-8C31-DEB542045026}" type="presOf" srcId="{2EFF73E1-0898-4DED-8D6B-A33C786CAE07}" destId="{A2BD786B-D5D0-454F-9C30-B307FAEAAAD7}" srcOrd="0" destOrd="0" presId="urn:microsoft.com/office/officeart/2005/8/layout/equation1"/>
    <dgm:cxn modelId="{2D464BCA-201F-498B-9769-88FF67A38281}" type="presOf" srcId="{DC011BF4-25A2-4C81-BA97-816CC6EEF0B9}" destId="{5749AE20-3630-491D-B788-CD213FA9C33B}" srcOrd="0" destOrd="0" presId="urn:microsoft.com/office/officeart/2005/8/layout/equation1"/>
    <dgm:cxn modelId="{80F81ECD-EBAF-4282-9CEA-8FC5E982196C}" type="presOf" srcId="{3FC1A2CB-6D0E-4867-B16D-DDABC59ED245}" destId="{59AE4B17-1DB9-452C-8816-3AF247DC0F83}" srcOrd="0" destOrd="0" presId="urn:microsoft.com/office/officeart/2005/8/layout/equation1"/>
    <dgm:cxn modelId="{69F76AD2-2E41-4623-9955-EA08035FA0CF}" type="presOf" srcId="{69585A32-7E02-4A01-85FD-5CEFB302360E}" destId="{401C8D8E-AF5E-4141-8F10-A2AA985E731B}" srcOrd="0" destOrd="0" presId="urn:microsoft.com/office/officeart/2005/8/layout/equation1"/>
    <dgm:cxn modelId="{F9AE90E0-AFD3-4DAD-BA43-D9ACAA5F0C8C}" srcId="{5CEEBF2F-7F2D-4942-AED1-57C0B4CE046D}" destId="{B9A246E3-3A0E-4C22-A5C3-2221C9DDC427}" srcOrd="0" destOrd="0" parTransId="{0DBA5A52-58C1-4247-9025-2C9E9BBAA1AA}" sibTransId="{DC011BF4-25A2-4C81-BA97-816CC6EEF0B9}"/>
    <dgm:cxn modelId="{1E6D1DFA-9FDB-4403-A2E5-4BBD8B492585}" srcId="{5CEEBF2F-7F2D-4942-AED1-57C0B4CE046D}" destId="{2EFF73E1-0898-4DED-8D6B-A33C786CAE07}" srcOrd="2" destOrd="0" parTransId="{4410F3B2-3181-4814-9A0B-4A6273A7C454}" sibTransId="{69585A32-7E02-4A01-85FD-5CEFB302360E}"/>
    <dgm:cxn modelId="{F7FE21E9-33AE-4C98-B2C7-3A7CC6A283B0}" type="presParOf" srcId="{72858E28-F5FE-427E-A1CA-14A4A4322682}" destId="{23EA29D2-C05A-4CD8-BB8B-33BA6F169297}" srcOrd="0" destOrd="0" presId="urn:microsoft.com/office/officeart/2005/8/layout/equation1"/>
    <dgm:cxn modelId="{E75924CD-E2B6-411C-B991-B1C84B515FE4}" type="presParOf" srcId="{72858E28-F5FE-427E-A1CA-14A4A4322682}" destId="{92A094F0-F918-4FF6-95F1-863608BF89E8}" srcOrd="1" destOrd="0" presId="urn:microsoft.com/office/officeart/2005/8/layout/equation1"/>
    <dgm:cxn modelId="{E8E7E327-D347-4C6C-AE9D-7B10BDBF0708}" type="presParOf" srcId="{72858E28-F5FE-427E-A1CA-14A4A4322682}" destId="{5749AE20-3630-491D-B788-CD213FA9C33B}" srcOrd="2" destOrd="0" presId="urn:microsoft.com/office/officeart/2005/8/layout/equation1"/>
    <dgm:cxn modelId="{6B0E1D72-B37D-4972-9F51-D4C92DB82978}" type="presParOf" srcId="{72858E28-F5FE-427E-A1CA-14A4A4322682}" destId="{5E377CE3-5A47-48B0-ADB4-F4AA33769356}" srcOrd="3" destOrd="0" presId="urn:microsoft.com/office/officeart/2005/8/layout/equation1"/>
    <dgm:cxn modelId="{2B46539C-BAEE-4EAA-BC05-A73E1448C7D7}" type="presParOf" srcId="{72858E28-F5FE-427E-A1CA-14A4A4322682}" destId="{07B2CF43-ED06-42E7-A711-55B8A135A658}" srcOrd="4" destOrd="0" presId="urn:microsoft.com/office/officeart/2005/8/layout/equation1"/>
    <dgm:cxn modelId="{2AC13117-9C7E-4C32-BED0-BBFF4E1DBF22}" type="presParOf" srcId="{72858E28-F5FE-427E-A1CA-14A4A4322682}" destId="{252EC30C-D7D3-4251-A1D9-ACEDC1C3D3F3}" srcOrd="5" destOrd="0" presId="urn:microsoft.com/office/officeart/2005/8/layout/equation1"/>
    <dgm:cxn modelId="{C4865448-B80F-4695-8698-DB6B347B3A71}" type="presParOf" srcId="{72858E28-F5FE-427E-A1CA-14A4A4322682}" destId="{C06205DE-3001-4DE7-9989-F92C7CEE2DCE}" srcOrd="6" destOrd="0" presId="urn:microsoft.com/office/officeart/2005/8/layout/equation1"/>
    <dgm:cxn modelId="{305A7F89-4237-45ED-8CC9-0E80208DDC82}" type="presParOf" srcId="{72858E28-F5FE-427E-A1CA-14A4A4322682}" destId="{95E0D018-9B19-4812-AD2F-71635AACDB76}" srcOrd="7" destOrd="0" presId="urn:microsoft.com/office/officeart/2005/8/layout/equation1"/>
    <dgm:cxn modelId="{2D261AA0-1DA6-487D-96CA-7537A722AB00}" type="presParOf" srcId="{72858E28-F5FE-427E-A1CA-14A4A4322682}" destId="{A2BD786B-D5D0-454F-9C30-B307FAEAAAD7}" srcOrd="8" destOrd="0" presId="urn:microsoft.com/office/officeart/2005/8/layout/equation1"/>
    <dgm:cxn modelId="{D172F9BB-8226-4924-A01B-BCB81895E25B}" type="presParOf" srcId="{72858E28-F5FE-427E-A1CA-14A4A4322682}" destId="{C74C149A-EAC2-4B53-832F-85DFA3732D84}" srcOrd="9" destOrd="0" presId="urn:microsoft.com/office/officeart/2005/8/layout/equation1"/>
    <dgm:cxn modelId="{6268C423-C032-4E98-B4E2-02ADE47B2362}" type="presParOf" srcId="{72858E28-F5FE-427E-A1CA-14A4A4322682}" destId="{401C8D8E-AF5E-4141-8F10-A2AA985E731B}" srcOrd="10" destOrd="0" presId="urn:microsoft.com/office/officeart/2005/8/layout/equation1"/>
    <dgm:cxn modelId="{CAED4A96-2F92-40DF-A253-C2E0E14BA7C5}" type="presParOf" srcId="{72858E28-F5FE-427E-A1CA-14A4A4322682}" destId="{14391B16-CF00-419D-8DD3-7CF226AC5B04}" srcOrd="11" destOrd="0" presId="urn:microsoft.com/office/officeart/2005/8/layout/equation1"/>
    <dgm:cxn modelId="{8EE1748C-AE01-4038-8648-8E467751CDDB}" type="presParOf" srcId="{72858E28-F5FE-427E-A1CA-14A4A4322682}" destId="{59AE4B17-1DB9-452C-8816-3AF247DC0F83}" srcOrd="12" destOrd="0" presId="urn:microsoft.com/office/officeart/2005/8/layout/equation1"/>
  </dgm:cxnLst>
  <dgm:bg/>
  <dgm:whole>
    <a:ln>
      <a:solidFill>
        <a:schemeClr val="accent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29D2-C05A-4CD8-BB8B-33BA6F169297}">
      <dsp:nvSpPr>
        <dsp:cNvPr id="0" name=""/>
        <dsp:cNvSpPr/>
      </dsp:nvSpPr>
      <dsp:spPr>
        <a:xfrm>
          <a:off x="408741" y="130"/>
          <a:ext cx="1066539" cy="1066539"/>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a:t>RESULTADO DEL EJERCICIO</a:t>
          </a:r>
        </a:p>
      </dsp:txBody>
      <dsp:txXfrm>
        <a:off x="564932" y="156321"/>
        <a:ext cx="754157" cy="754157"/>
      </dsp:txXfrm>
    </dsp:sp>
    <dsp:sp modelId="{5749AE20-3630-491D-B788-CD213FA9C33B}">
      <dsp:nvSpPr>
        <dsp:cNvPr id="0" name=""/>
        <dsp:cNvSpPr/>
      </dsp:nvSpPr>
      <dsp:spPr>
        <a:xfrm>
          <a:off x="3414347" y="232411"/>
          <a:ext cx="618592" cy="618592"/>
        </a:xfrm>
        <a:prstGeom prst="mathMinus">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3496341" y="468961"/>
        <a:ext cx="454604" cy="145492"/>
      </dsp:txXfrm>
    </dsp:sp>
    <dsp:sp modelId="{07B2CF43-ED06-42E7-A711-55B8A135A658}">
      <dsp:nvSpPr>
        <dsp:cNvPr id="0" name=""/>
        <dsp:cNvSpPr/>
      </dsp:nvSpPr>
      <dsp:spPr>
        <a:xfrm>
          <a:off x="2267080" y="130"/>
          <a:ext cx="1066539" cy="1066539"/>
        </a:xfrm>
        <a:prstGeom prst="ellipse">
          <a:avLst/>
        </a:prstGeom>
        <a:solidFill>
          <a:schemeClr val="accent5">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a:t>INGRESOS</a:t>
          </a:r>
        </a:p>
      </dsp:txBody>
      <dsp:txXfrm>
        <a:off x="2423271" y="156321"/>
        <a:ext cx="754157" cy="754157"/>
      </dsp:txXfrm>
    </dsp:sp>
    <dsp:sp modelId="{C06205DE-3001-4DE7-9989-F92C7CEE2DCE}">
      <dsp:nvSpPr>
        <dsp:cNvPr id="0" name=""/>
        <dsp:cNvSpPr/>
      </dsp:nvSpPr>
      <dsp:spPr>
        <a:xfrm>
          <a:off x="1576073" y="265635"/>
          <a:ext cx="618592" cy="618592"/>
        </a:xfrm>
        <a:prstGeom prst="mathEqual">
          <a:avLst/>
        </a:prstGeom>
        <a:solidFill>
          <a:schemeClr val="accent5">
            <a:shade val="90000"/>
            <a:hueOff val="349225"/>
            <a:satOff val="-5981"/>
            <a:lumOff val="23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658067" y="393065"/>
        <a:ext cx="454604" cy="363732"/>
      </dsp:txXfrm>
    </dsp:sp>
    <dsp:sp modelId="{A2BD786B-D5D0-454F-9C30-B307FAEAAAD7}">
      <dsp:nvSpPr>
        <dsp:cNvPr id="0" name=""/>
        <dsp:cNvSpPr/>
      </dsp:nvSpPr>
      <dsp:spPr>
        <a:xfrm>
          <a:off x="4125418" y="130"/>
          <a:ext cx="1066539" cy="1066539"/>
        </a:xfrm>
        <a:prstGeom prst="ellipse">
          <a:avLst/>
        </a:prstGeom>
        <a:solidFill>
          <a:schemeClr val="accent5">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a:t>GASTOS</a:t>
          </a:r>
        </a:p>
      </dsp:txBody>
      <dsp:txXfrm>
        <a:off x="4281609" y="156321"/>
        <a:ext cx="754157" cy="7541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29D2-C05A-4CD8-BB8B-33BA6F169297}">
      <dsp:nvSpPr>
        <dsp:cNvPr id="0" name=""/>
        <dsp:cNvSpPr/>
      </dsp:nvSpPr>
      <dsp:spPr>
        <a:xfrm>
          <a:off x="3240" y="189249"/>
          <a:ext cx="900391" cy="900391"/>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EFECTO EN RESULTADO DEL EJERCICIO</a:t>
          </a:r>
        </a:p>
      </dsp:txBody>
      <dsp:txXfrm>
        <a:off x="135099" y="321108"/>
        <a:ext cx="636673" cy="636673"/>
      </dsp:txXfrm>
    </dsp:sp>
    <dsp:sp modelId="{5749AE20-3630-491D-B788-CD213FA9C33B}">
      <dsp:nvSpPr>
        <dsp:cNvPr id="0" name=""/>
        <dsp:cNvSpPr/>
      </dsp:nvSpPr>
      <dsp:spPr>
        <a:xfrm>
          <a:off x="2540626" y="385344"/>
          <a:ext cx="522227" cy="522227"/>
        </a:xfrm>
        <a:prstGeom prst="mathMinus">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2609847" y="585044"/>
        <a:ext cx="383785" cy="122827"/>
      </dsp:txXfrm>
    </dsp:sp>
    <dsp:sp modelId="{07B2CF43-ED06-42E7-A711-55B8A135A658}">
      <dsp:nvSpPr>
        <dsp:cNvPr id="0" name=""/>
        <dsp:cNvSpPr/>
      </dsp:nvSpPr>
      <dsp:spPr>
        <a:xfrm>
          <a:off x="1572083" y="189249"/>
          <a:ext cx="900391" cy="900391"/>
        </a:xfrm>
        <a:prstGeom prst="ellipse">
          <a:avLst/>
        </a:prstGeom>
        <a:solidFill>
          <a:schemeClr val="accent5">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RESULTADO DEL EJERCICIO SIN OP. INTERINST.</a:t>
          </a:r>
        </a:p>
      </dsp:txBody>
      <dsp:txXfrm>
        <a:off x="1703942" y="321108"/>
        <a:ext cx="636673" cy="636673"/>
      </dsp:txXfrm>
    </dsp:sp>
    <dsp:sp modelId="{C06205DE-3001-4DE7-9989-F92C7CEE2DCE}">
      <dsp:nvSpPr>
        <dsp:cNvPr id="0" name=""/>
        <dsp:cNvSpPr/>
      </dsp:nvSpPr>
      <dsp:spPr>
        <a:xfrm>
          <a:off x="988723" y="413393"/>
          <a:ext cx="522227" cy="522227"/>
        </a:xfrm>
        <a:prstGeom prst="mathEqual">
          <a:avLst/>
        </a:prstGeom>
        <a:solidFill>
          <a:schemeClr val="accent5">
            <a:shade val="90000"/>
            <a:hueOff val="174613"/>
            <a:satOff val="-2991"/>
            <a:lumOff val="1198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1057944" y="520972"/>
        <a:ext cx="383785" cy="307069"/>
      </dsp:txXfrm>
    </dsp:sp>
    <dsp:sp modelId="{A2BD786B-D5D0-454F-9C30-B307FAEAAAD7}">
      <dsp:nvSpPr>
        <dsp:cNvPr id="0" name=""/>
        <dsp:cNvSpPr/>
      </dsp:nvSpPr>
      <dsp:spPr>
        <a:xfrm>
          <a:off x="3140925" y="189249"/>
          <a:ext cx="900391" cy="900391"/>
        </a:xfrm>
        <a:prstGeom prst="ellipse">
          <a:avLst/>
        </a:prstGeom>
        <a:solidFill>
          <a:schemeClr val="accent5">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RESULTADO DEL EJERCICIO</a:t>
          </a:r>
        </a:p>
      </dsp:txBody>
      <dsp:txXfrm>
        <a:off x="3272784" y="321108"/>
        <a:ext cx="636673" cy="636673"/>
      </dsp:txXfrm>
    </dsp:sp>
    <dsp:sp modelId="{401C8D8E-AF5E-4141-8F10-A2AA985E731B}">
      <dsp:nvSpPr>
        <dsp:cNvPr id="0" name=""/>
        <dsp:cNvSpPr/>
      </dsp:nvSpPr>
      <dsp:spPr>
        <a:xfrm>
          <a:off x="4114428" y="378331"/>
          <a:ext cx="522227" cy="522227"/>
        </a:xfrm>
        <a:prstGeom prst="mathDivide">
          <a:avLst/>
        </a:prstGeom>
        <a:solidFill>
          <a:schemeClr val="accent5">
            <a:shade val="90000"/>
            <a:hueOff val="349225"/>
            <a:satOff val="-5981"/>
            <a:lumOff val="23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4183649" y="578031"/>
        <a:ext cx="383785" cy="122827"/>
      </dsp:txXfrm>
    </dsp:sp>
    <dsp:sp modelId="{59AE4B17-1DB9-452C-8816-3AF247DC0F83}">
      <dsp:nvSpPr>
        <dsp:cNvPr id="0" name=""/>
        <dsp:cNvSpPr/>
      </dsp:nvSpPr>
      <dsp:spPr>
        <a:xfrm>
          <a:off x="4709767" y="189249"/>
          <a:ext cx="900391" cy="900391"/>
        </a:xfrm>
        <a:prstGeom prst="ellipse">
          <a:avLst/>
        </a:prstGeom>
        <a:solidFill>
          <a:schemeClr val="accent5">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RESULTADO DEL EJERCICIO</a:t>
          </a:r>
        </a:p>
      </dsp:txBody>
      <dsp:txXfrm>
        <a:off x="4841626" y="321108"/>
        <a:ext cx="636673" cy="63667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iveles" ma:contentTypeID="0x010100F25C777166A81D4A8E5E43F34F8C4D31006A262F13803DE345B4DF8966DCCB5893" ma:contentTypeVersion="15" ma:contentTypeDescription="Niveles" ma:contentTypeScope="" ma:versionID="1616a62d98f904004c4da777acb7f56f">
  <xsd:schema xmlns:xsd="http://www.w3.org/2001/XMLSchema" xmlns:xs="http://www.w3.org/2001/XMLSchema" xmlns:p="http://schemas.microsoft.com/office/2006/metadata/properties" xmlns:ns2="554c0496-d6a9-442d-b1d5-d29d33143a01" xmlns:ns3="82ecf687-28d5-485b-a37e-d2c94b36a158" xmlns:ns4="aac6e9ca-a293-4c82-8e9f-9055b12d24a8" targetNamespace="http://schemas.microsoft.com/office/2006/metadata/properties" ma:root="true" ma:fieldsID="69451adb0031a9c47deb0346c3089456" ns2:_="" ns3:_="" ns4:_="">
    <xsd:import namespace="554c0496-d6a9-442d-b1d5-d29d33143a01"/>
    <xsd:import namespace="82ecf687-28d5-485b-a37e-d2c94b36a158"/>
    <xsd:import namespace="aac6e9ca-a293-4c82-8e9f-9055b12d24a8"/>
    <xsd:element name="properties">
      <xsd:complexType>
        <xsd:sequence>
          <xsd:element name="documentManagement">
            <xsd:complexType>
              <xsd:all>
                <xsd:element ref="ns2:Año" minOccurs="0"/>
                <xsd:element ref="ns3:Dependencia" minOccurs="0"/>
                <xsd:element ref="ns2:Macroproceso" minOccurs="0"/>
                <xsd:element ref="ns2:Proceso" minOccurs="0"/>
                <xsd:element ref="ns2:Nivel" minOccurs="0"/>
                <xsd:element ref="ns2:Nivel_x0020_Macroproceso" minOccurs="0"/>
                <xsd:element ref="ns2:_x002e__x003a_Nivel_x003a__x002e_"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c0496-d6a9-442d-b1d5-d29d33143a01"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Macroproceso" ma:index="4"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Gestión TIC y de la Información"/>
        </xsd:restriction>
      </xsd:simpleType>
    </xsd:element>
    <xsd:element name="Proceso" ma:index="5"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2 Gestión de Relaciones con Inversionistas"/>
          <xsd:enumeration value="Est. 1.3 Gestión de Comunicaciones"/>
          <xsd:enumeration value="Est. 1.4 Administración del Sistema Único de Gestión"/>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1 Gobierno y Gestión de TIC"/>
          <xsd:enumeration value="Apo. 1.1 Gestión de soluciones de software"/>
          <xsd:enumeration value="Apo. 1.2 Gestión y soporte  de la infraestructura tecnológica  y servicios tecnológicos"/>
          <xsd:enumeration value="Apo. 2.1 Administración de Planta de Personal"/>
          <xsd:enumeration value="Apo. 2.2 Desarrollo de Personal"/>
          <xsd:enumeration value="Apo. 2.3 Gestión de Comisión Interior o Exterior"/>
          <xsd:enumeration value="Apo. 2.4 Generación de la Nómina"/>
          <xsd:enumeration value="Apo. 2.5 Control Disciplinario Interno"/>
          <xsd:enumeration value="Apo. 3 Apoyo a la Gestión Financiera"/>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Apo.1.3 Gobierno y Gestión TIC"/>
          <xsd:enumeration value="Apo.3.4 Apoyo a la Gestión Financiera"/>
        </xsd:restriction>
      </xsd:simpleType>
    </xsd:element>
    <xsd:element name="Nivel" ma:index="6" nillable="true" ma:displayName="Nivel" ma:decimals="0" ma:internalName="Nivel" ma:readOnly="false" ma:percentage="FALSE">
      <xsd:simpleType>
        <xsd:restriction base="dms:Number"/>
      </xsd:simpleType>
    </xsd:element>
    <xsd:element name="Nivel_x0020_Macroproceso" ma:index="7"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element name="_x002e__x003a_Nivel_x003a__x002e_" ma:index="8" nillable="true" ma:displayName=".:Nivel:." ma:default="Apo.3  Documentos Generales - Apoyo a la Gestión Financiera" ma:format="Dropdown" ma:internalName="_x002e__x003a_Nivel_x003a__x002e_" ma:readOnly="false">
      <xsd:simpleType>
        <xsd:restriction base="dms:Choice">
          <xsd:enumeration value="Apo.1 Documentos Generales - Gobierno y Gestión de TIC"/>
          <xsd:enumeration value="Apo.1.Man.1 Marco Gobierno y Estrategia TIC"/>
          <xsd:enumeration value="Apo.1.Man.2 Marco Gobierno y Gestión de la Arquitectura TIC"/>
          <xsd:enumeration value="Apo.1.Man.3 Marco Gobierno Seguridad para la gestión de TIC"/>
          <xsd:enumeration value="Apo.1.Man.4 Marco Adquisiciones Bienes y Servicios TIC"/>
          <xsd:enumeration value="Apo.1.Man.5 Marco Gestión de Portafolio y Gestión del ciclo de vida de los proyectos"/>
          <xsd:enumeration value="Apo.1.Man.6 Marco Gestión de Servicios TIC"/>
          <xsd:enumeration value="Apo.3  Documentos Generales - Apoyo a la Gestión Financiera"/>
          <xsd:enumeration value="Apo.3Pro1 Programación presupuestal y del PAC del MHCP"/>
          <xsd:enumeration value="Apo.3Pro2 Administración de las apropiaciones"/>
          <xsd:enumeration value="Apo.3Pro3 Registro de la Ejecución del Presupuesto y Pago de Obligaciones Financieras"/>
          <xsd:enumeration value="Apo.3Pro4 Seguimiento y Cierre"/>
          <xsd:enumeration value="Apo.3Pro5 Gestión Contable"/>
          <xsd:enumeration value="Apo3.Pro5 Preparación, presentación y publicación de los estados financieros del MHCP"/>
          <xsd:enumeration value="Mis. 3.7 Gestión de Particiones Estatales y Sistemas Cofinanciados de Transporte Masivo"/>
          <xsd:enumeration value="Apo. 4.3 Gestión de Información"/>
          <xsd:enumeration value="Apo.3.4 Apoyo a la Gestión Financiera"/>
          <xsd:enumeration value="Apo.1.3 Documentos Generales - Gobierno y Gestión de TIC"/>
          <xsd:enumeration value="Apo.1.3 Man.1 Marco Gobierno y Estrategia TIC"/>
          <xsd:enumeration value="Apo.1.3 Man.2 Marco Gobierno y Gestión de la Arquitectura TIC"/>
          <xsd:enumeration value="Apo.1.3 Man.3 Marco Gobierno Seguridad para la gestión de TIC"/>
          <xsd:enumeration value="Apo.1.3 Man.4 Marco Adquisiciones Bienes y Servicios TIC"/>
          <xsd:enumeration value="Apo.1.3 Man.5 Marco Gestión de Portafolio y Gestión del ciclo de vida de los proyectos"/>
          <xsd:enumeration value="Apo.1.3 Man.6 Marco Gestión de Servicios TIC"/>
          <xsd:enumeration value="Apo.3.4 Documentos Generales"/>
          <xsd:enumeration value="Apo.3.4.Pro.1 Programación presupuestal y del PAC del MHCP"/>
          <xsd:enumeration value="Apo.3.4.Pro.2 Administración de las apropiaciones"/>
          <xsd:enumeration value="Apo.3.4.Pro.3 Registro de la ejecución del Presupuesto y pago de obligaciones financieras"/>
          <xsd:enumeration value="Apo.3.4.Pro.4 Seguimiento y cierre"/>
          <xsd:enumeration value="Apo.3.4.Pro.5 Preparación, presentación y publicación de los estados financieros del MHCP"/>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Dependencia" ma:index="3"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Dependencia xmlns="82ecf687-28d5-485b-a37e-d2c94b36a158" xsi:nil="true"/>
    <Nivel_x0020_Macroproceso xmlns="554c0496-d6a9-442d-b1d5-d29d33143a01" xsi:nil="true"/>
    <Proceso xmlns="554c0496-d6a9-442d-b1d5-d29d33143a01">Apo. 3 Apoyo a la Gestión Financiera</Proceso>
    <Macroproceso xmlns="554c0496-d6a9-442d-b1d5-d29d33143a01">Gestión Financiera</Macroproceso>
    <Año xmlns="554c0496-d6a9-442d-b1d5-d29d33143a01">2010</Año>
    <Nivel xmlns="554c0496-d6a9-442d-b1d5-d29d33143a01" xsi:nil="true"/>
    <_x002e__x003a_Nivel_x003a__x002e_ xmlns="554c0496-d6a9-442d-b1d5-d29d33143a01">Apo.3  Documentos Generales - Apoyo a la Gestión Financiera</_x002e__x003a_Nivel_x003a__x002e_>
  </documentManagement>
</p:properties>
</file>

<file path=customXml/itemProps1.xml><?xml version="1.0" encoding="utf-8"?>
<ds:datastoreItem xmlns:ds="http://schemas.openxmlformats.org/officeDocument/2006/customXml" ds:itemID="{46D62D98-CD3C-4AE2-8DFC-3D70A28F5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c0496-d6a9-442d-b1d5-d29d33143a01"/>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3D1DF-016A-4AA1-8CF8-3EAC775B9387}">
  <ds:schemaRefs>
    <ds:schemaRef ds:uri="http://schemas.microsoft.com/sharepoint/v3/contenttype/forms"/>
  </ds:schemaRefs>
</ds:datastoreItem>
</file>

<file path=customXml/itemProps3.xml><?xml version="1.0" encoding="utf-8"?>
<ds:datastoreItem xmlns:ds="http://schemas.openxmlformats.org/officeDocument/2006/customXml" ds:itemID="{DE70D524-DD12-4FFD-A8A7-64A2A2C76633}">
  <ds:schemaRefs>
    <ds:schemaRef ds:uri="http://schemas.openxmlformats.org/officeDocument/2006/bibliography"/>
  </ds:schemaRefs>
</ds:datastoreItem>
</file>

<file path=customXml/itemProps4.xml><?xml version="1.0" encoding="utf-8"?>
<ds:datastoreItem xmlns:ds="http://schemas.openxmlformats.org/officeDocument/2006/customXml" ds:itemID="{9F305C70-18D9-42E6-88BC-32BE138D97C0}">
  <ds:schemaRefs>
    <ds:schemaRef ds:uri="http://schemas.microsoft.com/office/2006/metadata/longProperties"/>
  </ds:schemaRefs>
</ds:datastoreItem>
</file>

<file path=customXml/itemProps5.xml><?xml version="1.0" encoding="utf-8"?>
<ds:datastoreItem xmlns:ds="http://schemas.openxmlformats.org/officeDocument/2006/customXml" ds:itemID="{CAA2198E-92FA-44BB-8E40-5818740D16D3}">
  <ds:schemaRefs>
    <ds:schemaRef ds:uri="http://schemas.microsoft.com/office/2006/metadata/properties"/>
    <ds:schemaRef ds:uri="http://schemas.microsoft.com/office/infopath/2007/PartnerControls"/>
    <ds:schemaRef ds:uri="82ecf687-28d5-485b-a37e-d2c94b36a158"/>
    <ds:schemaRef ds:uri="554c0496-d6a9-442d-b1d5-d29d33143a0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41213</Words>
  <Characters>242354</Characters>
  <Application>Microsoft Office Word</Application>
  <DocSecurity>0</DocSecurity>
  <Lines>2019</Lines>
  <Paragraphs>566</Paragraphs>
  <ScaleCrop>false</ScaleCrop>
  <HeadingPairs>
    <vt:vector size="2" baseType="variant">
      <vt:variant>
        <vt:lpstr>Título</vt:lpstr>
      </vt:variant>
      <vt:variant>
        <vt:i4>1</vt:i4>
      </vt:variant>
    </vt:vector>
  </HeadingPairs>
  <TitlesOfParts>
    <vt:vector size="1" baseType="lpstr">
      <vt:lpstr>1</vt:lpstr>
    </vt:vector>
  </TitlesOfParts>
  <Company>Ministerio de Hacienda y Crédito Público</Company>
  <LinksUpToDate>false</LinksUpToDate>
  <CharactersWithSpaces>283001</CharactersWithSpaces>
  <SharedDoc>false</SharedDoc>
  <HLinks>
    <vt:vector size="378" baseType="variant">
      <vt:variant>
        <vt:i4>7471155</vt:i4>
      </vt:variant>
      <vt:variant>
        <vt:i4>336</vt:i4>
      </vt:variant>
      <vt:variant>
        <vt:i4>0</vt:i4>
      </vt:variant>
      <vt:variant>
        <vt:i4>5</vt:i4>
      </vt:variant>
      <vt:variant>
        <vt:lpwstr>http://www.minhacienda.gov.co/</vt:lpwstr>
      </vt:variant>
      <vt:variant>
        <vt:lpwstr/>
      </vt:variant>
      <vt:variant>
        <vt:i4>7471155</vt:i4>
      </vt:variant>
      <vt:variant>
        <vt:i4>333</vt:i4>
      </vt:variant>
      <vt:variant>
        <vt:i4>0</vt:i4>
      </vt:variant>
      <vt:variant>
        <vt:i4>5</vt:i4>
      </vt:variant>
      <vt:variant>
        <vt:lpwstr>http://www.minhacienda.gov.co/</vt:lpwstr>
      </vt:variant>
      <vt:variant>
        <vt:lpwstr/>
      </vt:variant>
      <vt:variant>
        <vt:i4>7471155</vt:i4>
      </vt:variant>
      <vt:variant>
        <vt:i4>327</vt:i4>
      </vt:variant>
      <vt:variant>
        <vt:i4>0</vt:i4>
      </vt:variant>
      <vt:variant>
        <vt:i4>5</vt:i4>
      </vt:variant>
      <vt:variant>
        <vt:lpwstr>http://www.minhacienda.gov.co/</vt:lpwstr>
      </vt:variant>
      <vt:variant>
        <vt:lpwstr/>
      </vt:variant>
      <vt:variant>
        <vt:i4>2359303</vt:i4>
      </vt:variant>
      <vt:variant>
        <vt:i4>320</vt:i4>
      </vt:variant>
      <vt:variant>
        <vt:i4>0</vt:i4>
      </vt:variant>
      <vt:variant>
        <vt:i4>5</vt:i4>
      </vt:variant>
      <vt:variant>
        <vt:lpwstr/>
      </vt:variant>
      <vt:variant>
        <vt:lpwstr>_Toc789398</vt:lpwstr>
      </vt:variant>
      <vt:variant>
        <vt:i4>2818055</vt:i4>
      </vt:variant>
      <vt:variant>
        <vt:i4>314</vt:i4>
      </vt:variant>
      <vt:variant>
        <vt:i4>0</vt:i4>
      </vt:variant>
      <vt:variant>
        <vt:i4>5</vt:i4>
      </vt:variant>
      <vt:variant>
        <vt:lpwstr/>
      </vt:variant>
      <vt:variant>
        <vt:lpwstr>_Toc789397</vt:lpwstr>
      </vt:variant>
      <vt:variant>
        <vt:i4>2752519</vt:i4>
      </vt:variant>
      <vt:variant>
        <vt:i4>308</vt:i4>
      </vt:variant>
      <vt:variant>
        <vt:i4>0</vt:i4>
      </vt:variant>
      <vt:variant>
        <vt:i4>5</vt:i4>
      </vt:variant>
      <vt:variant>
        <vt:lpwstr/>
      </vt:variant>
      <vt:variant>
        <vt:lpwstr>_Toc789396</vt:lpwstr>
      </vt:variant>
      <vt:variant>
        <vt:i4>2686983</vt:i4>
      </vt:variant>
      <vt:variant>
        <vt:i4>302</vt:i4>
      </vt:variant>
      <vt:variant>
        <vt:i4>0</vt:i4>
      </vt:variant>
      <vt:variant>
        <vt:i4>5</vt:i4>
      </vt:variant>
      <vt:variant>
        <vt:lpwstr/>
      </vt:variant>
      <vt:variant>
        <vt:lpwstr>_Toc789395</vt:lpwstr>
      </vt:variant>
      <vt:variant>
        <vt:i4>2621447</vt:i4>
      </vt:variant>
      <vt:variant>
        <vt:i4>296</vt:i4>
      </vt:variant>
      <vt:variant>
        <vt:i4>0</vt:i4>
      </vt:variant>
      <vt:variant>
        <vt:i4>5</vt:i4>
      </vt:variant>
      <vt:variant>
        <vt:lpwstr/>
      </vt:variant>
      <vt:variant>
        <vt:lpwstr>_Toc789394</vt:lpwstr>
      </vt:variant>
      <vt:variant>
        <vt:i4>3080199</vt:i4>
      </vt:variant>
      <vt:variant>
        <vt:i4>290</vt:i4>
      </vt:variant>
      <vt:variant>
        <vt:i4>0</vt:i4>
      </vt:variant>
      <vt:variant>
        <vt:i4>5</vt:i4>
      </vt:variant>
      <vt:variant>
        <vt:lpwstr/>
      </vt:variant>
      <vt:variant>
        <vt:lpwstr>_Toc789393</vt:lpwstr>
      </vt:variant>
      <vt:variant>
        <vt:i4>3014663</vt:i4>
      </vt:variant>
      <vt:variant>
        <vt:i4>284</vt:i4>
      </vt:variant>
      <vt:variant>
        <vt:i4>0</vt:i4>
      </vt:variant>
      <vt:variant>
        <vt:i4>5</vt:i4>
      </vt:variant>
      <vt:variant>
        <vt:lpwstr/>
      </vt:variant>
      <vt:variant>
        <vt:lpwstr>_Toc789392</vt:lpwstr>
      </vt:variant>
      <vt:variant>
        <vt:i4>2949127</vt:i4>
      </vt:variant>
      <vt:variant>
        <vt:i4>278</vt:i4>
      </vt:variant>
      <vt:variant>
        <vt:i4>0</vt:i4>
      </vt:variant>
      <vt:variant>
        <vt:i4>5</vt:i4>
      </vt:variant>
      <vt:variant>
        <vt:lpwstr/>
      </vt:variant>
      <vt:variant>
        <vt:lpwstr>_Toc789391</vt:lpwstr>
      </vt:variant>
      <vt:variant>
        <vt:i4>2883591</vt:i4>
      </vt:variant>
      <vt:variant>
        <vt:i4>272</vt:i4>
      </vt:variant>
      <vt:variant>
        <vt:i4>0</vt:i4>
      </vt:variant>
      <vt:variant>
        <vt:i4>5</vt:i4>
      </vt:variant>
      <vt:variant>
        <vt:lpwstr/>
      </vt:variant>
      <vt:variant>
        <vt:lpwstr>_Toc789390</vt:lpwstr>
      </vt:variant>
      <vt:variant>
        <vt:i4>2424838</vt:i4>
      </vt:variant>
      <vt:variant>
        <vt:i4>266</vt:i4>
      </vt:variant>
      <vt:variant>
        <vt:i4>0</vt:i4>
      </vt:variant>
      <vt:variant>
        <vt:i4>5</vt:i4>
      </vt:variant>
      <vt:variant>
        <vt:lpwstr/>
      </vt:variant>
      <vt:variant>
        <vt:lpwstr>_Toc789389</vt:lpwstr>
      </vt:variant>
      <vt:variant>
        <vt:i4>2359302</vt:i4>
      </vt:variant>
      <vt:variant>
        <vt:i4>260</vt:i4>
      </vt:variant>
      <vt:variant>
        <vt:i4>0</vt:i4>
      </vt:variant>
      <vt:variant>
        <vt:i4>5</vt:i4>
      </vt:variant>
      <vt:variant>
        <vt:lpwstr/>
      </vt:variant>
      <vt:variant>
        <vt:lpwstr>_Toc789388</vt:lpwstr>
      </vt:variant>
      <vt:variant>
        <vt:i4>2818054</vt:i4>
      </vt:variant>
      <vt:variant>
        <vt:i4>254</vt:i4>
      </vt:variant>
      <vt:variant>
        <vt:i4>0</vt:i4>
      </vt:variant>
      <vt:variant>
        <vt:i4>5</vt:i4>
      </vt:variant>
      <vt:variant>
        <vt:lpwstr/>
      </vt:variant>
      <vt:variant>
        <vt:lpwstr>_Toc789387</vt:lpwstr>
      </vt:variant>
      <vt:variant>
        <vt:i4>2752518</vt:i4>
      </vt:variant>
      <vt:variant>
        <vt:i4>248</vt:i4>
      </vt:variant>
      <vt:variant>
        <vt:i4>0</vt:i4>
      </vt:variant>
      <vt:variant>
        <vt:i4>5</vt:i4>
      </vt:variant>
      <vt:variant>
        <vt:lpwstr/>
      </vt:variant>
      <vt:variant>
        <vt:lpwstr>_Toc789386</vt:lpwstr>
      </vt:variant>
      <vt:variant>
        <vt:i4>2686982</vt:i4>
      </vt:variant>
      <vt:variant>
        <vt:i4>242</vt:i4>
      </vt:variant>
      <vt:variant>
        <vt:i4>0</vt:i4>
      </vt:variant>
      <vt:variant>
        <vt:i4>5</vt:i4>
      </vt:variant>
      <vt:variant>
        <vt:lpwstr/>
      </vt:variant>
      <vt:variant>
        <vt:lpwstr>_Toc789385</vt:lpwstr>
      </vt:variant>
      <vt:variant>
        <vt:i4>2621446</vt:i4>
      </vt:variant>
      <vt:variant>
        <vt:i4>236</vt:i4>
      </vt:variant>
      <vt:variant>
        <vt:i4>0</vt:i4>
      </vt:variant>
      <vt:variant>
        <vt:i4>5</vt:i4>
      </vt:variant>
      <vt:variant>
        <vt:lpwstr/>
      </vt:variant>
      <vt:variant>
        <vt:lpwstr>_Toc789384</vt:lpwstr>
      </vt:variant>
      <vt:variant>
        <vt:i4>3080198</vt:i4>
      </vt:variant>
      <vt:variant>
        <vt:i4>230</vt:i4>
      </vt:variant>
      <vt:variant>
        <vt:i4>0</vt:i4>
      </vt:variant>
      <vt:variant>
        <vt:i4>5</vt:i4>
      </vt:variant>
      <vt:variant>
        <vt:lpwstr/>
      </vt:variant>
      <vt:variant>
        <vt:lpwstr>_Toc789383</vt:lpwstr>
      </vt:variant>
      <vt:variant>
        <vt:i4>3014662</vt:i4>
      </vt:variant>
      <vt:variant>
        <vt:i4>224</vt:i4>
      </vt:variant>
      <vt:variant>
        <vt:i4>0</vt:i4>
      </vt:variant>
      <vt:variant>
        <vt:i4>5</vt:i4>
      </vt:variant>
      <vt:variant>
        <vt:lpwstr/>
      </vt:variant>
      <vt:variant>
        <vt:lpwstr>_Toc789382</vt:lpwstr>
      </vt:variant>
      <vt:variant>
        <vt:i4>2949126</vt:i4>
      </vt:variant>
      <vt:variant>
        <vt:i4>218</vt:i4>
      </vt:variant>
      <vt:variant>
        <vt:i4>0</vt:i4>
      </vt:variant>
      <vt:variant>
        <vt:i4>5</vt:i4>
      </vt:variant>
      <vt:variant>
        <vt:lpwstr/>
      </vt:variant>
      <vt:variant>
        <vt:lpwstr>_Toc789381</vt:lpwstr>
      </vt:variant>
      <vt:variant>
        <vt:i4>2883590</vt:i4>
      </vt:variant>
      <vt:variant>
        <vt:i4>212</vt:i4>
      </vt:variant>
      <vt:variant>
        <vt:i4>0</vt:i4>
      </vt:variant>
      <vt:variant>
        <vt:i4>5</vt:i4>
      </vt:variant>
      <vt:variant>
        <vt:lpwstr/>
      </vt:variant>
      <vt:variant>
        <vt:lpwstr>_Toc789380</vt:lpwstr>
      </vt:variant>
      <vt:variant>
        <vt:i4>2424841</vt:i4>
      </vt:variant>
      <vt:variant>
        <vt:i4>206</vt:i4>
      </vt:variant>
      <vt:variant>
        <vt:i4>0</vt:i4>
      </vt:variant>
      <vt:variant>
        <vt:i4>5</vt:i4>
      </vt:variant>
      <vt:variant>
        <vt:lpwstr/>
      </vt:variant>
      <vt:variant>
        <vt:lpwstr>_Toc789379</vt:lpwstr>
      </vt:variant>
      <vt:variant>
        <vt:i4>2359305</vt:i4>
      </vt:variant>
      <vt:variant>
        <vt:i4>200</vt:i4>
      </vt:variant>
      <vt:variant>
        <vt:i4>0</vt:i4>
      </vt:variant>
      <vt:variant>
        <vt:i4>5</vt:i4>
      </vt:variant>
      <vt:variant>
        <vt:lpwstr/>
      </vt:variant>
      <vt:variant>
        <vt:lpwstr>_Toc789378</vt:lpwstr>
      </vt:variant>
      <vt:variant>
        <vt:i4>2818057</vt:i4>
      </vt:variant>
      <vt:variant>
        <vt:i4>194</vt:i4>
      </vt:variant>
      <vt:variant>
        <vt:i4>0</vt:i4>
      </vt:variant>
      <vt:variant>
        <vt:i4>5</vt:i4>
      </vt:variant>
      <vt:variant>
        <vt:lpwstr/>
      </vt:variant>
      <vt:variant>
        <vt:lpwstr>_Toc789377</vt:lpwstr>
      </vt:variant>
      <vt:variant>
        <vt:i4>2752521</vt:i4>
      </vt:variant>
      <vt:variant>
        <vt:i4>188</vt:i4>
      </vt:variant>
      <vt:variant>
        <vt:i4>0</vt:i4>
      </vt:variant>
      <vt:variant>
        <vt:i4>5</vt:i4>
      </vt:variant>
      <vt:variant>
        <vt:lpwstr/>
      </vt:variant>
      <vt:variant>
        <vt:lpwstr>_Toc789376</vt:lpwstr>
      </vt:variant>
      <vt:variant>
        <vt:i4>2686985</vt:i4>
      </vt:variant>
      <vt:variant>
        <vt:i4>182</vt:i4>
      </vt:variant>
      <vt:variant>
        <vt:i4>0</vt:i4>
      </vt:variant>
      <vt:variant>
        <vt:i4>5</vt:i4>
      </vt:variant>
      <vt:variant>
        <vt:lpwstr/>
      </vt:variant>
      <vt:variant>
        <vt:lpwstr>_Toc789375</vt:lpwstr>
      </vt:variant>
      <vt:variant>
        <vt:i4>2621449</vt:i4>
      </vt:variant>
      <vt:variant>
        <vt:i4>176</vt:i4>
      </vt:variant>
      <vt:variant>
        <vt:i4>0</vt:i4>
      </vt:variant>
      <vt:variant>
        <vt:i4>5</vt:i4>
      </vt:variant>
      <vt:variant>
        <vt:lpwstr/>
      </vt:variant>
      <vt:variant>
        <vt:lpwstr>_Toc789374</vt:lpwstr>
      </vt:variant>
      <vt:variant>
        <vt:i4>3080201</vt:i4>
      </vt:variant>
      <vt:variant>
        <vt:i4>170</vt:i4>
      </vt:variant>
      <vt:variant>
        <vt:i4>0</vt:i4>
      </vt:variant>
      <vt:variant>
        <vt:i4>5</vt:i4>
      </vt:variant>
      <vt:variant>
        <vt:lpwstr/>
      </vt:variant>
      <vt:variant>
        <vt:lpwstr>_Toc789373</vt:lpwstr>
      </vt:variant>
      <vt:variant>
        <vt:i4>3014665</vt:i4>
      </vt:variant>
      <vt:variant>
        <vt:i4>164</vt:i4>
      </vt:variant>
      <vt:variant>
        <vt:i4>0</vt:i4>
      </vt:variant>
      <vt:variant>
        <vt:i4>5</vt:i4>
      </vt:variant>
      <vt:variant>
        <vt:lpwstr/>
      </vt:variant>
      <vt:variant>
        <vt:lpwstr>_Toc789372</vt:lpwstr>
      </vt:variant>
      <vt:variant>
        <vt:i4>2949129</vt:i4>
      </vt:variant>
      <vt:variant>
        <vt:i4>158</vt:i4>
      </vt:variant>
      <vt:variant>
        <vt:i4>0</vt:i4>
      </vt:variant>
      <vt:variant>
        <vt:i4>5</vt:i4>
      </vt:variant>
      <vt:variant>
        <vt:lpwstr/>
      </vt:variant>
      <vt:variant>
        <vt:lpwstr>_Toc789371</vt:lpwstr>
      </vt:variant>
      <vt:variant>
        <vt:i4>2883593</vt:i4>
      </vt:variant>
      <vt:variant>
        <vt:i4>152</vt:i4>
      </vt:variant>
      <vt:variant>
        <vt:i4>0</vt:i4>
      </vt:variant>
      <vt:variant>
        <vt:i4>5</vt:i4>
      </vt:variant>
      <vt:variant>
        <vt:lpwstr/>
      </vt:variant>
      <vt:variant>
        <vt:lpwstr>_Toc789370</vt:lpwstr>
      </vt:variant>
      <vt:variant>
        <vt:i4>2424840</vt:i4>
      </vt:variant>
      <vt:variant>
        <vt:i4>146</vt:i4>
      </vt:variant>
      <vt:variant>
        <vt:i4>0</vt:i4>
      </vt:variant>
      <vt:variant>
        <vt:i4>5</vt:i4>
      </vt:variant>
      <vt:variant>
        <vt:lpwstr/>
      </vt:variant>
      <vt:variant>
        <vt:lpwstr>_Toc789369</vt:lpwstr>
      </vt:variant>
      <vt:variant>
        <vt:i4>2359304</vt:i4>
      </vt:variant>
      <vt:variant>
        <vt:i4>140</vt:i4>
      </vt:variant>
      <vt:variant>
        <vt:i4>0</vt:i4>
      </vt:variant>
      <vt:variant>
        <vt:i4>5</vt:i4>
      </vt:variant>
      <vt:variant>
        <vt:lpwstr/>
      </vt:variant>
      <vt:variant>
        <vt:lpwstr>_Toc789368</vt:lpwstr>
      </vt:variant>
      <vt:variant>
        <vt:i4>2818056</vt:i4>
      </vt:variant>
      <vt:variant>
        <vt:i4>134</vt:i4>
      </vt:variant>
      <vt:variant>
        <vt:i4>0</vt:i4>
      </vt:variant>
      <vt:variant>
        <vt:i4>5</vt:i4>
      </vt:variant>
      <vt:variant>
        <vt:lpwstr/>
      </vt:variant>
      <vt:variant>
        <vt:lpwstr>_Toc789367</vt:lpwstr>
      </vt:variant>
      <vt:variant>
        <vt:i4>2752520</vt:i4>
      </vt:variant>
      <vt:variant>
        <vt:i4>128</vt:i4>
      </vt:variant>
      <vt:variant>
        <vt:i4>0</vt:i4>
      </vt:variant>
      <vt:variant>
        <vt:i4>5</vt:i4>
      </vt:variant>
      <vt:variant>
        <vt:lpwstr/>
      </vt:variant>
      <vt:variant>
        <vt:lpwstr>_Toc789366</vt:lpwstr>
      </vt:variant>
      <vt:variant>
        <vt:i4>2686984</vt:i4>
      </vt:variant>
      <vt:variant>
        <vt:i4>122</vt:i4>
      </vt:variant>
      <vt:variant>
        <vt:i4>0</vt:i4>
      </vt:variant>
      <vt:variant>
        <vt:i4>5</vt:i4>
      </vt:variant>
      <vt:variant>
        <vt:lpwstr/>
      </vt:variant>
      <vt:variant>
        <vt:lpwstr>_Toc789365</vt:lpwstr>
      </vt:variant>
      <vt:variant>
        <vt:i4>2621448</vt:i4>
      </vt:variant>
      <vt:variant>
        <vt:i4>116</vt:i4>
      </vt:variant>
      <vt:variant>
        <vt:i4>0</vt:i4>
      </vt:variant>
      <vt:variant>
        <vt:i4>5</vt:i4>
      </vt:variant>
      <vt:variant>
        <vt:lpwstr/>
      </vt:variant>
      <vt:variant>
        <vt:lpwstr>_Toc789364</vt:lpwstr>
      </vt:variant>
      <vt:variant>
        <vt:i4>3080200</vt:i4>
      </vt:variant>
      <vt:variant>
        <vt:i4>110</vt:i4>
      </vt:variant>
      <vt:variant>
        <vt:i4>0</vt:i4>
      </vt:variant>
      <vt:variant>
        <vt:i4>5</vt:i4>
      </vt:variant>
      <vt:variant>
        <vt:lpwstr/>
      </vt:variant>
      <vt:variant>
        <vt:lpwstr>_Toc789363</vt:lpwstr>
      </vt:variant>
      <vt:variant>
        <vt:i4>3014664</vt:i4>
      </vt:variant>
      <vt:variant>
        <vt:i4>104</vt:i4>
      </vt:variant>
      <vt:variant>
        <vt:i4>0</vt:i4>
      </vt:variant>
      <vt:variant>
        <vt:i4>5</vt:i4>
      </vt:variant>
      <vt:variant>
        <vt:lpwstr/>
      </vt:variant>
      <vt:variant>
        <vt:lpwstr>_Toc789362</vt:lpwstr>
      </vt:variant>
      <vt:variant>
        <vt:i4>2949128</vt:i4>
      </vt:variant>
      <vt:variant>
        <vt:i4>98</vt:i4>
      </vt:variant>
      <vt:variant>
        <vt:i4>0</vt:i4>
      </vt:variant>
      <vt:variant>
        <vt:i4>5</vt:i4>
      </vt:variant>
      <vt:variant>
        <vt:lpwstr/>
      </vt:variant>
      <vt:variant>
        <vt:lpwstr>_Toc789361</vt:lpwstr>
      </vt:variant>
      <vt:variant>
        <vt:i4>2883592</vt:i4>
      </vt:variant>
      <vt:variant>
        <vt:i4>92</vt:i4>
      </vt:variant>
      <vt:variant>
        <vt:i4>0</vt:i4>
      </vt:variant>
      <vt:variant>
        <vt:i4>5</vt:i4>
      </vt:variant>
      <vt:variant>
        <vt:lpwstr/>
      </vt:variant>
      <vt:variant>
        <vt:lpwstr>_Toc789360</vt:lpwstr>
      </vt:variant>
      <vt:variant>
        <vt:i4>2424843</vt:i4>
      </vt:variant>
      <vt:variant>
        <vt:i4>86</vt:i4>
      </vt:variant>
      <vt:variant>
        <vt:i4>0</vt:i4>
      </vt:variant>
      <vt:variant>
        <vt:i4>5</vt:i4>
      </vt:variant>
      <vt:variant>
        <vt:lpwstr/>
      </vt:variant>
      <vt:variant>
        <vt:lpwstr>_Toc789359</vt:lpwstr>
      </vt:variant>
      <vt:variant>
        <vt:i4>2359307</vt:i4>
      </vt:variant>
      <vt:variant>
        <vt:i4>80</vt:i4>
      </vt:variant>
      <vt:variant>
        <vt:i4>0</vt:i4>
      </vt:variant>
      <vt:variant>
        <vt:i4>5</vt:i4>
      </vt:variant>
      <vt:variant>
        <vt:lpwstr/>
      </vt:variant>
      <vt:variant>
        <vt:lpwstr>_Toc789358</vt:lpwstr>
      </vt:variant>
      <vt:variant>
        <vt:i4>2818059</vt:i4>
      </vt:variant>
      <vt:variant>
        <vt:i4>74</vt:i4>
      </vt:variant>
      <vt:variant>
        <vt:i4>0</vt:i4>
      </vt:variant>
      <vt:variant>
        <vt:i4>5</vt:i4>
      </vt:variant>
      <vt:variant>
        <vt:lpwstr/>
      </vt:variant>
      <vt:variant>
        <vt:lpwstr>_Toc789357</vt:lpwstr>
      </vt:variant>
      <vt:variant>
        <vt:i4>2752523</vt:i4>
      </vt:variant>
      <vt:variant>
        <vt:i4>68</vt:i4>
      </vt:variant>
      <vt:variant>
        <vt:i4>0</vt:i4>
      </vt:variant>
      <vt:variant>
        <vt:i4>5</vt:i4>
      </vt:variant>
      <vt:variant>
        <vt:lpwstr/>
      </vt:variant>
      <vt:variant>
        <vt:lpwstr>_Toc789356</vt:lpwstr>
      </vt:variant>
      <vt:variant>
        <vt:i4>2686987</vt:i4>
      </vt:variant>
      <vt:variant>
        <vt:i4>62</vt:i4>
      </vt:variant>
      <vt:variant>
        <vt:i4>0</vt:i4>
      </vt:variant>
      <vt:variant>
        <vt:i4>5</vt:i4>
      </vt:variant>
      <vt:variant>
        <vt:lpwstr/>
      </vt:variant>
      <vt:variant>
        <vt:lpwstr>_Toc789355</vt:lpwstr>
      </vt:variant>
      <vt:variant>
        <vt:i4>2621451</vt:i4>
      </vt:variant>
      <vt:variant>
        <vt:i4>56</vt:i4>
      </vt:variant>
      <vt:variant>
        <vt:i4>0</vt:i4>
      </vt:variant>
      <vt:variant>
        <vt:i4>5</vt:i4>
      </vt:variant>
      <vt:variant>
        <vt:lpwstr/>
      </vt:variant>
      <vt:variant>
        <vt:lpwstr>_Toc789354</vt:lpwstr>
      </vt:variant>
      <vt:variant>
        <vt:i4>3080203</vt:i4>
      </vt:variant>
      <vt:variant>
        <vt:i4>50</vt:i4>
      </vt:variant>
      <vt:variant>
        <vt:i4>0</vt:i4>
      </vt:variant>
      <vt:variant>
        <vt:i4>5</vt:i4>
      </vt:variant>
      <vt:variant>
        <vt:lpwstr/>
      </vt:variant>
      <vt:variant>
        <vt:lpwstr>_Toc789353</vt:lpwstr>
      </vt:variant>
      <vt:variant>
        <vt:i4>3014667</vt:i4>
      </vt:variant>
      <vt:variant>
        <vt:i4>44</vt:i4>
      </vt:variant>
      <vt:variant>
        <vt:i4>0</vt:i4>
      </vt:variant>
      <vt:variant>
        <vt:i4>5</vt:i4>
      </vt:variant>
      <vt:variant>
        <vt:lpwstr/>
      </vt:variant>
      <vt:variant>
        <vt:lpwstr>_Toc789352</vt:lpwstr>
      </vt:variant>
      <vt:variant>
        <vt:i4>2949131</vt:i4>
      </vt:variant>
      <vt:variant>
        <vt:i4>38</vt:i4>
      </vt:variant>
      <vt:variant>
        <vt:i4>0</vt:i4>
      </vt:variant>
      <vt:variant>
        <vt:i4>5</vt:i4>
      </vt:variant>
      <vt:variant>
        <vt:lpwstr/>
      </vt:variant>
      <vt:variant>
        <vt:lpwstr>_Toc789351</vt:lpwstr>
      </vt:variant>
      <vt:variant>
        <vt:i4>2883595</vt:i4>
      </vt:variant>
      <vt:variant>
        <vt:i4>32</vt:i4>
      </vt:variant>
      <vt:variant>
        <vt:i4>0</vt:i4>
      </vt:variant>
      <vt:variant>
        <vt:i4>5</vt:i4>
      </vt:variant>
      <vt:variant>
        <vt:lpwstr/>
      </vt:variant>
      <vt:variant>
        <vt:lpwstr>_Toc789350</vt:lpwstr>
      </vt:variant>
      <vt:variant>
        <vt:i4>2424842</vt:i4>
      </vt:variant>
      <vt:variant>
        <vt:i4>26</vt:i4>
      </vt:variant>
      <vt:variant>
        <vt:i4>0</vt:i4>
      </vt:variant>
      <vt:variant>
        <vt:i4>5</vt:i4>
      </vt:variant>
      <vt:variant>
        <vt:lpwstr/>
      </vt:variant>
      <vt:variant>
        <vt:lpwstr>_Toc789349</vt:lpwstr>
      </vt:variant>
      <vt:variant>
        <vt:i4>2359306</vt:i4>
      </vt:variant>
      <vt:variant>
        <vt:i4>20</vt:i4>
      </vt:variant>
      <vt:variant>
        <vt:i4>0</vt:i4>
      </vt:variant>
      <vt:variant>
        <vt:i4>5</vt:i4>
      </vt:variant>
      <vt:variant>
        <vt:lpwstr/>
      </vt:variant>
      <vt:variant>
        <vt:lpwstr>_Toc789348</vt:lpwstr>
      </vt:variant>
      <vt:variant>
        <vt:i4>2818058</vt:i4>
      </vt:variant>
      <vt:variant>
        <vt:i4>14</vt:i4>
      </vt:variant>
      <vt:variant>
        <vt:i4>0</vt:i4>
      </vt:variant>
      <vt:variant>
        <vt:i4>5</vt:i4>
      </vt:variant>
      <vt:variant>
        <vt:lpwstr/>
      </vt:variant>
      <vt:variant>
        <vt:lpwstr>_Toc789347</vt:lpwstr>
      </vt:variant>
      <vt:variant>
        <vt:i4>2752522</vt:i4>
      </vt:variant>
      <vt:variant>
        <vt:i4>8</vt:i4>
      </vt:variant>
      <vt:variant>
        <vt:i4>0</vt:i4>
      </vt:variant>
      <vt:variant>
        <vt:i4>5</vt:i4>
      </vt:variant>
      <vt:variant>
        <vt:lpwstr/>
      </vt:variant>
      <vt:variant>
        <vt:lpwstr>_Toc789346</vt:lpwstr>
      </vt:variant>
      <vt:variant>
        <vt:i4>2686986</vt:i4>
      </vt:variant>
      <vt:variant>
        <vt:i4>2</vt:i4>
      </vt:variant>
      <vt:variant>
        <vt:i4>0</vt:i4>
      </vt:variant>
      <vt:variant>
        <vt:i4>5</vt:i4>
      </vt:variant>
      <vt:variant>
        <vt:lpwstr/>
      </vt:variant>
      <vt:variant>
        <vt:lpwstr>_Toc789345</vt:lpwstr>
      </vt:variant>
      <vt:variant>
        <vt:i4>7078010</vt:i4>
      </vt:variant>
      <vt:variant>
        <vt:i4>15</vt:i4>
      </vt:variant>
      <vt:variant>
        <vt:i4>0</vt:i4>
      </vt:variant>
      <vt:variant>
        <vt:i4>5</vt:i4>
      </vt:variant>
      <vt:variant>
        <vt:lpwstr>http://www.contaduria.gov.co/wps/portal/internetes/home/internet/productos/reglas-de-eliminacion/!ut/p/b1/04_Sj9CPykssy0xPLMnMz0vMAfGjzOINzPyDTEPdQoONTA1MDBwNTA0tTYL8jAwCTIAKIkEKcABHA0L6_Tzyc1P1C3IjygHTUGxv/dl4/d5/L2dJQSEvUUt3QS80SmtFL1o2XzA2T1I1VUZVU0k3TDMwSVJQU0RRVTczQ0Q3/</vt:lpwstr>
      </vt:variant>
      <vt:variant>
        <vt:lpwstr/>
      </vt:variant>
      <vt:variant>
        <vt:i4>8060977</vt:i4>
      </vt:variant>
      <vt:variant>
        <vt:i4>12</vt:i4>
      </vt:variant>
      <vt:variant>
        <vt:i4>0</vt:i4>
      </vt:variant>
      <vt:variant>
        <vt:i4>5</vt:i4>
      </vt:variant>
      <vt:variant>
        <vt:lpwstr>http://www.contaduria.gov.co/wps/wcm/connect/72fc056f-e264-4bb4-990c-faf6b4585027/impelmntac++BENEFDED+-dic+9+de+2015+git+mcpr.pdf?MOD=AJPERES&amp;CACHEID=72fc056f-e264-4bb4-990c-faf6b4585027</vt:lpwstr>
      </vt:variant>
      <vt:variant>
        <vt:lpwstr/>
      </vt:variant>
      <vt:variant>
        <vt:i4>6422640</vt:i4>
      </vt:variant>
      <vt:variant>
        <vt:i4>9</vt:i4>
      </vt:variant>
      <vt:variant>
        <vt:i4>0</vt:i4>
      </vt:variant>
      <vt:variant>
        <vt:i4>5</vt:i4>
      </vt:variant>
      <vt:variant>
        <vt:lpwstr>http://www.contaduria.gov.co/wps/wcm/connect/7d9c470f-594d-4141-8818-1b5271cb0e4c/PROCEDIMIENTO%2BGMF%2Bmarzo%2B17%2Bde%2B2014.pdf?MOD=AJPERES&amp;CACHEID=7d9c470f-594d-4141-8818-1b5271cb0e4c</vt:lpwstr>
      </vt:variant>
      <vt:variant>
        <vt:lpwstr/>
      </vt:variant>
      <vt:variant>
        <vt:i4>7667752</vt:i4>
      </vt:variant>
      <vt:variant>
        <vt:i4>6</vt:i4>
      </vt:variant>
      <vt:variant>
        <vt:i4>0</vt:i4>
      </vt:variant>
      <vt:variant>
        <vt:i4>5</vt:i4>
      </vt:variant>
      <vt:variant>
        <vt:lpwstr>http://www.contaduria.gov.co/wps/wcm/connect/9f8be6e7-957d-4139-9619-747991d5a823/PROCEDIMIENTO+CONTABLE+DE+CAJA+MENOR+EN+SIIF-NACI%C3%93N.pdf?MOD=AJPERES&amp;CACHEID=9f8be6e7-957d-4139-9619-747991d5a823</vt:lpwstr>
      </vt:variant>
      <vt:variant>
        <vt:lpwstr/>
      </vt:variant>
      <vt:variant>
        <vt:i4>852050</vt:i4>
      </vt:variant>
      <vt:variant>
        <vt:i4>3</vt:i4>
      </vt:variant>
      <vt:variant>
        <vt:i4>0</vt:i4>
      </vt:variant>
      <vt:variant>
        <vt:i4>5</vt:i4>
      </vt:variant>
      <vt:variant>
        <vt:lpwstr>http://www.contaduria.gov.co/wps/portal/internetes/!ut/p/b1/04_Sj9CPykssy0xPLMnMz0vMAfGjzOINzPyDTEPdQoONTA1MDBwNTA0tTYL8jAwCTIAKIkEKcABHA0L6_Tzyc1P1C3IjygHTUGxv/dl4/d5/L2dJQSEvUUt3QS80SmtFL1o2XzA2T1I1VUZVU1ExQUUwQUtBS05HUkoxMEsy/</vt:lpwstr>
      </vt:variant>
      <vt:variant>
        <vt:lpwstr/>
      </vt:variant>
      <vt:variant>
        <vt:i4>6815792</vt:i4>
      </vt:variant>
      <vt:variant>
        <vt:i4>0</vt:i4>
      </vt:variant>
      <vt:variant>
        <vt:i4>0</vt:i4>
      </vt:variant>
      <vt:variant>
        <vt:i4>5</vt:i4>
      </vt:variant>
      <vt:variant>
        <vt:lpwstr>http://www.minhacienda.gov.co/HomeMinhacienda/ShowProperty?nodeId=%2FOCS%2FP_MHCP_WCC-100508%2F%2FidcPrimaryFile&amp;revision=latestreleased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dc:description/>
  <cp:lastModifiedBy>Yeinmy Yolanda Rozo Morales</cp:lastModifiedBy>
  <cp:revision>2</cp:revision>
  <cp:lastPrinted>2019-12-26T20:48:00Z</cp:lastPrinted>
  <dcterms:created xsi:type="dcterms:W3CDTF">2020-12-22T20:39:00Z</dcterms:created>
  <dcterms:modified xsi:type="dcterms:W3CDTF">2020-12-22T20:39:00Z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KR33XJ2DTYQK-62-2899</vt:lpwstr>
  </property>
  <property fmtid="{D5CDD505-2E9C-101B-9397-08002B2CF9AE}" pid="3" name="_dlc_DocIdItemGuid">
    <vt:lpwstr>219ef0ad-0e5a-4bec-ab2f-915b9f3d448a</vt:lpwstr>
  </property>
  <property fmtid="{D5CDD505-2E9C-101B-9397-08002B2CF9AE}" pid="4" name="_dlc_DocIdUrl">
    <vt:lpwstr>http://mintranet/sug/_layouts/DocIdRedir.aspx?ID=KR33XJ2DTYQK-62-2899, KR33XJ2DTYQK-62-2899</vt:lpwstr>
  </property>
  <property fmtid="{D5CDD505-2E9C-101B-9397-08002B2CF9AE}" pid="5" name="Versión Documento">
    <vt:lpwstr/>
  </property>
  <property fmtid="{D5CDD505-2E9C-101B-9397-08002B2CF9AE}" pid="6" name="Formato Documento">
    <vt:lpwstr/>
  </property>
  <property fmtid="{D5CDD505-2E9C-101B-9397-08002B2CF9AE}" pid="7" name="Idioma Documento">
    <vt:lpwstr>Español</vt:lpwstr>
  </property>
  <property fmtid="{D5CDD505-2E9C-101B-9397-08002B2CF9AE}" pid="8" name="Palabras Claves">
    <vt:lpwstr/>
  </property>
  <property fmtid="{D5CDD505-2E9C-101B-9397-08002B2CF9AE}" pid="9" name="Resumen del Documento">
    <vt:lpwstr/>
  </property>
  <property fmtid="{D5CDD505-2E9C-101B-9397-08002B2CF9AE}" pid="10" name="Autores">
    <vt:lpwstr/>
  </property>
  <property fmtid="{D5CDD505-2E9C-101B-9397-08002B2CF9AE}" pid="11" name="Fecha del Documento">
    <vt:lpwstr/>
  </property>
  <property fmtid="{D5CDD505-2E9C-101B-9397-08002B2CF9AE}" pid="12" name="ContentTypeId">
    <vt:lpwstr>0x010100F25C777166A81D4A8E5E43F34F8C4D31006A262F13803DE345B4DF8966DCCB5893</vt:lpwstr>
  </property>
</Properties>
</file>