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8EE4A9" w14:textId="196A73B5" w:rsidR="002B3E4F" w:rsidRDefault="003C62E9" w:rsidP="00E77209">
      <w:pPr>
        <w:spacing w:line="252" w:lineRule="auto"/>
        <w:jc w:val="center"/>
        <w:rPr>
          <w:rFonts w:ascii="Verdana" w:hAnsi="Verdana" w:cs="Arial"/>
          <w:b/>
          <w:bCs/>
          <w:sz w:val="21"/>
          <w:szCs w:val="21"/>
        </w:rPr>
      </w:pPr>
      <w:bookmarkStart w:id="0" w:name="_Hlk195543576"/>
      <w:bookmarkStart w:id="1" w:name="_Hlk71902885"/>
      <w:bookmarkEnd w:id="0"/>
      <w:r>
        <w:rPr>
          <w:rFonts w:ascii="Verdana" w:hAnsi="Verdana" w:cs="Arial"/>
          <w:b/>
          <w:bCs/>
          <w:noProof/>
          <w:color w:val="00276B"/>
        </w:rPr>
        <w:drawing>
          <wp:anchor distT="0" distB="0" distL="114300" distR="114300" simplePos="0" relativeHeight="251662336" behindDoc="1" locked="0" layoutInCell="1" allowOverlap="1" wp14:anchorId="23E5A4DF" wp14:editId="5C86B3C5">
            <wp:simplePos x="0" y="0"/>
            <wp:positionH relativeFrom="page">
              <wp:align>right</wp:align>
            </wp:positionH>
            <wp:positionV relativeFrom="paragraph">
              <wp:posOffset>-1257935</wp:posOffset>
            </wp:positionV>
            <wp:extent cx="7772400" cy="10056631"/>
            <wp:effectExtent l="0" t="0" r="0" b="1905"/>
            <wp:wrapNone/>
            <wp:docPr id="1932322319" name="Imagen 10" descr="Imagen que contiene 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322319" name="Imagen 10" descr="Imagen que contiene Diagrama&#10;&#10;El contenido generado por IA puede ser incorrecto."/>
                    <pic:cNvPicPr/>
                  </pic:nvPicPr>
                  <pic:blipFill>
                    <a:blip r:embed="rId11">
                      <a:extLst>
                        <a:ext uri="{28A0092B-C50C-407E-A947-70E740481C1C}">
                          <a14:useLocalDpi xmlns:a14="http://schemas.microsoft.com/office/drawing/2010/main" val="0"/>
                        </a:ext>
                      </a:extLst>
                    </a:blip>
                    <a:stretch>
                      <a:fillRect/>
                    </a:stretch>
                  </pic:blipFill>
                  <pic:spPr>
                    <a:xfrm>
                      <a:off x="0" y="0"/>
                      <a:ext cx="7772400" cy="10056631"/>
                    </a:xfrm>
                    <a:prstGeom prst="rect">
                      <a:avLst/>
                    </a:prstGeom>
                  </pic:spPr>
                </pic:pic>
              </a:graphicData>
            </a:graphic>
            <wp14:sizeRelH relativeFrom="page">
              <wp14:pctWidth>0</wp14:pctWidth>
            </wp14:sizeRelH>
            <wp14:sizeRelV relativeFrom="page">
              <wp14:pctHeight>0</wp14:pctHeight>
            </wp14:sizeRelV>
          </wp:anchor>
        </w:drawing>
      </w:r>
    </w:p>
    <w:p w14:paraId="36719216" w14:textId="77777777" w:rsidR="002B3E4F" w:rsidRDefault="002B3E4F" w:rsidP="00E77209">
      <w:pPr>
        <w:spacing w:line="252" w:lineRule="auto"/>
        <w:jc w:val="center"/>
        <w:rPr>
          <w:rFonts w:ascii="Verdana" w:hAnsi="Verdana" w:cs="Arial"/>
          <w:b/>
          <w:bCs/>
          <w:sz w:val="21"/>
          <w:szCs w:val="21"/>
        </w:rPr>
      </w:pPr>
    </w:p>
    <w:p w14:paraId="5BEB0B23" w14:textId="77777777" w:rsidR="002B3E4F" w:rsidRDefault="002B3E4F" w:rsidP="00E77209">
      <w:pPr>
        <w:spacing w:line="252" w:lineRule="auto"/>
        <w:jc w:val="center"/>
        <w:rPr>
          <w:rFonts w:ascii="Verdana" w:hAnsi="Verdana" w:cs="Arial"/>
          <w:b/>
          <w:bCs/>
          <w:sz w:val="21"/>
          <w:szCs w:val="21"/>
        </w:rPr>
      </w:pPr>
    </w:p>
    <w:p w14:paraId="07657A78" w14:textId="77777777" w:rsidR="002B3E4F" w:rsidRDefault="002B3E4F" w:rsidP="00E77209">
      <w:pPr>
        <w:spacing w:line="252" w:lineRule="auto"/>
        <w:jc w:val="center"/>
        <w:rPr>
          <w:rFonts w:ascii="Verdana" w:hAnsi="Verdana" w:cs="Arial"/>
          <w:b/>
          <w:bCs/>
          <w:sz w:val="21"/>
          <w:szCs w:val="21"/>
        </w:rPr>
      </w:pPr>
    </w:p>
    <w:p w14:paraId="43C297A4" w14:textId="77777777" w:rsidR="002B3E4F" w:rsidRDefault="002B3E4F" w:rsidP="00E77209">
      <w:pPr>
        <w:spacing w:line="252" w:lineRule="auto"/>
        <w:jc w:val="center"/>
        <w:rPr>
          <w:rFonts w:ascii="Verdana" w:hAnsi="Verdana" w:cs="Arial"/>
          <w:b/>
          <w:bCs/>
          <w:sz w:val="21"/>
          <w:szCs w:val="21"/>
        </w:rPr>
      </w:pPr>
    </w:p>
    <w:p w14:paraId="0C607FF6" w14:textId="77777777" w:rsidR="002B3E4F" w:rsidRDefault="002B3E4F" w:rsidP="00E77209">
      <w:pPr>
        <w:spacing w:line="252" w:lineRule="auto"/>
        <w:jc w:val="center"/>
        <w:rPr>
          <w:rFonts w:ascii="Verdana" w:hAnsi="Verdana" w:cs="Arial"/>
          <w:b/>
          <w:bCs/>
          <w:sz w:val="21"/>
          <w:szCs w:val="21"/>
        </w:rPr>
      </w:pPr>
    </w:p>
    <w:p w14:paraId="0D2981C0" w14:textId="77777777" w:rsidR="002B3E4F" w:rsidRDefault="002B3E4F" w:rsidP="00E77209">
      <w:pPr>
        <w:spacing w:line="252" w:lineRule="auto"/>
        <w:jc w:val="center"/>
        <w:rPr>
          <w:rFonts w:ascii="Verdana" w:hAnsi="Verdana" w:cs="Arial"/>
          <w:b/>
          <w:bCs/>
          <w:sz w:val="21"/>
          <w:szCs w:val="21"/>
        </w:rPr>
      </w:pPr>
    </w:p>
    <w:p w14:paraId="58C4CE31" w14:textId="77777777" w:rsidR="002B3E4F" w:rsidRDefault="002B3E4F" w:rsidP="00E77209">
      <w:pPr>
        <w:spacing w:line="252" w:lineRule="auto"/>
        <w:jc w:val="center"/>
        <w:rPr>
          <w:rFonts w:ascii="Verdana" w:hAnsi="Verdana" w:cs="Arial"/>
          <w:b/>
          <w:bCs/>
          <w:sz w:val="21"/>
          <w:szCs w:val="21"/>
        </w:rPr>
      </w:pPr>
    </w:p>
    <w:p w14:paraId="2248A5A6" w14:textId="77777777" w:rsidR="002B3E4F" w:rsidRDefault="002B3E4F" w:rsidP="00E77209">
      <w:pPr>
        <w:spacing w:line="252" w:lineRule="auto"/>
        <w:jc w:val="center"/>
        <w:rPr>
          <w:rFonts w:ascii="Verdana" w:hAnsi="Verdana" w:cs="Arial"/>
          <w:b/>
          <w:bCs/>
          <w:sz w:val="21"/>
          <w:szCs w:val="21"/>
        </w:rPr>
      </w:pPr>
    </w:p>
    <w:p w14:paraId="3486326E" w14:textId="77777777" w:rsidR="002B3E4F" w:rsidRDefault="002B3E4F" w:rsidP="00E77209">
      <w:pPr>
        <w:spacing w:line="252" w:lineRule="auto"/>
        <w:jc w:val="center"/>
        <w:rPr>
          <w:rFonts w:ascii="Verdana" w:hAnsi="Verdana" w:cs="Arial"/>
          <w:b/>
          <w:bCs/>
          <w:sz w:val="21"/>
          <w:szCs w:val="21"/>
        </w:rPr>
      </w:pPr>
    </w:p>
    <w:p w14:paraId="6E53E629" w14:textId="77777777" w:rsidR="002B3E4F" w:rsidRDefault="002B3E4F" w:rsidP="00E77209">
      <w:pPr>
        <w:spacing w:line="252" w:lineRule="auto"/>
        <w:jc w:val="center"/>
        <w:rPr>
          <w:rFonts w:ascii="Verdana" w:hAnsi="Verdana" w:cs="Arial"/>
          <w:b/>
          <w:bCs/>
          <w:sz w:val="21"/>
          <w:szCs w:val="21"/>
        </w:rPr>
      </w:pPr>
    </w:p>
    <w:p w14:paraId="6E84CDA0" w14:textId="77777777" w:rsidR="002B3E4F" w:rsidRDefault="002B3E4F" w:rsidP="00E77209">
      <w:pPr>
        <w:spacing w:line="252" w:lineRule="auto"/>
        <w:jc w:val="center"/>
        <w:rPr>
          <w:rFonts w:ascii="Verdana" w:hAnsi="Verdana" w:cs="Arial"/>
          <w:b/>
          <w:bCs/>
          <w:sz w:val="21"/>
          <w:szCs w:val="21"/>
        </w:rPr>
      </w:pPr>
    </w:p>
    <w:p w14:paraId="387058C7" w14:textId="77777777" w:rsidR="002B3E4F" w:rsidRDefault="002B3E4F" w:rsidP="00E77209">
      <w:pPr>
        <w:spacing w:line="252" w:lineRule="auto"/>
        <w:jc w:val="center"/>
        <w:rPr>
          <w:rFonts w:ascii="Verdana" w:hAnsi="Verdana" w:cs="Arial"/>
          <w:b/>
          <w:bCs/>
          <w:sz w:val="21"/>
          <w:szCs w:val="21"/>
        </w:rPr>
      </w:pPr>
    </w:p>
    <w:p w14:paraId="3966F117" w14:textId="77777777" w:rsidR="002B3E4F" w:rsidRDefault="002B3E4F" w:rsidP="00E77209">
      <w:pPr>
        <w:spacing w:line="252" w:lineRule="auto"/>
        <w:jc w:val="center"/>
        <w:rPr>
          <w:rFonts w:ascii="Verdana" w:hAnsi="Verdana" w:cs="Arial"/>
          <w:b/>
          <w:bCs/>
          <w:sz w:val="21"/>
          <w:szCs w:val="21"/>
        </w:rPr>
      </w:pPr>
    </w:p>
    <w:p w14:paraId="3D72548B" w14:textId="77777777" w:rsidR="002B3E4F" w:rsidRDefault="002B3E4F" w:rsidP="00E77209">
      <w:pPr>
        <w:spacing w:line="252" w:lineRule="auto"/>
        <w:jc w:val="center"/>
        <w:rPr>
          <w:rFonts w:ascii="Verdana" w:hAnsi="Verdana" w:cs="Arial"/>
          <w:b/>
          <w:bCs/>
          <w:sz w:val="21"/>
          <w:szCs w:val="21"/>
        </w:rPr>
      </w:pPr>
    </w:p>
    <w:p w14:paraId="45CD0320" w14:textId="77777777" w:rsidR="002B3E4F" w:rsidRDefault="002B3E4F" w:rsidP="00E77209">
      <w:pPr>
        <w:spacing w:line="252" w:lineRule="auto"/>
        <w:jc w:val="center"/>
        <w:rPr>
          <w:rFonts w:ascii="Verdana" w:hAnsi="Verdana" w:cs="Arial"/>
          <w:b/>
          <w:bCs/>
          <w:sz w:val="21"/>
          <w:szCs w:val="21"/>
        </w:rPr>
      </w:pPr>
    </w:p>
    <w:p w14:paraId="7595AE81" w14:textId="77777777" w:rsidR="002B3E4F" w:rsidRDefault="002B3E4F" w:rsidP="00E77209">
      <w:pPr>
        <w:spacing w:line="252" w:lineRule="auto"/>
        <w:jc w:val="center"/>
        <w:rPr>
          <w:rFonts w:ascii="Verdana" w:hAnsi="Verdana" w:cs="Arial"/>
          <w:b/>
          <w:bCs/>
          <w:sz w:val="21"/>
          <w:szCs w:val="21"/>
        </w:rPr>
      </w:pPr>
    </w:p>
    <w:p w14:paraId="649688E4" w14:textId="77777777" w:rsidR="002B3E4F" w:rsidRDefault="002B3E4F" w:rsidP="00E77209">
      <w:pPr>
        <w:spacing w:line="252" w:lineRule="auto"/>
        <w:jc w:val="center"/>
        <w:rPr>
          <w:rFonts w:ascii="Verdana" w:hAnsi="Verdana" w:cs="Arial"/>
          <w:b/>
          <w:bCs/>
          <w:sz w:val="21"/>
          <w:szCs w:val="21"/>
        </w:rPr>
      </w:pPr>
    </w:p>
    <w:p w14:paraId="0E681FE3" w14:textId="77777777" w:rsidR="002B3E4F" w:rsidRDefault="002B3E4F" w:rsidP="00E77209">
      <w:pPr>
        <w:spacing w:line="252" w:lineRule="auto"/>
        <w:jc w:val="center"/>
        <w:rPr>
          <w:rFonts w:ascii="Verdana" w:hAnsi="Verdana" w:cs="Arial"/>
          <w:b/>
          <w:bCs/>
          <w:sz w:val="21"/>
          <w:szCs w:val="21"/>
        </w:rPr>
      </w:pPr>
    </w:p>
    <w:p w14:paraId="39220ACB" w14:textId="77777777" w:rsidR="002B3E4F" w:rsidRDefault="002B3E4F" w:rsidP="00E77209">
      <w:pPr>
        <w:spacing w:line="252" w:lineRule="auto"/>
        <w:jc w:val="center"/>
        <w:rPr>
          <w:rFonts w:ascii="Verdana" w:hAnsi="Verdana" w:cs="Arial"/>
          <w:b/>
          <w:bCs/>
          <w:sz w:val="21"/>
          <w:szCs w:val="21"/>
        </w:rPr>
      </w:pPr>
    </w:p>
    <w:p w14:paraId="58D93B4D" w14:textId="77777777" w:rsidR="002B3E4F" w:rsidRDefault="002B3E4F" w:rsidP="00E77209">
      <w:pPr>
        <w:spacing w:line="252" w:lineRule="auto"/>
        <w:jc w:val="center"/>
        <w:rPr>
          <w:rFonts w:ascii="Verdana" w:hAnsi="Verdana" w:cs="Arial"/>
          <w:b/>
          <w:bCs/>
          <w:sz w:val="21"/>
          <w:szCs w:val="21"/>
        </w:rPr>
      </w:pPr>
    </w:p>
    <w:p w14:paraId="3C4AEB0B" w14:textId="77777777" w:rsidR="002B3E4F" w:rsidRDefault="002B3E4F" w:rsidP="00E77209">
      <w:pPr>
        <w:spacing w:line="252" w:lineRule="auto"/>
        <w:jc w:val="center"/>
        <w:rPr>
          <w:rFonts w:ascii="Verdana" w:hAnsi="Verdana" w:cs="Arial"/>
          <w:b/>
          <w:bCs/>
          <w:sz w:val="21"/>
          <w:szCs w:val="21"/>
        </w:rPr>
      </w:pPr>
    </w:p>
    <w:p w14:paraId="0F2425DE" w14:textId="77777777" w:rsidR="002B3E4F" w:rsidRDefault="002B3E4F" w:rsidP="00E77209">
      <w:pPr>
        <w:spacing w:line="252" w:lineRule="auto"/>
        <w:jc w:val="center"/>
        <w:rPr>
          <w:rFonts w:ascii="Verdana" w:hAnsi="Verdana" w:cs="Arial"/>
          <w:b/>
          <w:bCs/>
          <w:sz w:val="21"/>
          <w:szCs w:val="21"/>
        </w:rPr>
      </w:pPr>
    </w:p>
    <w:p w14:paraId="7ED8D92B" w14:textId="77777777" w:rsidR="002B3E4F" w:rsidRDefault="002B3E4F" w:rsidP="00E77209">
      <w:pPr>
        <w:spacing w:line="252" w:lineRule="auto"/>
        <w:jc w:val="center"/>
        <w:rPr>
          <w:rFonts w:ascii="Verdana" w:hAnsi="Verdana" w:cs="Arial"/>
          <w:b/>
          <w:bCs/>
          <w:sz w:val="21"/>
          <w:szCs w:val="21"/>
        </w:rPr>
      </w:pPr>
    </w:p>
    <w:p w14:paraId="6A7CE9C7" w14:textId="77777777" w:rsidR="002B3E4F" w:rsidRDefault="002B3E4F" w:rsidP="00E77209">
      <w:pPr>
        <w:spacing w:line="252" w:lineRule="auto"/>
        <w:jc w:val="center"/>
        <w:rPr>
          <w:rFonts w:ascii="Verdana" w:hAnsi="Verdana" w:cs="Arial"/>
          <w:b/>
          <w:bCs/>
          <w:sz w:val="21"/>
          <w:szCs w:val="21"/>
        </w:rPr>
      </w:pPr>
    </w:p>
    <w:p w14:paraId="7DC74DC4" w14:textId="77777777" w:rsidR="002B3E4F" w:rsidRDefault="002B3E4F" w:rsidP="00E77209">
      <w:pPr>
        <w:spacing w:line="252" w:lineRule="auto"/>
        <w:jc w:val="center"/>
        <w:rPr>
          <w:rFonts w:ascii="Verdana" w:hAnsi="Verdana" w:cs="Arial"/>
          <w:b/>
          <w:bCs/>
          <w:sz w:val="21"/>
          <w:szCs w:val="21"/>
        </w:rPr>
      </w:pPr>
    </w:p>
    <w:p w14:paraId="1A5451F3" w14:textId="77777777" w:rsidR="002B3E4F" w:rsidRDefault="002B3E4F" w:rsidP="00E77209">
      <w:pPr>
        <w:spacing w:line="252" w:lineRule="auto"/>
        <w:jc w:val="center"/>
        <w:rPr>
          <w:rFonts w:ascii="Verdana" w:hAnsi="Verdana" w:cs="Arial"/>
          <w:b/>
          <w:bCs/>
          <w:sz w:val="21"/>
          <w:szCs w:val="21"/>
        </w:rPr>
      </w:pPr>
    </w:p>
    <w:p w14:paraId="235268A3" w14:textId="77777777" w:rsidR="002B3E4F" w:rsidRDefault="002B3E4F" w:rsidP="00E77209">
      <w:pPr>
        <w:spacing w:line="252" w:lineRule="auto"/>
        <w:jc w:val="center"/>
        <w:rPr>
          <w:rFonts w:ascii="Verdana" w:hAnsi="Verdana" w:cs="Arial"/>
          <w:b/>
          <w:bCs/>
          <w:sz w:val="21"/>
          <w:szCs w:val="21"/>
        </w:rPr>
      </w:pPr>
    </w:p>
    <w:p w14:paraId="293DCDAB" w14:textId="77777777" w:rsidR="002B3E4F" w:rsidRDefault="002B3E4F" w:rsidP="00E77209">
      <w:pPr>
        <w:spacing w:line="252" w:lineRule="auto"/>
        <w:jc w:val="center"/>
        <w:rPr>
          <w:rFonts w:ascii="Verdana" w:hAnsi="Verdana" w:cs="Arial"/>
          <w:b/>
          <w:bCs/>
          <w:sz w:val="21"/>
          <w:szCs w:val="21"/>
        </w:rPr>
      </w:pPr>
    </w:p>
    <w:p w14:paraId="1E68EDF0" w14:textId="77777777" w:rsidR="002B3E4F" w:rsidRDefault="002B3E4F" w:rsidP="00E77209">
      <w:pPr>
        <w:spacing w:line="252" w:lineRule="auto"/>
        <w:jc w:val="center"/>
        <w:rPr>
          <w:rFonts w:ascii="Verdana" w:hAnsi="Verdana" w:cs="Arial"/>
          <w:b/>
          <w:bCs/>
          <w:sz w:val="21"/>
          <w:szCs w:val="21"/>
        </w:rPr>
      </w:pPr>
    </w:p>
    <w:p w14:paraId="5EFB0779" w14:textId="77777777" w:rsidR="002B3E4F" w:rsidRDefault="002B3E4F" w:rsidP="00E77209">
      <w:pPr>
        <w:spacing w:line="252" w:lineRule="auto"/>
        <w:jc w:val="center"/>
        <w:rPr>
          <w:rFonts w:ascii="Verdana" w:hAnsi="Verdana" w:cs="Arial"/>
          <w:b/>
          <w:bCs/>
          <w:sz w:val="21"/>
          <w:szCs w:val="21"/>
        </w:rPr>
      </w:pPr>
    </w:p>
    <w:p w14:paraId="2FF7A604" w14:textId="4833FF41" w:rsidR="002B3E4F" w:rsidRDefault="002B3E4F" w:rsidP="00E77209">
      <w:pPr>
        <w:spacing w:line="252" w:lineRule="auto"/>
        <w:jc w:val="center"/>
        <w:rPr>
          <w:rFonts w:ascii="Verdana" w:hAnsi="Verdana" w:cs="Arial"/>
          <w:b/>
          <w:bCs/>
          <w:sz w:val="21"/>
          <w:szCs w:val="21"/>
        </w:rPr>
      </w:pPr>
    </w:p>
    <w:p w14:paraId="4285C009" w14:textId="75A3BE8C" w:rsidR="002B3E4F" w:rsidRDefault="002B3E4F" w:rsidP="00E77209">
      <w:pPr>
        <w:spacing w:line="252" w:lineRule="auto"/>
        <w:jc w:val="center"/>
        <w:rPr>
          <w:rFonts w:ascii="Verdana" w:hAnsi="Verdana" w:cs="Arial"/>
          <w:b/>
          <w:bCs/>
          <w:sz w:val="21"/>
          <w:szCs w:val="21"/>
        </w:rPr>
      </w:pPr>
    </w:p>
    <w:p w14:paraId="462A585A" w14:textId="152C0977" w:rsidR="002B3E4F" w:rsidRDefault="002B3E4F" w:rsidP="00E77209">
      <w:pPr>
        <w:spacing w:line="252" w:lineRule="auto"/>
        <w:jc w:val="center"/>
        <w:rPr>
          <w:rFonts w:ascii="Verdana" w:hAnsi="Verdana" w:cs="Arial"/>
          <w:b/>
          <w:bCs/>
          <w:sz w:val="21"/>
          <w:szCs w:val="21"/>
        </w:rPr>
      </w:pPr>
    </w:p>
    <w:p w14:paraId="5C88A824" w14:textId="72DB1587" w:rsidR="002B3E4F" w:rsidRDefault="002B3E4F" w:rsidP="00E77209">
      <w:pPr>
        <w:spacing w:line="252" w:lineRule="auto"/>
        <w:jc w:val="center"/>
        <w:rPr>
          <w:rFonts w:ascii="Verdana" w:hAnsi="Verdana" w:cs="Arial"/>
          <w:b/>
          <w:bCs/>
          <w:sz w:val="21"/>
          <w:szCs w:val="21"/>
        </w:rPr>
      </w:pPr>
    </w:p>
    <w:p w14:paraId="0C40F58D" w14:textId="24DEF9EB" w:rsidR="002B3E4F" w:rsidRDefault="002B3E4F" w:rsidP="00E77209">
      <w:pPr>
        <w:spacing w:line="252" w:lineRule="auto"/>
        <w:jc w:val="center"/>
        <w:rPr>
          <w:rFonts w:ascii="Verdana" w:hAnsi="Verdana" w:cs="Arial"/>
          <w:b/>
          <w:bCs/>
          <w:sz w:val="21"/>
          <w:szCs w:val="21"/>
        </w:rPr>
      </w:pPr>
    </w:p>
    <w:p w14:paraId="5BBF6635" w14:textId="01147FC1" w:rsidR="002B3E4F" w:rsidRDefault="002B3E4F" w:rsidP="00E77209">
      <w:pPr>
        <w:spacing w:line="252" w:lineRule="auto"/>
        <w:jc w:val="center"/>
        <w:rPr>
          <w:rFonts w:ascii="Verdana" w:hAnsi="Verdana" w:cs="Arial"/>
          <w:b/>
          <w:bCs/>
          <w:sz w:val="21"/>
          <w:szCs w:val="21"/>
        </w:rPr>
      </w:pPr>
    </w:p>
    <w:p w14:paraId="7AB55F82" w14:textId="0C74831C" w:rsidR="002B3E4F" w:rsidRDefault="002B3E4F" w:rsidP="00E77209">
      <w:pPr>
        <w:spacing w:line="252" w:lineRule="auto"/>
        <w:jc w:val="center"/>
        <w:rPr>
          <w:rFonts w:ascii="Verdana" w:hAnsi="Verdana" w:cs="Arial"/>
          <w:b/>
          <w:bCs/>
          <w:sz w:val="21"/>
          <w:szCs w:val="21"/>
        </w:rPr>
      </w:pPr>
    </w:p>
    <w:p w14:paraId="67356509" w14:textId="77777777" w:rsidR="002B3E4F" w:rsidRDefault="002B3E4F" w:rsidP="00E77209">
      <w:pPr>
        <w:spacing w:line="252" w:lineRule="auto"/>
        <w:jc w:val="center"/>
        <w:rPr>
          <w:rFonts w:ascii="Verdana" w:hAnsi="Verdana" w:cs="Arial"/>
          <w:b/>
          <w:bCs/>
          <w:sz w:val="21"/>
          <w:szCs w:val="21"/>
        </w:rPr>
      </w:pPr>
    </w:p>
    <w:p w14:paraId="5D879278" w14:textId="59377A44" w:rsidR="002B3E4F" w:rsidRDefault="002B3E4F" w:rsidP="00E77209">
      <w:pPr>
        <w:spacing w:line="252" w:lineRule="auto"/>
        <w:jc w:val="center"/>
        <w:rPr>
          <w:rFonts w:ascii="Verdana" w:hAnsi="Verdana" w:cs="Arial"/>
          <w:b/>
          <w:bCs/>
          <w:sz w:val="21"/>
          <w:szCs w:val="21"/>
        </w:rPr>
      </w:pPr>
    </w:p>
    <w:p w14:paraId="7CD71ABE" w14:textId="793F8A08" w:rsidR="002B3E4F" w:rsidRDefault="002B3E4F" w:rsidP="00E77209">
      <w:pPr>
        <w:spacing w:line="252" w:lineRule="auto"/>
        <w:jc w:val="center"/>
        <w:rPr>
          <w:rFonts w:ascii="Verdana" w:hAnsi="Verdana" w:cs="Arial"/>
          <w:b/>
          <w:bCs/>
          <w:sz w:val="21"/>
          <w:szCs w:val="21"/>
        </w:rPr>
      </w:pPr>
    </w:p>
    <w:p w14:paraId="5ACA3AE3" w14:textId="2054CDAA" w:rsidR="002B3E4F" w:rsidRDefault="002B3E4F" w:rsidP="00E77209">
      <w:pPr>
        <w:spacing w:line="252" w:lineRule="auto"/>
        <w:jc w:val="center"/>
        <w:rPr>
          <w:rFonts w:ascii="Verdana" w:hAnsi="Verdana" w:cs="Arial"/>
          <w:b/>
          <w:bCs/>
          <w:sz w:val="21"/>
          <w:szCs w:val="21"/>
        </w:rPr>
      </w:pPr>
    </w:p>
    <w:p w14:paraId="4D5EBE7B" w14:textId="656F015B" w:rsidR="002B3E4F" w:rsidRDefault="002B3E4F" w:rsidP="00E77209">
      <w:pPr>
        <w:spacing w:line="252" w:lineRule="auto"/>
        <w:jc w:val="center"/>
        <w:rPr>
          <w:rFonts w:ascii="Verdana" w:hAnsi="Verdana" w:cs="Arial"/>
          <w:b/>
          <w:bCs/>
          <w:sz w:val="21"/>
          <w:szCs w:val="21"/>
        </w:rPr>
      </w:pPr>
    </w:p>
    <w:p w14:paraId="0C812BBF" w14:textId="0DD44758" w:rsidR="002B3E4F" w:rsidRDefault="003C62E9" w:rsidP="00E77209">
      <w:pPr>
        <w:spacing w:line="252" w:lineRule="auto"/>
        <w:jc w:val="center"/>
        <w:rPr>
          <w:rFonts w:ascii="Verdana" w:hAnsi="Verdana" w:cs="Arial"/>
          <w:b/>
          <w:bCs/>
          <w:sz w:val="21"/>
          <w:szCs w:val="21"/>
        </w:rPr>
      </w:pPr>
      <w:r>
        <w:rPr>
          <w:rFonts w:ascii="Verdana" w:hAnsi="Verdana"/>
          <w:noProof/>
        </w:rPr>
        <mc:AlternateContent>
          <mc:Choice Requires="wps">
            <w:drawing>
              <wp:anchor distT="0" distB="0" distL="114300" distR="114300" simplePos="0" relativeHeight="251660288" behindDoc="0" locked="0" layoutInCell="1" allowOverlap="1" wp14:anchorId="3E83A2F5" wp14:editId="628CD745">
                <wp:simplePos x="0" y="0"/>
                <wp:positionH relativeFrom="margin">
                  <wp:posOffset>2593975</wp:posOffset>
                </wp:positionH>
                <wp:positionV relativeFrom="paragraph">
                  <wp:posOffset>205740</wp:posOffset>
                </wp:positionV>
                <wp:extent cx="3029222" cy="904875"/>
                <wp:effectExtent l="0" t="0" r="0" b="0"/>
                <wp:wrapNone/>
                <wp:docPr id="622495801" name="Cuadro de texto 11"/>
                <wp:cNvGraphicFramePr/>
                <a:graphic xmlns:a="http://schemas.openxmlformats.org/drawingml/2006/main">
                  <a:graphicData uri="http://schemas.microsoft.com/office/word/2010/wordprocessingShape">
                    <wps:wsp>
                      <wps:cNvSpPr txBox="1"/>
                      <wps:spPr>
                        <a:xfrm>
                          <a:off x="0" y="0"/>
                          <a:ext cx="3029222" cy="904875"/>
                        </a:xfrm>
                        <a:prstGeom prst="rect">
                          <a:avLst/>
                        </a:prstGeom>
                        <a:noFill/>
                        <a:ln w="6350">
                          <a:noFill/>
                        </a:ln>
                      </wps:spPr>
                      <wps:txbx>
                        <w:txbxContent>
                          <w:p w14:paraId="2F245813" w14:textId="0FE8C762" w:rsidR="002B3E4F" w:rsidRPr="003C62E9" w:rsidRDefault="002B3E4F" w:rsidP="003C62E9">
                            <w:pPr>
                              <w:jc w:val="center"/>
                              <w:rPr>
                                <w:rFonts w:ascii="Verdana" w:hAnsi="Verdana"/>
                                <w:b/>
                                <w:bCs/>
                                <w:color w:val="1F497D" w:themeColor="text2"/>
                                <w:szCs w:val="22"/>
                                <w:lang w:val="es-CO"/>
                              </w:rPr>
                            </w:pPr>
                            <w:r w:rsidRPr="003C62E9">
                              <w:rPr>
                                <w:rFonts w:ascii="Verdana" w:hAnsi="Verdana"/>
                                <w:b/>
                                <w:bCs/>
                                <w:color w:val="1F497D" w:themeColor="text2"/>
                                <w:sz w:val="32"/>
                                <w:szCs w:val="28"/>
                                <w:lang w:val="es-CO"/>
                              </w:rPr>
                              <w:t>Anexo</w:t>
                            </w:r>
                            <w:r w:rsidR="002B3F5C">
                              <w:rPr>
                                <w:rFonts w:ascii="Verdana" w:hAnsi="Verdana"/>
                                <w:b/>
                                <w:bCs/>
                                <w:color w:val="1F497D" w:themeColor="text2"/>
                                <w:sz w:val="32"/>
                                <w:szCs w:val="28"/>
                                <w:lang w:val="es-CO"/>
                              </w:rPr>
                              <w:t xml:space="preserve"> 4</w:t>
                            </w:r>
                            <w:r w:rsidRPr="003C62E9">
                              <w:rPr>
                                <w:rFonts w:ascii="Verdana" w:hAnsi="Verdana"/>
                                <w:b/>
                                <w:bCs/>
                                <w:color w:val="1F497D" w:themeColor="text2"/>
                                <w:sz w:val="32"/>
                                <w:szCs w:val="28"/>
                                <w:lang w:val="es-CO"/>
                              </w:rPr>
                              <w:t xml:space="preserve">. Informe contable </w:t>
                            </w:r>
                            <w:r w:rsidR="00A709D9" w:rsidRPr="003C62E9">
                              <w:rPr>
                                <w:rFonts w:ascii="Verdana" w:hAnsi="Verdana"/>
                                <w:b/>
                                <w:bCs/>
                                <w:color w:val="1F497D" w:themeColor="text2"/>
                                <w:sz w:val="32"/>
                                <w:szCs w:val="28"/>
                                <w:lang w:val="es-CO"/>
                              </w:rPr>
                              <w:t>por cambio de RL</w:t>
                            </w:r>
                            <w:r w:rsidRPr="003C62E9">
                              <w:rPr>
                                <w:rFonts w:ascii="Verdana" w:hAnsi="Verdana"/>
                                <w:b/>
                                <w:bCs/>
                                <w:color w:val="1F497D" w:themeColor="text2"/>
                                <w:sz w:val="32"/>
                                <w:szCs w:val="28"/>
                                <w:lang w:val="es-CO"/>
                              </w:rPr>
                              <w:t xml:space="preserve">– </w:t>
                            </w:r>
                            <w:r w:rsidR="003C62E9">
                              <w:rPr>
                                <w:rFonts w:ascii="Verdana" w:hAnsi="Verdana"/>
                                <w:b/>
                                <w:bCs/>
                                <w:color w:val="1F497D" w:themeColor="text2"/>
                                <w:sz w:val="32"/>
                                <w:szCs w:val="28"/>
                                <w:lang w:val="es-CO"/>
                              </w:rPr>
                              <w:t>FONPET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83A2F5" id="_x0000_t202" coordsize="21600,21600" o:spt="202" path="m,l,21600r21600,l21600,xe">
                <v:stroke joinstyle="miter"/>
                <v:path gradientshapeok="t" o:connecttype="rect"/>
              </v:shapetype>
              <v:shape id="Cuadro de texto 11" o:spid="_x0000_s1026" type="#_x0000_t202" style="position:absolute;left:0;text-align:left;margin-left:204.25pt;margin-top:16.2pt;width:238.5pt;height:71.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" filled="f" stroked="f" strokeweight=".5pt">
                <v:textbox>
                  <w:txbxContent>
                    <w:p w14:paraId="2F245813" w14:textId="0FE8C762" w:rsidR="002B3E4F" w:rsidRPr="003C62E9" w:rsidRDefault="002B3E4F" w:rsidP="003C62E9">
                      <w:pPr>
                        <w:jc w:val="center"/>
                        <w:rPr>
                          <w:rFonts w:ascii="Verdana" w:hAnsi="Verdana"/>
                          <w:b/>
                          <w:bCs/>
                          <w:color w:val="1F497D" w:themeColor="text2"/>
                          <w:szCs w:val="22"/>
                          <w:lang w:val="es-CO"/>
                        </w:rPr>
                      </w:pPr>
                      <w:r w:rsidRPr="003C62E9">
                        <w:rPr>
                          <w:rFonts w:ascii="Verdana" w:hAnsi="Verdana"/>
                          <w:b/>
                          <w:bCs/>
                          <w:color w:val="1F497D" w:themeColor="text2"/>
                          <w:sz w:val="32"/>
                          <w:szCs w:val="28"/>
                          <w:lang w:val="es-CO"/>
                        </w:rPr>
                        <w:t>Anexo</w:t>
                      </w:r>
                      <w:r w:rsidR="002B3F5C">
                        <w:rPr>
                          <w:rFonts w:ascii="Verdana" w:hAnsi="Verdana"/>
                          <w:b/>
                          <w:bCs/>
                          <w:color w:val="1F497D" w:themeColor="text2"/>
                          <w:sz w:val="32"/>
                          <w:szCs w:val="28"/>
                          <w:lang w:val="es-CO"/>
                        </w:rPr>
                        <w:t xml:space="preserve"> 4</w:t>
                      </w:r>
                      <w:r w:rsidRPr="003C62E9">
                        <w:rPr>
                          <w:rFonts w:ascii="Verdana" w:hAnsi="Verdana"/>
                          <w:b/>
                          <w:bCs/>
                          <w:color w:val="1F497D" w:themeColor="text2"/>
                          <w:sz w:val="32"/>
                          <w:szCs w:val="28"/>
                          <w:lang w:val="es-CO"/>
                        </w:rPr>
                        <w:t xml:space="preserve">. Informe contable </w:t>
                      </w:r>
                      <w:r w:rsidR="00A709D9" w:rsidRPr="003C62E9">
                        <w:rPr>
                          <w:rFonts w:ascii="Verdana" w:hAnsi="Verdana"/>
                          <w:b/>
                          <w:bCs/>
                          <w:color w:val="1F497D" w:themeColor="text2"/>
                          <w:sz w:val="32"/>
                          <w:szCs w:val="28"/>
                          <w:lang w:val="es-CO"/>
                        </w:rPr>
                        <w:t>por cambio de RL</w:t>
                      </w:r>
                      <w:r w:rsidRPr="003C62E9">
                        <w:rPr>
                          <w:rFonts w:ascii="Verdana" w:hAnsi="Verdana"/>
                          <w:b/>
                          <w:bCs/>
                          <w:color w:val="1F497D" w:themeColor="text2"/>
                          <w:sz w:val="32"/>
                          <w:szCs w:val="28"/>
                          <w:lang w:val="es-CO"/>
                        </w:rPr>
                        <w:t xml:space="preserve">– </w:t>
                      </w:r>
                      <w:r w:rsidR="003C62E9">
                        <w:rPr>
                          <w:rFonts w:ascii="Verdana" w:hAnsi="Verdana"/>
                          <w:b/>
                          <w:bCs/>
                          <w:color w:val="1F497D" w:themeColor="text2"/>
                          <w:sz w:val="32"/>
                          <w:szCs w:val="28"/>
                          <w:lang w:val="es-CO"/>
                        </w:rPr>
                        <w:t>FONPET</w:t>
                      </w:r>
                    </w:p>
                  </w:txbxContent>
                </v:textbox>
                <w10:wrap anchorx="margin"/>
              </v:shape>
            </w:pict>
          </mc:Fallback>
        </mc:AlternateContent>
      </w:r>
    </w:p>
    <w:p w14:paraId="5AABA878" w14:textId="46BE459B" w:rsidR="00E63E07" w:rsidRPr="001E650B" w:rsidRDefault="00E63E07" w:rsidP="00E77209">
      <w:pPr>
        <w:spacing w:line="252" w:lineRule="auto"/>
        <w:jc w:val="center"/>
        <w:rPr>
          <w:rFonts w:ascii="Verdana" w:hAnsi="Verdana" w:cs="Arial"/>
          <w:b/>
          <w:bCs/>
          <w:sz w:val="21"/>
          <w:szCs w:val="21"/>
        </w:rPr>
      </w:pPr>
      <w:r w:rsidRPr="001E650B">
        <w:rPr>
          <w:rFonts w:ascii="Verdana" w:hAnsi="Verdana" w:cs="Arial"/>
          <w:b/>
          <w:bCs/>
          <w:sz w:val="21"/>
          <w:szCs w:val="21"/>
        </w:rPr>
        <w:lastRenderedPageBreak/>
        <w:t>ACTA DE INFORME DE GESTIÓN</w:t>
      </w:r>
    </w:p>
    <w:bookmarkEnd w:id="1"/>
    <w:p w14:paraId="5B00706C" w14:textId="1FCF9842" w:rsidR="00382E6E" w:rsidRPr="001E650B" w:rsidRDefault="00382E6E" w:rsidP="00E77209">
      <w:pPr>
        <w:spacing w:line="252" w:lineRule="auto"/>
        <w:jc w:val="center"/>
        <w:rPr>
          <w:rFonts w:ascii="Verdana" w:hAnsi="Verdana" w:cs="Arial"/>
          <w:b/>
          <w:bCs/>
          <w:sz w:val="21"/>
          <w:szCs w:val="21"/>
        </w:rPr>
      </w:pPr>
      <w:r w:rsidRPr="001E650B">
        <w:rPr>
          <w:rFonts w:ascii="Verdana" w:hAnsi="Verdana" w:cs="Arial"/>
          <w:b/>
          <w:bCs/>
          <w:sz w:val="21"/>
          <w:szCs w:val="21"/>
        </w:rPr>
        <w:t>ANEXO</w:t>
      </w:r>
      <w:r w:rsidR="00E63E07" w:rsidRPr="001E650B">
        <w:rPr>
          <w:rFonts w:ascii="Verdana" w:hAnsi="Verdana" w:cs="Arial"/>
          <w:b/>
          <w:bCs/>
          <w:sz w:val="21"/>
          <w:szCs w:val="21"/>
        </w:rPr>
        <w:t xml:space="preserve"> -</w:t>
      </w:r>
      <w:r w:rsidRPr="001E650B">
        <w:rPr>
          <w:rFonts w:ascii="Verdana" w:hAnsi="Verdana" w:cs="Arial"/>
          <w:b/>
          <w:bCs/>
          <w:sz w:val="21"/>
          <w:szCs w:val="21"/>
        </w:rPr>
        <w:t>INFORME CONTABLE</w:t>
      </w:r>
      <w:r w:rsidR="00145B6D" w:rsidRPr="001E650B">
        <w:rPr>
          <w:rFonts w:ascii="Verdana" w:hAnsi="Verdana" w:cs="Arial"/>
          <w:b/>
          <w:bCs/>
          <w:sz w:val="21"/>
          <w:szCs w:val="21"/>
        </w:rPr>
        <w:t xml:space="preserve"> POR CAMBIO DE REPRESENTANTE LEGAL</w:t>
      </w:r>
    </w:p>
    <w:p w14:paraId="590E897A" w14:textId="7D6F5F7C" w:rsidR="00350FF4" w:rsidRPr="001E650B" w:rsidRDefault="00084A6B" w:rsidP="00E77209">
      <w:pPr>
        <w:spacing w:line="252" w:lineRule="auto"/>
        <w:jc w:val="center"/>
        <w:rPr>
          <w:rFonts w:ascii="Verdana" w:hAnsi="Verdana" w:cs="Arial"/>
          <w:b/>
          <w:bCs/>
          <w:sz w:val="21"/>
          <w:szCs w:val="21"/>
        </w:rPr>
      </w:pPr>
      <w:r w:rsidRPr="001E650B">
        <w:rPr>
          <w:rFonts w:ascii="Verdana" w:hAnsi="Verdana" w:cs="Arial"/>
          <w:b/>
          <w:bCs/>
          <w:sz w:val="21"/>
          <w:szCs w:val="21"/>
        </w:rPr>
        <w:t xml:space="preserve">MINISTERIO </w:t>
      </w:r>
      <w:r w:rsidR="00382E6E" w:rsidRPr="001E650B">
        <w:rPr>
          <w:rFonts w:ascii="Verdana" w:hAnsi="Verdana" w:cs="Arial"/>
          <w:b/>
          <w:bCs/>
          <w:sz w:val="21"/>
          <w:szCs w:val="21"/>
        </w:rPr>
        <w:t xml:space="preserve">DE HACIENDA Y CRÉDITO PÚBLICO - </w:t>
      </w:r>
      <w:r w:rsidR="003C62E9">
        <w:rPr>
          <w:rFonts w:ascii="Verdana" w:hAnsi="Verdana" w:cs="Arial"/>
          <w:b/>
          <w:bCs/>
          <w:sz w:val="21"/>
          <w:szCs w:val="21"/>
        </w:rPr>
        <w:t>FONPET</w:t>
      </w:r>
    </w:p>
    <w:p w14:paraId="6F571487" w14:textId="77777777" w:rsidR="00CE4A08" w:rsidRPr="001E650B" w:rsidRDefault="00CE4A08" w:rsidP="00E77209">
      <w:pPr>
        <w:spacing w:line="252" w:lineRule="auto"/>
        <w:jc w:val="center"/>
        <w:rPr>
          <w:rFonts w:ascii="Verdana" w:hAnsi="Verdana" w:cs="Arial"/>
          <w:b/>
          <w:bCs/>
          <w:sz w:val="21"/>
          <w:szCs w:val="21"/>
        </w:rPr>
      </w:pPr>
    </w:p>
    <w:p w14:paraId="54CAA591" w14:textId="5014EE54" w:rsidR="0040538E" w:rsidRPr="002A43E4" w:rsidRDefault="005347FD" w:rsidP="00E77209">
      <w:pPr>
        <w:spacing w:line="252" w:lineRule="auto"/>
        <w:rPr>
          <w:rFonts w:ascii="Verdana" w:hAnsi="Verdana" w:cs="Arial"/>
          <w:sz w:val="22"/>
          <w:szCs w:val="22"/>
        </w:rPr>
      </w:pPr>
      <w:r w:rsidRPr="001E650B">
        <w:rPr>
          <w:rFonts w:ascii="Verdana" w:hAnsi="Verdana" w:cs="Arial"/>
          <w:sz w:val="21"/>
          <w:szCs w:val="21"/>
        </w:rPr>
        <w:t xml:space="preserve"> </w:t>
      </w:r>
    </w:p>
    <w:p w14:paraId="0A06A7EB" w14:textId="37CBF115" w:rsidR="00E617C4" w:rsidRPr="002A43E4" w:rsidRDefault="005B2EDB" w:rsidP="00E77209">
      <w:pPr>
        <w:autoSpaceDE w:val="0"/>
        <w:autoSpaceDN w:val="0"/>
        <w:adjustRightInd w:val="0"/>
        <w:spacing w:line="252" w:lineRule="auto"/>
        <w:jc w:val="both"/>
        <w:rPr>
          <w:rFonts w:ascii="Verdana" w:hAnsi="Verdana" w:cs="Arial"/>
          <w:sz w:val="22"/>
          <w:szCs w:val="22"/>
        </w:rPr>
      </w:pPr>
      <w:r w:rsidRPr="002A43E4">
        <w:rPr>
          <w:rFonts w:ascii="Verdana" w:hAnsi="Verdana" w:cs="Arial"/>
          <w:sz w:val="22"/>
          <w:szCs w:val="22"/>
        </w:rPr>
        <w:t xml:space="preserve">En </w:t>
      </w:r>
      <w:r w:rsidR="00E617C4" w:rsidRPr="002A43E4">
        <w:rPr>
          <w:rFonts w:ascii="Verdana" w:hAnsi="Verdana" w:cs="Arial"/>
          <w:sz w:val="22"/>
          <w:szCs w:val="22"/>
        </w:rPr>
        <w:t xml:space="preserve">el marco de lo </w:t>
      </w:r>
      <w:r w:rsidR="00CC6525" w:rsidRPr="002A43E4">
        <w:rPr>
          <w:rFonts w:ascii="Verdana" w:hAnsi="Verdana" w:cs="Arial"/>
          <w:sz w:val="22"/>
          <w:szCs w:val="22"/>
        </w:rPr>
        <w:t xml:space="preserve">definido </w:t>
      </w:r>
      <w:r w:rsidR="00E617C4" w:rsidRPr="002A43E4">
        <w:rPr>
          <w:rFonts w:ascii="Verdana" w:hAnsi="Verdana" w:cs="Arial"/>
          <w:sz w:val="22"/>
          <w:szCs w:val="22"/>
        </w:rPr>
        <w:t xml:space="preserve">en la Ley 951 de </w:t>
      </w:r>
      <w:r w:rsidR="002C54D4" w:rsidRPr="002A43E4">
        <w:rPr>
          <w:rFonts w:ascii="Verdana" w:hAnsi="Verdana" w:cs="Arial"/>
          <w:sz w:val="22"/>
          <w:szCs w:val="22"/>
        </w:rPr>
        <w:t>2005,</w:t>
      </w:r>
      <w:r w:rsidR="00335614" w:rsidRPr="002A43E4">
        <w:rPr>
          <w:rFonts w:ascii="Verdana" w:hAnsi="Verdana" w:cs="Arial"/>
          <w:sz w:val="22"/>
          <w:szCs w:val="22"/>
        </w:rPr>
        <w:t xml:space="preserve"> que </w:t>
      </w:r>
      <w:r w:rsidR="00207760" w:rsidRPr="002A43E4">
        <w:rPr>
          <w:rFonts w:ascii="Verdana" w:hAnsi="Verdana" w:cs="Arial"/>
          <w:sz w:val="22"/>
          <w:szCs w:val="22"/>
        </w:rPr>
        <w:t xml:space="preserve">establece la obligación </w:t>
      </w:r>
      <w:r w:rsidR="00E90F13" w:rsidRPr="002A43E4">
        <w:rPr>
          <w:rFonts w:ascii="Verdana" w:hAnsi="Verdana" w:cs="Arial"/>
          <w:sz w:val="22"/>
          <w:szCs w:val="22"/>
        </w:rPr>
        <w:t xml:space="preserve">que tienen los servidores públicos y particulares mencionados en la misma, de presentar </w:t>
      </w:r>
      <w:r w:rsidR="008C42B5" w:rsidRPr="002A43E4">
        <w:rPr>
          <w:rFonts w:ascii="Verdana" w:hAnsi="Verdana" w:cs="Arial"/>
          <w:sz w:val="22"/>
          <w:szCs w:val="22"/>
        </w:rPr>
        <w:t xml:space="preserve">a quienes los sustituyan legalmente </w:t>
      </w:r>
      <w:r w:rsidR="00832315" w:rsidRPr="002A43E4">
        <w:rPr>
          <w:rFonts w:ascii="Verdana" w:hAnsi="Verdana" w:cs="Arial"/>
          <w:sz w:val="22"/>
          <w:szCs w:val="22"/>
        </w:rPr>
        <w:t xml:space="preserve">una vez </w:t>
      </w:r>
      <w:r w:rsidR="009B6702" w:rsidRPr="002A43E4">
        <w:rPr>
          <w:rFonts w:ascii="Verdana" w:hAnsi="Verdana" w:cs="Arial"/>
          <w:sz w:val="22"/>
          <w:szCs w:val="22"/>
        </w:rPr>
        <w:t xml:space="preserve">se separen de sus cargos o finalicen su administración, </w:t>
      </w:r>
      <w:r w:rsidR="003746BD" w:rsidRPr="002A43E4">
        <w:rPr>
          <w:rFonts w:ascii="Verdana" w:hAnsi="Verdana" w:cs="Arial"/>
          <w:sz w:val="22"/>
          <w:szCs w:val="22"/>
        </w:rPr>
        <w:t xml:space="preserve">un informe </w:t>
      </w:r>
      <w:r w:rsidR="009B6702" w:rsidRPr="002A43E4">
        <w:rPr>
          <w:rFonts w:ascii="Verdana" w:hAnsi="Verdana" w:cs="Arial"/>
          <w:sz w:val="22"/>
          <w:szCs w:val="22"/>
        </w:rPr>
        <w:t>sobre los asuntos de su competencia y sobre la gestión de los recursos financieros, humanos y administrativos que tuvieron asignados para el ejercicio de sus funciones</w:t>
      </w:r>
      <w:r w:rsidR="003A4A8C" w:rsidRPr="002A43E4">
        <w:rPr>
          <w:rFonts w:ascii="Verdana" w:hAnsi="Verdana" w:cs="Arial"/>
          <w:sz w:val="22"/>
          <w:szCs w:val="22"/>
        </w:rPr>
        <w:t xml:space="preserve">, </w:t>
      </w:r>
      <w:r w:rsidR="002C54D4" w:rsidRPr="002A43E4">
        <w:rPr>
          <w:rFonts w:ascii="Verdana" w:hAnsi="Verdana" w:cs="Arial"/>
          <w:sz w:val="22"/>
          <w:szCs w:val="22"/>
        </w:rPr>
        <w:t xml:space="preserve">la </w:t>
      </w:r>
      <w:r w:rsidR="00E617C4" w:rsidRPr="002A43E4">
        <w:rPr>
          <w:rFonts w:ascii="Verdana" w:hAnsi="Verdana" w:cs="Arial"/>
          <w:sz w:val="22"/>
          <w:szCs w:val="22"/>
        </w:rPr>
        <w:t xml:space="preserve">Contaduría General de la Nación (CGN) expidió la Resolución </w:t>
      </w:r>
      <w:r w:rsidR="00584C6B" w:rsidRPr="002A43E4">
        <w:rPr>
          <w:rFonts w:ascii="Verdana" w:hAnsi="Verdana" w:cs="Arial"/>
          <w:sz w:val="22"/>
          <w:szCs w:val="22"/>
        </w:rPr>
        <w:t xml:space="preserve">172 del </w:t>
      </w:r>
      <w:r w:rsidR="004B709F" w:rsidRPr="002A43E4">
        <w:rPr>
          <w:rFonts w:ascii="Verdana" w:hAnsi="Verdana" w:cs="Arial"/>
          <w:sz w:val="22"/>
          <w:szCs w:val="22"/>
        </w:rPr>
        <w:t>13 de junio de 2023</w:t>
      </w:r>
      <w:r w:rsidR="002C54D4" w:rsidRPr="002A43E4">
        <w:rPr>
          <w:rFonts w:ascii="Verdana" w:hAnsi="Verdana" w:cs="Arial"/>
          <w:sz w:val="22"/>
          <w:szCs w:val="22"/>
        </w:rPr>
        <w:t xml:space="preserve">, mediante la </w:t>
      </w:r>
      <w:r w:rsidR="002E379F" w:rsidRPr="002A43E4">
        <w:rPr>
          <w:rFonts w:ascii="Verdana" w:hAnsi="Verdana" w:cs="Arial"/>
          <w:sz w:val="22"/>
          <w:szCs w:val="22"/>
        </w:rPr>
        <w:t>que</w:t>
      </w:r>
      <w:r w:rsidR="002C54D4" w:rsidRPr="002A43E4">
        <w:rPr>
          <w:rFonts w:ascii="Verdana" w:hAnsi="Verdana" w:cs="Arial"/>
          <w:sz w:val="22"/>
          <w:szCs w:val="22"/>
        </w:rPr>
        <w:t xml:space="preserve"> definió los criterios para la elaboración del informe contable cuando se produzca cambio de representante legal</w:t>
      </w:r>
      <w:r w:rsidR="002E379F" w:rsidRPr="002A43E4">
        <w:rPr>
          <w:rFonts w:ascii="Verdana" w:hAnsi="Verdana" w:cs="Arial"/>
          <w:sz w:val="22"/>
          <w:szCs w:val="22"/>
        </w:rPr>
        <w:t xml:space="preserve">. </w:t>
      </w:r>
    </w:p>
    <w:p w14:paraId="7EA58602" w14:textId="2F12F4B6" w:rsidR="002E379F" w:rsidRPr="002A43E4" w:rsidRDefault="002E379F" w:rsidP="00E77209">
      <w:pPr>
        <w:autoSpaceDE w:val="0"/>
        <w:autoSpaceDN w:val="0"/>
        <w:adjustRightInd w:val="0"/>
        <w:spacing w:line="252" w:lineRule="auto"/>
        <w:jc w:val="both"/>
        <w:rPr>
          <w:rFonts w:ascii="Verdana" w:hAnsi="Verdana" w:cs="Arial"/>
          <w:sz w:val="22"/>
          <w:szCs w:val="22"/>
        </w:rPr>
      </w:pPr>
    </w:p>
    <w:p w14:paraId="0542B8DF" w14:textId="26A135EE" w:rsidR="002E379F" w:rsidRPr="002A43E4" w:rsidRDefault="002E379F" w:rsidP="00E77209">
      <w:pPr>
        <w:autoSpaceDE w:val="0"/>
        <w:autoSpaceDN w:val="0"/>
        <w:adjustRightInd w:val="0"/>
        <w:spacing w:line="252" w:lineRule="auto"/>
        <w:jc w:val="both"/>
        <w:rPr>
          <w:rFonts w:ascii="Verdana" w:hAnsi="Verdana" w:cs="Arial"/>
          <w:sz w:val="22"/>
          <w:szCs w:val="22"/>
        </w:rPr>
      </w:pPr>
      <w:r w:rsidRPr="002A43E4">
        <w:rPr>
          <w:rFonts w:ascii="Verdana" w:hAnsi="Verdana" w:cs="Arial"/>
          <w:sz w:val="22"/>
          <w:szCs w:val="22"/>
        </w:rPr>
        <w:t xml:space="preserve">En este contexto, en cumplimiento de </w:t>
      </w:r>
      <w:r w:rsidR="005E1F3D" w:rsidRPr="002A43E4">
        <w:rPr>
          <w:rFonts w:ascii="Verdana" w:hAnsi="Verdana" w:cs="Arial"/>
          <w:sz w:val="22"/>
          <w:szCs w:val="22"/>
        </w:rPr>
        <w:t xml:space="preserve">lo </w:t>
      </w:r>
      <w:r w:rsidR="006A2CB3" w:rsidRPr="002A43E4">
        <w:rPr>
          <w:rFonts w:ascii="Verdana" w:hAnsi="Verdana" w:cs="Arial"/>
          <w:sz w:val="22"/>
          <w:szCs w:val="22"/>
        </w:rPr>
        <w:t>señalado</w:t>
      </w:r>
      <w:r w:rsidR="005E1F3D" w:rsidRPr="002A43E4">
        <w:rPr>
          <w:rFonts w:ascii="Verdana" w:hAnsi="Verdana" w:cs="Arial"/>
          <w:sz w:val="22"/>
          <w:szCs w:val="22"/>
        </w:rPr>
        <w:t xml:space="preserve"> por la Contaduría General de la Nación, </w:t>
      </w:r>
      <w:r w:rsidR="00391DB0" w:rsidRPr="002A43E4">
        <w:rPr>
          <w:rFonts w:ascii="Verdana" w:hAnsi="Verdana" w:cs="Arial"/>
          <w:sz w:val="22"/>
          <w:szCs w:val="22"/>
        </w:rPr>
        <w:t xml:space="preserve">y con el propósito de evidenciar el estado del proceso contable y de los sistemas que lo soportan, así como de garantizar el normal desarrollo del mismo, </w:t>
      </w:r>
      <w:r w:rsidR="005E1F3D" w:rsidRPr="002A43E4">
        <w:rPr>
          <w:rFonts w:ascii="Verdana" w:hAnsi="Verdana" w:cs="Arial"/>
          <w:sz w:val="22"/>
          <w:szCs w:val="22"/>
        </w:rPr>
        <w:t>a continuación se presenta</w:t>
      </w:r>
      <w:r w:rsidR="00D07593" w:rsidRPr="002A43E4">
        <w:rPr>
          <w:rFonts w:ascii="Verdana" w:hAnsi="Verdana" w:cs="Arial"/>
          <w:sz w:val="22"/>
          <w:szCs w:val="22"/>
        </w:rPr>
        <w:t xml:space="preserve"> el detalle de los principales aspectos que </w:t>
      </w:r>
      <w:r w:rsidR="002E0AB9" w:rsidRPr="002A43E4">
        <w:rPr>
          <w:rFonts w:ascii="Verdana" w:hAnsi="Verdana" w:cs="Arial"/>
          <w:sz w:val="22"/>
          <w:szCs w:val="22"/>
        </w:rPr>
        <w:t>integran</w:t>
      </w:r>
      <w:r w:rsidR="005E1F3D" w:rsidRPr="002A43E4">
        <w:rPr>
          <w:rFonts w:ascii="Verdana" w:hAnsi="Verdana" w:cs="Arial"/>
          <w:sz w:val="22"/>
          <w:szCs w:val="22"/>
        </w:rPr>
        <w:t xml:space="preserve"> el informe contable correspondiente a la entidad contable pública Ministerio de Hacienda y Crédito Público – </w:t>
      </w:r>
      <w:r w:rsidR="00076271" w:rsidRPr="002A43E4">
        <w:rPr>
          <w:rFonts w:ascii="Verdana" w:hAnsi="Verdana" w:cs="Arial"/>
          <w:sz w:val="22"/>
          <w:szCs w:val="22"/>
        </w:rPr>
        <w:t>FONPET</w:t>
      </w:r>
      <w:r w:rsidR="005A5883" w:rsidRPr="002A43E4">
        <w:rPr>
          <w:rFonts w:ascii="Verdana" w:hAnsi="Verdana" w:cs="Arial"/>
          <w:sz w:val="22"/>
          <w:szCs w:val="22"/>
        </w:rPr>
        <w:t xml:space="preserve">, identificada por la CGN con código de consolidación </w:t>
      </w:r>
      <w:r w:rsidR="00076271" w:rsidRPr="002A43E4">
        <w:rPr>
          <w:rFonts w:ascii="Verdana" w:hAnsi="Verdana" w:cs="Arial"/>
          <w:sz w:val="22"/>
          <w:szCs w:val="22"/>
        </w:rPr>
        <w:t>923272496</w:t>
      </w:r>
      <w:r w:rsidR="00076434" w:rsidRPr="002A43E4">
        <w:rPr>
          <w:rFonts w:ascii="Verdana" w:hAnsi="Verdana" w:cs="Arial"/>
          <w:sz w:val="22"/>
          <w:szCs w:val="22"/>
        </w:rPr>
        <w:t>.</w:t>
      </w:r>
    </w:p>
    <w:p w14:paraId="0497F1AC" w14:textId="77777777" w:rsidR="00391DB0" w:rsidRPr="002A43E4" w:rsidRDefault="00391DB0" w:rsidP="00E77209">
      <w:pPr>
        <w:autoSpaceDE w:val="0"/>
        <w:autoSpaceDN w:val="0"/>
        <w:adjustRightInd w:val="0"/>
        <w:spacing w:line="252" w:lineRule="auto"/>
        <w:jc w:val="both"/>
        <w:rPr>
          <w:rFonts w:ascii="Verdana" w:hAnsi="Verdana" w:cs="Arial"/>
          <w:sz w:val="22"/>
          <w:szCs w:val="22"/>
        </w:rPr>
      </w:pPr>
    </w:p>
    <w:p w14:paraId="71D3AD5B" w14:textId="1006A477" w:rsidR="005E1F3D" w:rsidRPr="002A43E4" w:rsidRDefault="00191A2A" w:rsidP="00E77209">
      <w:pPr>
        <w:autoSpaceDE w:val="0"/>
        <w:autoSpaceDN w:val="0"/>
        <w:adjustRightInd w:val="0"/>
        <w:spacing w:line="252" w:lineRule="auto"/>
        <w:jc w:val="both"/>
        <w:rPr>
          <w:rFonts w:ascii="Verdana" w:hAnsi="Verdana" w:cs="Arial"/>
          <w:b/>
          <w:bCs/>
          <w:sz w:val="22"/>
          <w:szCs w:val="22"/>
        </w:rPr>
      </w:pPr>
      <w:r w:rsidRPr="002A43E4">
        <w:rPr>
          <w:rFonts w:ascii="Verdana" w:hAnsi="Verdana" w:cs="Arial"/>
          <w:b/>
          <w:bCs/>
          <w:sz w:val="22"/>
          <w:szCs w:val="22"/>
        </w:rPr>
        <w:t xml:space="preserve">a. </w:t>
      </w:r>
      <w:r w:rsidR="00F95060" w:rsidRPr="002A43E4">
        <w:rPr>
          <w:rFonts w:ascii="Verdana" w:hAnsi="Verdana" w:cs="Arial"/>
          <w:b/>
          <w:bCs/>
          <w:sz w:val="22"/>
          <w:szCs w:val="22"/>
        </w:rPr>
        <w:t>Situación</w:t>
      </w:r>
      <w:r w:rsidR="00620643" w:rsidRPr="002A43E4">
        <w:rPr>
          <w:rFonts w:ascii="Verdana" w:hAnsi="Verdana" w:cs="Arial"/>
          <w:b/>
          <w:bCs/>
          <w:sz w:val="22"/>
          <w:szCs w:val="22"/>
        </w:rPr>
        <w:t xml:space="preserve"> actua</w:t>
      </w:r>
      <w:r w:rsidR="00895701" w:rsidRPr="002A43E4">
        <w:rPr>
          <w:rFonts w:ascii="Verdana" w:hAnsi="Verdana" w:cs="Arial"/>
          <w:b/>
          <w:bCs/>
          <w:sz w:val="22"/>
          <w:szCs w:val="22"/>
        </w:rPr>
        <w:t>l</w:t>
      </w:r>
      <w:r w:rsidR="00391DB0" w:rsidRPr="002A43E4">
        <w:rPr>
          <w:rFonts w:ascii="Verdana" w:eastAsia="Calibri" w:hAnsi="Verdana" w:cs="Arial"/>
          <w:b/>
          <w:bCs/>
          <w:sz w:val="22"/>
          <w:szCs w:val="22"/>
          <w:lang w:val="es-CO"/>
        </w:rPr>
        <w:t xml:space="preserve"> de los sistemas de información que soportan el proceso contable</w:t>
      </w:r>
    </w:p>
    <w:p w14:paraId="3C649A31" w14:textId="29B7B5F1" w:rsidR="00E617C4" w:rsidRPr="002A43E4" w:rsidRDefault="00E617C4" w:rsidP="00E77209">
      <w:pPr>
        <w:autoSpaceDE w:val="0"/>
        <w:autoSpaceDN w:val="0"/>
        <w:spacing w:line="252" w:lineRule="auto"/>
        <w:rPr>
          <w:rFonts w:ascii="Verdana" w:hAnsi="Verdana" w:cs="Arial"/>
          <w:sz w:val="22"/>
          <w:szCs w:val="22"/>
        </w:rPr>
      </w:pPr>
      <w:r w:rsidRPr="002A43E4">
        <w:rPr>
          <w:rFonts w:ascii="Verdana" w:hAnsi="Verdana" w:cs="Arial"/>
          <w:sz w:val="22"/>
          <w:szCs w:val="22"/>
        </w:rPr>
        <w:t> </w:t>
      </w:r>
    </w:p>
    <w:p w14:paraId="1FBF343C" w14:textId="15EC8BB4" w:rsidR="00F619DB" w:rsidRPr="002A43E4" w:rsidRDefault="00F619DB" w:rsidP="00E77209">
      <w:pPr>
        <w:autoSpaceDE w:val="0"/>
        <w:autoSpaceDN w:val="0"/>
        <w:spacing w:line="252" w:lineRule="auto"/>
        <w:jc w:val="both"/>
        <w:rPr>
          <w:rFonts w:ascii="Verdana" w:hAnsi="Verdana" w:cs="Arial"/>
          <w:sz w:val="22"/>
          <w:szCs w:val="22"/>
        </w:rPr>
      </w:pPr>
      <w:r w:rsidRPr="002A43E4">
        <w:rPr>
          <w:rFonts w:ascii="Verdana" w:hAnsi="Verdana" w:cs="Arial"/>
          <w:sz w:val="22"/>
          <w:szCs w:val="22"/>
        </w:rPr>
        <w:t xml:space="preserve">El registro de las transacciones y </w:t>
      </w:r>
      <w:r w:rsidR="00A219A5" w:rsidRPr="002A43E4">
        <w:rPr>
          <w:rFonts w:ascii="Verdana" w:hAnsi="Verdana" w:cs="Arial"/>
          <w:sz w:val="22"/>
          <w:szCs w:val="22"/>
        </w:rPr>
        <w:t>operaciones</w:t>
      </w:r>
      <w:r w:rsidRPr="002A43E4">
        <w:rPr>
          <w:rFonts w:ascii="Verdana" w:hAnsi="Verdana" w:cs="Arial"/>
          <w:sz w:val="22"/>
          <w:szCs w:val="22"/>
        </w:rPr>
        <w:t xml:space="preserve"> </w:t>
      </w:r>
      <w:r w:rsidR="00614EFD" w:rsidRPr="002A43E4">
        <w:rPr>
          <w:rFonts w:ascii="Verdana" w:hAnsi="Verdana" w:cs="Arial"/>
          <w:sz w:val="22"/>
          <w:szCs w:val="22"/>
        </w:rPr>
        <w:t xml:space="preserve">del Ministerio de Hacienda y Crédito Público </w:t>
      </w:r>
      <w:r w:rsidR="00076271" w:rsidRPr="002A43E4">
        <w:rPr>
          <w:rFonts w:ascii="Verdana" w:hAnsi="Verdana" w:cs="Arial"/>
          <w:sz w:val="22"/>
          <w:szCs w:val="22"/>
        </w:rPr>
        <w:t xml:space="preserve">– FONPET, </w:t>
      </w:r>
      <w:r w:rsidRPr="002A43E4">
        <w:rPr>
          <w:rFonts w:ascii="Verdana" w:hAnsi="Verdana" w:cs="Arial"/>
          <w:sz w:val="22"/>
          <w:szCs w:val="22"/>
        </w:rPr>
        <w:t>se realiza</w:t>
      </w:r>
      <w:r w:rsidR="00076271" w:rsidRPr="002A43E4">
        <w:rPr>
          <w:rFonts w:ascii="Verdana" w:hAnsi="Verdana" w:cs="Arial"/>
          <w:sz w:val="22"/>
          <w:szCs w:val="22"/>
        </w:rPr>
        <w:t>n</w:t>
      </w:r>
      <w:r w:rsidRPr="002A43E4">
        <w:rPr>
          <w:rFonts w:ascii="Verdana" w:hAnsi="Verdana" w:cs="Arial"/>
          <w:sz w:val="22"/>
          <w:szCs w:val="22"/>
        </w:rPr>
        <w:t xml:space="preserve"> con fundamento en los documentos soporte debidamente legalizados y registrados en los libros de contabilidad, auxiliares y principales, siguiendo ordenadamente el proceso contable, desde la identificación, clasificación, reconocimiento y registro de los hechos económicos, hasta la preparación y presentación de los estados </w:t>
      </w:r>
      <w:r w:rsidR="00076271" w:rsidRPr="002A43E4">
        <w:rPr>
          <w:rFonts w:ascii="Verdana" w:hAnsi="Verdana" w:cs="Arial"/>
          <w:sz w:val="22"/>
          <w:szCs w:val="22"/>
        </w:rPr>
        <w:t xml:space="preserve">de situación </w:t>
      </w:r>
      <w:r w:rsidRPr="002A43E4">
        <w:rPr>
          <w:rFonts w:ascii="Verdana" w:hAnsi="Verdana" w:cs="Arial"/>
          <w:sz w:val="22"/>
          <w:szCs w:val="22"/>
        </w:rPr>
        <w:t>financier</w:t>
      </w:r>
      <w:r w:rsidR="00076271" w:rsidRPr="002A43E4">
        <w:rPr>
          <w:rFonts w:ascii="Verdana" w:hAnsi="Verdana" w:cs="Arial"/>
          <w:sz w:val="22"/>
          <w:szCs w:val="22"/>
        </w:rPr>
        <w:t>a</w:t>
      </w:r>
      <w:r w:rsidRPr="002A43E4">
        <w:rPr>
          <w:rFonts w:ascii="Verdana" w:hAnsi="Verdana" w:cs="Arial"/>
          <w:sz w:val="22"/>
          <w:szCs w:val="22"/>
        </w:rPr>
        <w:t xml:space="preserve">, utilizando para tal fin </w:t>
      </w:r>
      <w:r w:rsidR="00076271" w:rsidRPr="002A43E4">
        <w:rPr>
          <w:rFonts w:ascii="Verdana" w:hAnsi="Verdana" w:cs="Arial"/>
          <w:sz w:val="22"/>
          <w:szCs w:val="22"/>
        </w:rPr>
        <w:t>el aplicativo contable llamado SOFIA y el Sistema de Información FONPET (SIF).</w:t>
      </w:r>
      <w:r w:rsidRPr="002A43E4">
        <w:rPr>
          <w:rFonts w:ascii="Verdana" w:hAnsi="Verdana" w:cs="Arial"/>
          <w:sz w:val="22"/>
          <w:szCs w:val="22"/>
        </w:rPr>
        <w:t xml:space="preserve"> </w:t>
      </w:r>
    </w:p>
    <w:p w14:paraId="437B473F" w14:textId="77777777" w:rsidR="00F619DB" w:rsidRPr="002A43E4" w:rsidRDefault="00F619DB" w:rsidP="00E77209">
      <w:pPr>
        <w:autoSpaceDE w:val="0"/>
        <w:autoSpaceDN w:val="0"/>
        <w:spacing w:line="252" w:lineRule="auto"/>
        <w:rPr>
          <w:rFonts w:ascii="Verdana" w:hAnsi="Verdana" w:cs="Arial"/>
          <w:sz w:val="22"/>
          <w:szCs w:val="22"/>
        </w:rPr>
      </w:pPr>
    </w:p>
    <w:p w14:paraId="6B692A74" w14:textId="09899199" w:rsidR="00076271" w:rsidRPr="002A43E4" w:rsidRDefault="00076271" w:rsidP="00E77209">
      <w:pPr>
        <w:autoSpaceDE w:val="0"/>
        <w:autoSpaceDN w:val="0"/>
        <w:spacing w:line="252" w:lineRule="auto"/>
        <w:jc w:val="both"/>
        <w:rPr>
          <w:rFonts w:ascii="Verdana" w:hAnsi="Verdana" w:cs="Arial"/>
          <w:sz w:val="22"/>
          <w:szCs w:val="22"/>
        </w:rPr>
      </w:pPr>
      <w:r w:rsidRPr="002A43E4">
        <w:rPr>
          <w:rFonts w:ascii="Verdana" w:hAnsi="Verdana" w:cs="Arial"/>
          <w:sz w:val="22"/>
          <w:szCs w:val="22"/>
        </w:rPr>
        <w:t xml:space="preserve">Los estados de situación financiera del FONPET, llamados así por su atipicidad debidamente normado por la CGN de forma casi que exclusiva en la dinámica de sus </w:t>
      </w:r>
      <w:r w:rsidR="0061690E" w:rsidRPr="002A43E4">
        <w:rPr>
          <w:rFonts w:ascii="Verdana" w:hAnsi="Verdana" w:cs="Arial"/>
          <w:sz w:val="22"/>
          <w:szCs w:val="22"/>
        </w:rPr>
        <w:t>registros contables como lo es la Resolución 428 del 2018</w:t>
      </w:r>
      <w:r w:rsidR="000B196E">
        <w:rPr>
          <w:rFonts w:ascii="Verdana" w:hAnsi="Verdana" w:cs="Arial"/>
          <w:sz w:val="22"/>
          <w:szCs w:val="22"/>
        </w:rPr>
        <w:t>.</w:t>
      </w:r>
    </w:p>
    <w:p w14:paraId="29A27A79" w14:textId="77777777" w:rsidR="0061690E" w:rsidRPr="002A43E4" w:rsidRDefault="0061690E" w:rsidP="00E77209">
      <w:pPr>
        <w:autoSpaceDE w:val="0"/>
        <w:autoSpaceDN w:val="0"/>
        <w:spacing w:line="252" w:lineRule="auto"/>
        <w:jc w:val="both"/>
        <w:rPr>
          <w:rFonts w:ascii="Verdana" w:hAnsi="Verdana" w:cs="Arial"/>
          <w:sz w:val="22"/>
          <w:szCs w:val="22"/>
        </w:rPr>
      </w:pPr>
    </w:p>
    <w:p w14:paraId="37D40DFB" w14:textId="08D5312D" w:rsidR="0061690E" w:rsidRPr="002A43E4" w:rsidRDefault="0061690E" w:rsidP="00E77209">
      <w:pPr>
        <w:autoSpaceDE w:val="0"/>
        <w:autoSpaceDN w:val="0"/>
        <w:spacing w:line="252" w:lineRule="auto"/>
        <w:jc w:val="both"/>
        <w:rPr>
          <w:rFonts w:ascii="Verdana" w:hAnsi="Verdana" w:cs="Arial"/>
          <w:sz w:val="22"/>
          <w:szCs w:val="22"/>
        </w:rPr>
      </w:pPr>
      <w:r w:rsidRPr="002A43E4">
        <w:rPr>
          <w:rFonts w:ascii="Verdana" w:hAnsi="Verdana" w:cs="Arial"/>
          <w:sz w:val="22"/>
          <w:szCs w:val="22"/>
        </w:rPr>
        <w:t>La contabilidad del FONPET</w:t>
      </w:r>
      <w:r w:rsidR="00697D07" w:rsidRPr="002A43E4">
        <w:rPr>
          <w:rFonts w:ascii="Verdana" w:hAnsi="Verdana" w:cs="Arial"/>
          <w:sz w:val="22"/>
          <w:szCs w:val="22"/>
        </w:rPr>
        <w:t xml:space="preserve"> en sus estados de situación financiera a diferencia de otras contabilidades, no </w:t>
      </w:r>
      <w:r w:rsidR="002A43E4" w:rsidRPr="002A43E4">
        <w:rPr>
          <w:rFonts w:ascii="Verdana" w:hAnsi="Verdana" w:cs="Arial"/>
          <w:sz w:val="22"/>
          <w:szCs w:val="22"/>
        </w:rPr>
        <w:t>contiene</w:t>
      </w:r>
      <w:r w:rsidR="00697D07" w:rsidRPr="002A43E4">
        <w:rPr>
          <w:rFonts w:ascii="Verdana" w:hAnsi="Verdana" w:cs="Arial"/>
          <w:sz w:val="22"/>
          <w:szCs w:val="22"/>
        </w:rPr>
        <w:t xml:space="preserve"> cuentas de patrimonio, ni cuentas de resultados, </w:t>
      </w:r>
      <w:r w:rsidR="002A43E4" w:rsidRPr="002A43E4">
        <w:rPr>
          <w:rFonts w:ascii="Verdana" w:hAnsi="Verdana" w:cs="Arial"/>
          <w:sz w:val="22"/>
          <w:szCs w:val="22"/>
        </w:rPr>
        <w:t>solo contiene</w:t>
      </w:r>
      <w:r w:rsidR="00697D07" w:rsidRPr="002A43E4">
        <w:rPr>
          <w:rFonts w:ascii="Verdana" w:hAnsi="Verdana" w:cs="Arial"/>
          <w:sz w:val="22"/>
          <w:szCs w:val="22"/>
        </w:rPr>
        <w:t xml:space="preserve"> cuentas de activos, pasivo y cuentas de orden, manejando la siguiente estructura:</w:t>
      </w:r>
    </w:p>
    <w:p w14:paraId="3B5DB104" w14:textId="77777777" w:rsidR="00697D07" w:rsidRDefault="00697D07" w:rsidP="00E77209">
      <w:pPr>
        <w:autoSpaceDE w:val="0"/>
        <w:autoSpaceDN w:val="0"/>
        <w:spacing w:line="252" w:lineRule="auto"/>
        <w:jc w:val="both"/>
        <w:rPr>
          <w:rFonts w:ascii="Verdana" w:hAnsi="Verdana" w:cs="Arial"/>
          <w:sz w:val="21"/>
          <w:szCs w:val="21"/>
        </w:rPr>
      </w:pPr>
    </w:p>
    <w:p w14:paraId="47241994" w14:textId="77777777" w:rsidR="00697D07" w:rsidRDefault="00697D07" w:rsidP="00E77209">
      <w:pPr>
        <w:autoSpaceDE w:val="0"/>
        <w:autoSpaceDN w:val="0"/>
        <w:spacing w:line="252" w:lineRule="auto"/>
        <w:jc w:val="both"/>
        <w:rPr>
          <w:rFonts w:ascii="Verdana" w:hAnsi="Verdana" w:cs="Arial"/>
          <w:sz w:val="21"/>
          <w:szCs w:val="21"/>
        </w:rPr>
      </w:pPr>
    </w:p>
    <w:p w14:paraId="0475990F" w14:textId="77777777" w:rsidR="00697D07" w:rsidRDefault="00697D07" w:rsidP="00E77209">
      <w:pPr>
        <w:autoSpaceDE w:val="0"/>
        <w:autoSpaceDN w:val="0"/>
        <w:spacing w:line="252" w:lineRule="auto"/>
        <w:jc w:val="both"/>
        <w:rPr>
          <w:rFonts w:ascii="Verdana" w:hAnsi="Verdana" w:cs="Arial"/>
          <w:sz w:val="21"/>
          <w:szCs w:val="21"/>
        </w:rPr>
      </w:pPr>
    </w:p>
    <w:p w14:paraId="2192183C" w14:textId="517E7281" w:rsidR="00697D07" w:rsidRDefault="00697D07" w:rsidP="00E77209">
      <w:pPr>
        <w:autoSpaceDE w:val="0"/>
        <w:autoSpaceDN w:val="0"/>
        <w:spacing w:line="252" w:lineRule="auto"/>
        <w:jc w:val="both"/>
        <w:rPr>
          <w:rFonts w:ascii="Verdana" w:hAnsi="Verdana" w:cs="Arial"/>
          <w:sz w:val="21"/>
          <w:szCs w:val="21"/>
        </w:rPr>
      </w:pPr>
      <w:r>
        <w:rPr>
          <w:rFonts w:ascii="Verdana" w:hAnsi="Verdana" w:cs="Arial"/>
          <w:noProof/>
          <w:sz w:val="21"/>
          <w:szCs w:val="21"/>
        </w:rPr>
        <w:drawing>
          <wp:inline distT="0" distB="0" distL="0" distR="0" wp14:anchorId="4097943E" wp14:editId="1D40DD1C">
            <wp:extent cx="5913736" cy="499745"/>
            <wp:effectExtent l="0" t="0" r="0" b="0"/>
            <wp:docPr id="154646453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23064" cy="500533"/>
                    </a:xfrm>
                    <a:prstGeom prst="rect">
                      <a:avLst/>
                    </a:prstGeom>
                    <a:noFill/>
                  </pic:spPr>
                </pic:pic>
              </a:graphicData>
            </a:graphic>
          </wp:inline>
        </w:drawing>
      </w:r>
    </w:p>
    <w:p w14:paraId="2FC7EEB4" w14:textId="05647D1E" w:rsidR="00697D07" w:rsidRDefault="00697D07" w:rsidP="00E77209">
      <w:pPr>
        <w:autoSpaceDE w:val="0"/>
        <w:autoSpaceDN w:val="0"/>
        <w:spacing w:line="252" w:lineRule="auto"/>
        <w:jc w:val="both"/>
        <w:rPr>
          <w:rFonts w:ascii="Verdana" w:hAnsi="Verdana" w:cs="Arial"/>
          <w:sz w:val="21"/>
          <w:szCs w:val="21"/>
        </w:rPr>
      </w:pPr>
      <w:r>
        <w:rPr>
          <w:rFonts w:ascii="Verdana" w:hAnsi="Verdana" w:cs="Arial"/>
          <w:noProof/>
          <w:sz w:val="21"/>
          <w:szCs w:val="21"/>
        </w:rPr>
        <w:drawing>
          <wp:inline distT="0" distB="0" distL="0" distR="0" wp14:anchorId="2E3E3E05" wp14:editId="23627ED3">
            <wp:extent cx="5832191" cy="3527425"/>
            <wp:effectExtent l="0" t="0" r="0" b="0"/>
            <wp:docPr id="39239703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52079" cy="3539454"/>
                    </a:xfrm>
                    <a:prstGeom prst="rect">
                      <a:avLst/>
                    </a:prstGeom>
                    <a:noFill/>
                  </pic:spPr>
                </pic:pic>
              </a:graphicData>
            </a:graphic>
          </wp:inline>
        </w:drawing>
      </w:r>
    </w:p>
    <w:p w14:paraId="101C8A4D" w14:textId="275B33DC" w:rsidR="00697D07" w:rsidRPr="002A43E4" w:rsidRDefault="002A43E4" w:rsidP="00E77209">
      <w:pPr>
        <w:autoSpaceDE w:val="0"/>
        <w:autoSpaceDN w:val="0"/>
        <w:spacing w:line="252" w:lineRule="auto"/>
        <w:jc w:val="both"/>
        <w:rPr>
          <w:rFonts w:ascii="Verdana" w:hAnsi="Verdana" w:cs="Arial"/>
          <w:sz w:val="16"/>
          <w:szCs w:val="16"/>
        </w:rPr>
      </w:pPr>
      <w:r w:rsidRPr="002A43E4">
        <w:rPr>
          <w:rFonts w:ascii="Verdana" w:hAnsi="Verdana" w:cs="Arial"/>
          <w:sz w:val="16"/>
          <w:szCs w:val="16"/>
        </w:rPr>
        <w:t>Fuente: Elaboración propia Grupo Contable FONPET</w:t>
      </w:r>
    </w:p>
    <w:p w14:paraId="4102DC4B" w14:textId="77777777" w:rsidR="002A43E4" w:rsidRDefault="002A43E4" w:rsidP="00E77209">
      <w:pPr>
        <w:autoSpaceDE w:val="0"/>
        <w:autoSpaceDN w:val="0"/>
        <w:spacing w:line="252" w:lineRule="auto"/>
        <w:jc w:val="both"/>
        <w:rPr>
          <w:rFonts w:ascii="Verdana" w:hAnsi="Verdana" w:cs="Arial"/>
          <w:sz w:val="21"/>
          <w:szCs w:val="21"/>
        </w:rPr>
      </w:pPr>
    </w:p>
    <w:p w14:paraId="4A12B0E0" w14:textId="77777777" w:rsidR="002A43E4" w:rsidRDefault="002A43E4" w:rsidP="00E77209">
      <w:pPr>
        <w:autoSpaceDE w:val="0"/>
        <w:autoSpaceDN w:val="0"/>
        <w:spacing w:line="252" w:lineRule="auto"/>
        <w:jc w:val="both"/>
        <w:rPr>
          <w:rFonts w:ascii="Verdana" w:hAnsi="Verdana" w:cs="Arial"/>
          <w:sz w:val="22"/>
          <w:szCs w:val="22"/>
        </w:rPr>
      </w:pPr>
    </w:p>
    <w:p w14:paraId="47C10A8B" w14:textId="5B77B811" w:rsidR="00D651EF" w:rsidRDefault="00D651EF" w:rsidP="00E77209">
      <w:pPr>
        <w:autoSpaceDE w:val="0"/>
        <w:autoSpaceDN w:val="0"/>
        <w:spacing w:line="252" w:lineRule="auto"/>
        <w:jc w:val="both"/>
        <w:rPr>
          <w:rFonts w:ascii="Verdana" w:hAnsi="Verdana" w:cs="Arial"/>
          <w:sz w:val="22"/>
          <w:szCs w:val="22"/>
        </w:rPr>
      </w:pPr>
      <w:r>
        <w:rPr>
          <w:rFonts w:ascii="Verdana" w:hAnsi="Verdana" w:cs="Arial"/>
          <w:sz w:val="22"/>
          <w:szCs w:val="22"/>
        </w:rPr>
        <w:t>El acceso al aplicativo contable llamado SOFIA, está de manera exclusiva al Grupo Contable FONPET, en el que se efectúan los diferentes registros acordes a la estructura mencionada en la imagen que antecede.</w:t>
      </w:r>
    </w:p>
    <w:p w14:paraId="6153960B" w14:textId="77777777" w:rsidR="00D651EF" w:rsidRDefault="00D651EF" w:rsidP="00E77209">
      <w:pPr>
        <w:autoSpaceDE w:val="0"/>
        <w:autoSpaceDN w:val="0"/>
        <w:spacing w:line="252" w:lineRule="auto"/>
        <w:jc w:val="both"/>
        <w:rPr>
          <w:rFonts w:ascii="Verdana" w:hAnsi="Verdana" w:cs="Arial"/>
          <w:sz w:val="22"/>
          <w:szCs w:val="22"/>
        </w:rPr>
      </w:pPr>
    </w:p>
    <w:p w14:paraId="2439036B" w14:textId="000A03B1" w:rsidR="00D651EF" w:rsidRDefault="00D651EF" w:rsidP="00E77209">
      <w:pPr>
        <w:autoSpaceDE w:val="0"/>
        <w:autoSpaceDN w:val="0"/>
        <w:spacing w:line="252" w:lineRule="auto"/>
        <w:jc w:val="both"/>
        <w:rPr>
          <w:rFonts w:ascii="Verdana" w:hAnsi="Verdana" w:cs="Arial"/>
          <w:sz w:val="22"/>
          <w:szCs w:val="22"/>
        </w:rPr>
      </w:pPr>
      <w:r>
        <w:rPr>
          <w:rFonts w:ascii="Verdana" w:hAnsi="Verdana" w:cs="Arial"/>
          <w:sz w:val="22"/>
          <w:szCs w:val="22"/>
        </w:rPr>
        <w:t>En el mes de febrero del año 2025, dentro de las fechas establecidas por la CGN (Contaduría General de la Nación), se efectuó la trasmisión de saldos y movimientos, así como las observaciones a las variaciones significativas</w:t>
      </w:r>
      <w:r w:rsidR="00845006">
        <w:rPr>
          <w:rFonts w:ascii="Verdana" w:hAnsi="Verdana" w:cs="Arial"/>
          <w:sz w:val="22"/>
          <w:szCs w:val="22"/>
        </w:rPr>
        <w:t xml:space="preserve"> del cuarto trimestre </w:t>
      </w:r>
      <w:r w:rsidR="000B196E">
        <w:rPr>
          <w:rFonts w:ascii="Verdana" w:hAnsi="Verdana" w:cs="Arial"/>
          <w:sz w:val="22"/>
          <w:szCs w:val="22"/>
        </w:rPr>
        <w:t>del año</w:t>
      </w:r>
      <w:r w:rsidR="00845006">
        <w:rPr>
          <w:rFonts w:ascii="Verdana" w:hAnsi="Verdana" w:cs="Arial"/>
          <w:sz w:val="22"/>
          <w:szCs w:val="22"/>
        </w:rPr>
        <w:t xml:space="preserve"> 2024 y</w:t>
      </w:r>
      <w:r>
        <w:rPr>
          <w:rFonts w:ascii="Verdana" w:hAnsi="Verdana" w:cs="Arial"/>
          <w:sz w:val="22"/>
          <w:szCs w:val="22"/>
        </w:rPr>
        <w:t xml:space="preserve"> las Notas a los Estados de Situación Financiera</w:t>
      </w:r>
      <w:r w:rsidR="00845006">
        <w:rPr>
          <w:rFonts w:ascii="Verdana" w:hAnsi="Verdana" w:cs="Arial"/>
          <w:sz w:val="22"/>
          <w:szCs w:val="22"/>
        </w:rPr>
        <w:t xml:space="preserve"> a corte 31 de diciembre del año 2024</w:t>
      </w:r>
      <w:r>
        <w:rPr>
          <w:rFonts w:ascii="Verdana" w:hAnsi="Verdana" w:cs="Arial"/>
          <w:sz w:val="22"/>
          <w:szCs w:val="22"/>
        </w:rPr>
        <w:t xml:space="preserve">, en el CHIP </w:t>
      </w:r>
      <w:r w:rsidR="00A11BA7">
        <w:rPr>
          <w:rFonts w:ascii="Verdana" w:hAnsi="Verdana" w:cs="Arial"/>
          <w:sz w:val="22"/>
          <w:szCs w:val="22"/>
        </w:rPr>
        <w:t>(Consolidador de Hacienda e Información Pública), de la CGN (Contaduría General de la Nación).</w:t>
      </w:r>
    </w:p>
    <w:p w14:paraId="34C34378" w14:textId="77777777" w:rsidR="00A11BA7" w:rsidRDefault="00A11BA7" w:rsidP="00E77209">
      <w:pPr>
        <w:autoSpaceDE w:val="0"/>
        <w:autoSpaceDN w:val="0"/>
        <w:spacing w:line="252" w:lineRule="auto"/>
        <w:jc w:val="both"/>
        <w:rPr>
          <w:rFonts w:ascii="Verdana" w:hAnsi="Verdana" w:cs="Arial"/>
          <w:sz w:val="22"/>
          <w:szCs w:val="22"/>
        </w:rPr>
      </w:pPr>
    </w:p>
    <w:p w14:paraId="19A1A7ED" w14:textId="32C36A5F" w:rsidR="00A11BA7" w:rsidRDefault="00A11BA7" w:rsidP="00E77209">
      <w:pPr>
        <w:autoSpaceDE w:val="0"/>
        <w:autoSpaceDN w:val="0"/>
        <w:spacing w:line="252" w:lineRule="auto"/>
        <w:jc w:val="both"/>
        <w:rPr>
          <w:rFonts w:ascii="Verdana" w:hAnsi="Verdana" w:cs="Arial"/>
          <w:sz w:val="22"/>
          <w:szCs w:val="22"/>
        </w:rPr>
      </w:pPr>
      <w:r>
        <w:rPr>
          <w:rFonts w:ascii="Verdana" w:hAnsi="Verdana" w:cs="Arial"/>
          <w:sz w:val="22"/>
          <w:szCs w:val="22"/>
        </w:rPr>
        <w:lastRenderedPageBreak/>
        <w:t xml:space="preserve">Adicionalmente fueron publicadas las Notas a la Situación Financiera del FONPET </w:t>
      </w:r>
      <w:r w:rsidR="00845006">
        <w:rPr>
          <w:rFonts w:ascii="Verdana" w:hAnsi="Verdana" w:cs="Arial"/>
          <w:sz w:val="22"/>
          <w:szCs w:val="22"/>
        </w:rPr>
        <w:t xml:space="preserve">a corte 31 de diciembre del año 2024, </w:t>
      </w:r>
      <w:r>
        <w:rPr>
          <w:rFonts w:ascii="Verdana" w:hAnsi="Verdana" w:cs="Arial"/>
          <w:sz w:val="22"/>
          <w:szCs w:val="22"/>
        </w:rPr>
        <w:t>en la WEB del Ministerio de Hacienda y Crédito Público</w:t>
      </w:r>
      <w:r w:rsidR="00845006">
        <w:rPr>
          <w:rFonts w:ascii="Verdana" w:hAnsi="Verdana" w:cs="Arial"/>
          <w:sz w:val="22"/>
          <w:szCs w:val="22"/>
        </w:rPr>
        <w:t xml:space="preserve">, en la siguiente dirección electrónica: </w:t>
      </w:r>
      <w:hyperlink r:id="rId14" w:history="1">
        <w:r w:rsidR="00845006" w:rsidRPr="00C930B7">
          <w:rPr>
            <w:rStyle w:val="Hipervnculo"/>
            <w:rFonts w:ascii="Verdana" w:hAnsi="Verdana" w:cs="Arial"/>
            <w:sz w:val="22"/>
            <w:szCs w:val="22"/>
          </w:rPr>
          <w:t>https://www.minhacienda.gov.co/seguridad-social-dress/fonpet</w:t>
        </w:r>
      </w:hyperlink>
      <w:r w:rsidR="00845006">
        <w:rPr>
          <w:rFonts w:ascii="Verdana" w:hAnsi="Verdana" w:cs="Arial"/>
          <w:sz w:val="22"/>
          <w:szCs w:val="22"/>
        </w:rPr>
        <w:t xml:space="preserve"> de acceso público.</w:t>
      </w:r>
    </w:p>
    <w:p w14:paraId="401B945D" w14:textId="77777777" w:rsidR="00845006" w:rsidRDefault="00845006" w:rsidP="00E77209">
      <w:pPr>
        <w:autoSpaceDE w:val="0"/>
        <w:autoSpaceDN w:val="0"/>
        <w:spacing w:line="252" w:lineRule="auto"/>
        <w:jc w:val="both"/>
        <w:rPr>
          <w:rFonts w:ascii="Verdana" w:hAnsi="Verdana" w:cs="Arial"/>
          <w:sz w:val="22"/>
          <w:szCs w:val="22"/>
        </w:rPr>
      </w:pPr>
    </w:p>
    <w:p w14:paraId="7EFBEDE7" w14:textId="1906C75D" w:rsidR="00845006" w:rsidRDefault="00AB77B2" w:rsidP="00E77209">
      <w:pPr>
        <w:autoSpaceDE w:val="0"/>
        <w:autoSpaceDN w:val="0"/>
        <w:spacing w:line="252" w:lineRule="auto"/>
        <w:jc w:val="both"/>
        <w:rPr>
          <w:rFonts w:ascii="Verdana" w:hAnsi="Verdana" w:cs="Arial"/>
          <w:sz w:val="22"/>
          <w:szCs w:val="22"/>
        </w:rPr>
      </w:pPr>
      <w:r>
        <w:rPr>
          <w:rFonts w:ascii="Verdana" w:hAnsi="Verdana" w:cs="Arial"/>
          <w:sz w:val="21"/>
          <w:szCs w:val="21"/>
        </w:rPr>
        <w:t xml:space="preserve">Actualmente se está trabajando </w:t>
      </w:r>
      <w:r w:rsidR="002E1B85">
        <w:rPr>
          <w:rFonts w:ascii="Verdana" w:hAnsi="Verdana" w:cs="Arial"/>
          <w:sz w:val="21"/>
          <w:szCs w:val="21"/>
        </w:rPr>
        <w:t>por</w:t>
      </w:r>
      <w:r>
        <w:rPr>
          <w:rFonts w:ascii="Verdana" w:hAnsi="Verdana" w:cs="Arial"/>
          <w:sz w:val="21"/>
          <w:szCs w:val="21"/>
        </w:rPr>
        <w:t xml:space="preserve"> parte del Grupo Contable del FONPET para la presentación de las Notas a Situación Financiera del FONPET</w:t>
      </w:r>
      <w:r w:rsidR="002E1B85">
        <w:rPr>
          <w:rFonts w:ascii="Verdana" w:hAnsi="Verdana" w:cs="Arial"/>
          <w:sz w:val="21"/>
          <w:szCs w:val="21"/>
        </w:rPr>
        <w:t xml:space="preserve"> y trasmisión por el CHIP </w:t>
      </w:r>
      <w:r w:rsidR="002E1B85">
        <w:rPr>
          <w:rFonts w:ascii="Verdana" w:hAnsi="Verdana" w:cs="Arial"/>
          <w:sz w:val="22"/>
          <w:szCs w:val="22"/>
        </w:rPr>
        <w:t xml:space="preserve">(Consolidador de Hacienda e Información Pública), de la CGN (Contaduría General de la Nación), de los archivos de saldos y movimientos, así como </w:t>
      </w:r>
      <w:r w:rsidR="000C7832">
        <w:rPr>
          <w:rFonts w:ascii="Verdana" w:hAnsi="Verdana" w:cs="Arial"/>
          <w:sz w:val="22"/>
          <w:szCs w:val="22"/>
        </w:rPr>
        <w:t>las variaciones significativas del primer trimestre del año 2025.</w:t>
      </w:r>
    </w:p>
    <w:p w14:paraId="62ADBB56" w14:textId="77777777" w:rsidR="00310590" w:rsidRPr="001E650B" w:rsidRDefault="00310590" w:rsidP="00E77209">
      <w:pPr>
        <w:pStyle w:val="Default"/>
        <w:spacing w:line="252" w:lineRule="auto"/>
        <w:jc w:val="both"/>
        <w:rPr>
          <w:rFonts w:ascii="Verdana" w:hAnsi="Verdana" w:cs="Arial"/>
          <w:sz w:val="21"/>
          <w:szCs w:val="21"/>
        </w:rPr>
      </w:pPr>
    </w:p>
    <w:p w14:paraId="11A48D96" w14:textId="44EB15B7" w:rsidR="00812AC5" w:rsidRPr="001E650B" w:rsidRDefault="00F95060" w:rsidP="00E77209">
      <w:pPr>
        <w:pStyle w:val="Default"/>
        <w:spacing w:line="252" w:lineRule="auto"/>
        <w:jc w:val="both"/>
        <w:rPr>
          <w:rFonts w:ascii="Verdana" w:hAnsi="Verdana" w:cs="Arial"/>
          <w:b/>
          <w:bCs/>
          <w:sz w:val="21"/>
          <w:szCs w:val="21"/>
        </w:rPr>
      </w:pPr>
      <w:r w:rsidRPr="001C6148">
        <w:rPr>
          <w:rFonts w:ascii="Verdana" w:hAnsi="Verdana" w:cs="Arial"/>
          <w:b/>
          <w:bCs/>
          <w:sz w:val="21"/>
          <w:szCs w:val="21"/>
        </w:rPr>
        <w:t>b</w:t>
      </w:r>
      <w:r w:rsidR="00812AC5" w:rsidRPr="001C6148">
        <w:rPr>
          <w:rFonts w:ascii="Verdana" w:hAnsi="Verdana" w:cs="Arial"/>
          <w:b/>
          <w:bCs/>
          <w:sz w:val="21"/>
          <w:szCs w:val="21"/>
        </w:rPr>
        <w:t xml:space="preserve">. </w:t>
      </w:r>
      <w:r w:rsidR="00C53E7E" w:rsidRPr="001C6148">
        <w:rPr>
          <w:rFonts w:ascii="Verdana" w:hAnsi="Verdana" w:cs="Arial"/>
          <w:b/>
          <w:bCs/>
          <w:sz w:val="21"/>
          <w:szCs w:val="21"/>
        </w:rPr>
        <w:t>Estado</w:t>
      </w:r>
      <w:r w:rsidR="00812AC5" w:rsidRPr="001C6148">
        <w:rPr>
          <w:rFonts w:ascii="Verdana" w:hAnsi="Verdana" w:cs="Arial"/>
          <w:b/>
          <w:bCs/>
          <w:sz w:val="21"/>
          <w:szCs w:val="21"/>
        </w:rPr>
        <w:t xml:space="preserve"> de actualización de los libros de contabilidad, principales y auxiliares, a la fecha de entrega del cargo, con todos los documentos y soportes contables correspondientes a</w:t>
      </w:r>
      <w:r w:rsidR="00CF4F9A" w:rsidRPr="001C6148">
        <w:rPr>
          <w:rFonts w:ascii="Verdana" w:hAnsi="Verdana" w:cs="Arial"/>
          <w:b/>
          <w:bCs/>
          <w:sz w:val="21"/>
          <w:szCs w:val="21"/>
        </w:rPr>
        <w:t xml:space="preserve"> </w:t>
      </w:r>
      <w:r w:rsidR="00812AC5" w:rsidRPr="001C6148">
        <w:rPr>
          <w:rFonts w:ascii="Verdana" w:hAnsi="Verdana" w:cs="Arial"/>
          <w:b/>
          <w:bCs/>
          <w:sz w:val="21"/>
          <w:szCs w:val="21"/>
        </w:rPr>
        <w:t>las transacciones y operaciones registradas</w:t>
      </w:r>
      <w:r w:rsidR="00B97676" w:rsidRPr="001C6148">
        <w:rPr>
          <w:rFonts w:ascii="Verdana" w:hAnsi="Verdana" w:cs="Arial"/>
          <w:b/>
          <w:bCs/>
          <w:sz w:val="21"/>
          <w:szCs w:val="21"/>
        </w:rPr>
        <w:t xml:space="preserve">, así como </w:t>
      </w:r>
      <w:r w:rsidR="00EE09A6" w:rsidRPr="001C6148">
        <w:rPr>
          <w:rFonts w:ascii="Verdana" w:hAnsi="Verdana" w:cs="Arial"/>
          <w:b/>
          <w:bCs/>
          <w:sz w:val="21"/>
          <w:szCs w:val="21"/>
        </w:rPr>
        <w:t>los temas pendientes por resolver con la Contaduría</w:t>
      </w:r>
      <w:r w:rsidR="00EE09A6" w:rsidRPr="001E650B">
        <w:rPr>
          <w:rFonts w:ascii="Verdana" w:hAnsi="Verdana" w:cs="Arial"/>
          <w:b/>
          <w:bCs/>
          <w:sz w:val="21"/>
          <w:szCs w:val="21"/>
        </w:rPr>
        <w:t xml:space="preserve"> General de la Nación.</w:t>
      </w:r>
    </w:p>
    <w:p w14:paraId="0B5E3945" w14:textId="70D87B6C" w:rsidR="00812AC5" w:rsidRPr="001E650B" w:rsidRDefault="00812AC5" w:rsidP="00E77209">
      <w:pPr>
        <w:pStyle w:val="Default"/>
        <w:spacing w:line="252" w:lineRule="auto"/>
        <w:rPr>
          <w:rFonts w:ascii="Verdana" w:hAnsi="Verdana"/>
          <w:color w:val="auto"/>
          <w:sz w:val="21"/>
          <w:szCs w:val="21"/>
        </w:rPr>
      </w:pPr>
    </w:p>
    <w:p w14:paraId="3BB99F68" w14:textId="271599BA" w:rsidR="000C7832" w:rsidRDefault="004B475A" w:rsidP="00E77209">
      <w:pPr>
        <w:spacing w:line="252" w:lineRule="auto"/>
        <w:jc w:val="both"/>
        <w:rPr>
          <w:rFonts w:ascii="Verdana" w:hAnsi="Verdana" w:cs="Arial"/>
          <w:sz w:val="21"/>
          <w:szCs w:val="21"/>
          <w:lang w:val="es-CO"/>
        </w:rPr>
      </w:pPr>
      <w:r w:rsidRPr="001E650B">
        <w:rPr>
          <w:rFonts w:ascii="Verdana" w:hAnsi="Verdana" w:cs="Arial"/>
          <w:sz w:val="21"/>
          <w:szCs w:val="21"/>
          <w:lang w:val="es-CO"/>
        </w:rPr>
        <w:t>Los libros oficiales del Ministerio de Hacienda y Crédito Público se llevan en el aplicativo</w:t>
      </w:r>
      <w:r w:rsidR="000C7832">
        <w:rPr>
          <w:rFonts w:ascii="Verdana" w:hAnsi="Verdana" w:cs="Arial"/>
          <w:sz w:val="21"/>
          <w:szCs w:val="21"/>
          <w:lang w:val="es-CO"/>
        </w:rPr>
        <w:t xml:space="preserve"> contable llamado SOFIA, acorde a los criterios establecidos por la </w:t>
      </w:r>
      <w:r w:rsidR="000C7832">
        <w:rPr>
          <w:rFonts w:ascii="Verdana" w:hAnsi="Verdana" w:cs="Arial"/>
          <w:sz w:val="22"/>
          <w:szCs w:val="22"/>
        </w:rPr>
        <w:t xml:space="preserve">CGN (Contaduría General de la Nación), </w:t>
      </w:r>
      <w:r w:rsidR="000C7832">
        <w:rPr>
          <w:rFonts w:ascii="Verdana" w:hAnsi="Verdana" w:cs="Arial"/>
          <w:sz w:val="21"/>
          <w:szCs w:val="21"/>
          <w:lang w:val="es-CO"/>
        </w:rPr>
        <w:t>así como la información del portafolio que se encuentra también en el aplicativo llamado SIF (Sistema de Información FONPET)</w:t>
      </w:r>
      <w:r w:rsidR="00E15B7B">
        <w:rPr>
          <w:rFonts w:ascii="Verdana" w:hAnsi="Verdana" w:cs="Arial"/>
          <w:sz w:val="21"/>
          <w:szCs w:val="21"/>
          <w:lang w:val="es-CO"/>
        </w:rPr>
        <w:t>.</w:t>
      </w:r>
    </w:p>
    <w:p w14:paraId="3DB4C831" w14:textId="77777777" w:rsidR="000C7832" w:rsidRDefault="000C7832" w:rsidP="00E77209">
      <w:pPr>
        <w:spacing w:line="252" w:lineRule="auto"/>
        <w:jc w:val="both"/>
        <w:rPr>
          <w:rFonts w:ascii="Verdana" w:hAnsi="Verdana" w:cs="Arial"/>
          <w:sz w:val="21"/>
          <w:szCs w:val="21"/>
          <w:lang w:val="es-CO"/>
        </w:rPr>
      </w:pPr>
    </w:p>
    <w:p w14:paraId="1331FC10" w14:textId="4701088C" w:rsidR="000C7832" w:rsidRDefault="00E15B7B" w:rsidP="00E77209">
      <w:pPr>
        <w:spacing w:line="252" w:lineRule="auto"/>
        <w:jc w:val="both"/>
        <w:rPr>
          <w:rFonts w:ascii="Verdana" w:hAnsi="Verdana" w:cs="Arial"/>
          <w:sz w:val="21"/>
          <w:szCs w:val="21"/>
          <w:lang w:val="es-CO"/>
        </w:rPr>
      </w:pPr>
      <w:r>
        <w:rPr>
          <w:rFonts w:ascii="Verdana" w:hAnsi="Verdana" w:cs="Arial"/>
          <w:sz w:val="21"/>
          <w:szCs w:val="21"/>
          <w:lang w:val="es-CO"/>
        </w:rPr>
        <w:t>La información contable se puede encontrar en la carpeta compartida entre el Grupo Contable del FONPET, pudiéndose en cualquier momento imprimir la información que se requiera, además de la trazabilidad que se puede obtener en los aplicativos SOFIA y SIF (Sistema de Información FONPET), ya mencionados.</w:t>
      </w:r>
    </w:p>
    <w:p w14:paraId="1DD4BC8C" w14:textId="78B9E331" w:rsidR="00875DC7" w:rsidRPr="001E650B" w:rsidRDefault="00875DC7" w:rsidP="00E77209">
      <w:pPr>
        <w:spacing w:line="252" w:lineRule="auto"/>
        <w:jc w:val="both"/>
        <w:rPr>
          <w:rFonts w:ascii="Verdana" w:hAnsi="Verdana" w:cs="Arial"/>
          <w:sz w:val="21"/>
          <w:szCs w:val="21"/>
          <w:lang w:val="es-CO"/>
        </w:rPr>
      </w:pPr>
    </w:p>
    <w:p w14:paraId="5334286A" w14:textId="0673C2E4" w:rsidR="001C34C4" w:rsidRPr="001E650B" w:rsidRDefault="005C7FC2" w:rsidP="00E77209">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1E650B">
        <w:rPr>
          <w:rFonts w:ascii="Verdana" w:eastAsia="Times New Roman" w:hAnsi="Verdana" w:cs="Arial"/>
          <w:color w:val="000000"/>
          <w:sz w:val="21"/>
          <w:szCs w:val="21"/>
          <w:lang w:val="es-CO" w:eastAsia="es-CO"/>
        </w:rPr>
        <w:t xml:space="preserve">Así las cosas, </w:t>
      </w:r>
      <w:r w:rsidR="001C34C4" w:rsidRPr="001E650B">
        <w:rPr>
          <w:rFonts w:ascii="Verdana" w:eastAsia="Times New Roman" w:hAnsi="Verdana" w:cs="Arial"/>
          <w:color w:val="000000"/>
          <w:sz w:val="21"/>
          <w:szCs w:val="21"/>
          <w:lang w:val="es-CO" w:eastAsia="es-CO"/>
        </w:rPr>
        <w:t>se concluye que los libros de contabilidad, principales y auxiliares con todos los</w:t>
      </w:r>
      <w:r w:rsidR="00BA1310" w:rsidRPr="001E650B">
        <w:rPr>
          <w:rFonts w:ascii="Verdana" w:eastAsia="Times New Roman" w:hAnsi="Verdana" w:cs="Arial"/>
          <w:color w:val="000000"/>
          <w:sz w:val="21"/>
          <w:szCs w:val="21"/>
          <w:lang w:val="es-CO" w:eastAsia="es-CO"/>
        </w:rPr>
        <w:t xml:space="preserve"> comprobantes, </w:t>
      </w:r>
      <w:r w:rsidR="001C34C4" w:rsidRPr="001E650B">
        <w:rPr>
          <w:rFonts w:ascii="Verdana" w:eastAsia="Times New Roman" w:hAnsi="Verdana" w:cs="Arial"/>
          <w:color w:val="000000"/>
          <w:sz w:val="21"/>
          <w:szCs w:val="21"/>
          <w:lang w:val="es-CO" w:eastAsia="es-CO"/>
        </w:rPr>
        <w:t xml:space="preserve">documentos y soportes contables correspondientes a las transacciones y operaciones registradas se encuentran actualizados </w:t>
      </w:r>
      <w:r w:rsidR="00A476A6" w:rsidRPr="001E650B">
        <w:rPr>
          <w:rFonts w:ascii="Verdana" w:eastAsia="Times New Roman" w:hAnsi="Verdana" w:cs="Arial"/>
          <w:color w:val="000000"/>
          <w:sz w:val="21"/>
          <w:szCs w:val="21"/>
          <w:lang w:val="es-CO" w:eastAsia="es-CO"/>
        </w:rPr>
        <w:t>y archivados en debida forma</w:t>
      </w:r>
      <w:r w:rsidR="00FA304A" w:rsidRPr="001E650B">
        <w:rPr>
          <w:rFonts w:ascii="Verdana" w:eastAsia="Times New Roman" w:hAnsi="Verdana" w:cs="Arial"/>
          <w:color w:val="000000"/>
          <w:sz w:val="21"/>
          <w:szCs w:val="21"/>
          <w:lang w:val="es-CO" w:eastAsia="es-CO"/>
        </w:rPr>
        <w:t xml:space="preserve"> a la fecha de entrega del cargo.</w:t>
      </w:r>
      <w:r w:rsidR="001C34C4" w:rsidRPr="001E650B">
        <w:rPr>
          <w:rFonts w:ascii="Verdana" w:eastAsia="Times New Roman" w:hAnsi="Verdana" w:cs="Arial"/>
          <w:color w:val="000000"/>
          <w:sz w:val="21"/>
          <w:szCs w:val="21"/>
          <w:lang w:val="es-CO" w:eastAsia="es-CO"/>
        </w:rPr>
        <w:t xml:space="preserve"> </w:t>
      </w:r>
    </w:p>
    <w:p w14:paraId="3341CAAF" w14:textId="77777777" w:rsidR="00EA454C" w:rsidRPr="001E650B" w:rsidRDefault="00EA454C" w:rsidP="00571325">
      <w:pPr>
        <w:autoSpaceDE w:val="0"/>
        <w:autoSpaceDN w:val="0"/>
        <w:adjustRightInd w:val="0"/>
        <w:spacing w:line="252" w:lineRule="auto"/>
        <w:jc w:val="both"/>
        <w:rPr>
          <w:rFonts w:ascii="Verdana" w:eastAsia="Times New Roman" w:hAnsi="Verdana" w:cs="Arial"/>
          <w:color w:val="000000"/>
          <w:sz w:val="21"/>
          <w:szCs w:val="21"/>
          <w:lang w:val="es-CO" w:eastAsia="es-CO"/>
        </w:rPr>
      </w:pPr>
    </w:p>
    <w:p w14:paraId="4B51DC09" w14:textId="31306E51" w:rsidR="00EA454C" w:rsidRPr="001E650B" w:rsidRDefault="00E15B7B" w:rsidP="00571325">
      <w:pPr>
        <w:autoSpaceDE w:val="0"/>
        <w:autoSpaceDN w:val="0"/>
        <w:adjustRightInd w:val="0"/>
        <w:spacing w:line="252" w:lineRule="auto"/>
        <w:jc w:val="both"/>
        <w:rPr>
          <w:rFonts w:ascii="Verdana" w:eastAsia="Times New Roman" w:hAnsi="Verdana" w:cs="Arial"/>
          <w:color w:val="000000"/>
          <w:sz w:val="21"/>
          <w:szCs w:val="21"/>
          <w:lang w:val="es-CO" w:eastAsia="es-CO"/>
        </w:rPr>
      </w:pPr>
      <w:r>
        <w:rPr>
          <w:rFonts w:ascii="Verdana" w:eastAsia="Times New Roman" w:hAnsi="Verdana" w:cs="Arial"/>
          <w:color w:val="000000"/>
          <w:sz w:val="21"/>
          <w:szCs w:val="21"/>
          <w:lang w:val="es-CO" w:eastAsia="es-CO"/>
        </w:rPr>
        <w:t>Actualmente, no se tiene pendientes por resolver con la CGN, con el FONPET</w:t>
      </w:r>
      <w:r w:rsidR="007202A3" w:rsidRPr="00C17AE6">
        <w:rPr>
          <w:rFonts w:ascii="Verdana" w:eastAsia="Times New Roman" w:hAnsi="Verdana" w:cs="Arial"/>
          <w:color w:val="000000"/>
          <w:sz w:val="21"/>
          <w:szCs w:val="21"/>
          <w:lang w:val="es-CO" w:eastAsia="es-CO"/>
        </w:rPr>
        <w:t>.</w:t>
      </w:r>
      <w:r w:rsidR="007C51AE" w:rsidRPr="001E650B">
        <w:rPr>
          <w:rFonts w:ascii="Verdana" w:eastAsia="Times New Roman" w:hAnsi="Verdana" w:cs="Arial"/>
          <w:b/>
          <w:bCs/>
          <w:color w:val="000000"/>
          <w:sz w:val="21"/>
          <w:szCs w:val="21"/>
          <w:lang w:val="es-CO" w:eastAsia="es-CO"/>
        </w:rPr>
        <w:t xml:space="preserve"> </w:t>
      </w:r>
    </w:p>
    <w:p w14:paraId="0E4DB708" w14:textId="283CE8E2" w:rsidR="005C7FC2" w:rsidRPr="001E650B" w:rsidRDefault="005C7FC2" w:rsidP="00571325">
      <w:pPr>
        <w:spacing w:line="252" w:lineRule="auto"/>
        <w:jc w:val="both"/>
        <w:rPr>
          <w:rFonts w:ascii="Verdana" w:hAnsi="Verdana" w:cs="Arial"/>
          <w:b/>
          <w:bCs/>
          <w:sz w:val="21"/>
          <w:szCs w:val="21"/>
          <w:lang w:val="es-CO"/>
        </w:rPr>
      </w:pPr>
    </w:p>
    <w:p w14:paraId="2EFED65D" w14:textId="2A59229B" w:rsidR="001C4B20" w:rsidRPr="001E650B" w:rsidRDefault="002D0EA6" w:rsidP="00571325">
      <w:pPr>
        <w:autoSpaceDE w:val="0"/>
        <w:autoSpaceDN w:val="0"/>
        <w:adjustRightInd w:val="0"/>
        <w:spacing w:line="252" w:lineRule="auto"/>
        <w:jc w:val="both"/>
        <w:rPr>
          <w:rFonts w:ascii="Verdana" w:eastAsia="Times New Roman" w:hAnsi="Verdana" w:cs="Arial"/>
          <w:b/>
          <w:bCs/>
          <w:color w:val="000000"/>
          <w:sz w:val="21"/>
          <w:szCs w:val="21"/>
          <w:lang w:val="es-CO" w:eastAsia="es-CO"/>
        </w:rPr>
      </w:pPr>
      <w:r w:rsidRPr="001E650B">
        <w:rPr>
          <w:rFonts w:ascii="Verdana" w:eastAsia="Times New Roman" w:hAnsi="Verdana" w:cs="Arial"/>
          <w:b/>
          <w:bCs/>
          <w:color w:val="000000"/>
          <w:sz w:val="21"/>
          <w:szCs w:val="21"/>
          <w:lang w:val="es-CO" w:eastAsia="es-CO"/>
        </w:rPr>
        <w:t>c. La realización y registro de los cálculos</w:t>
      </w:r>
      <w:r w:rsidR="00080AE7" w:rsidRPr="001E650B">
        <w:rPr>
          <w:rFonts w:ascii="Verdana" w:eastAsia="Times New Roman" w:hAnsi="Verdana" w:cs="Arial"/>
          <w:b/>
          <w:bCs/>
          <w:color w:val="000000"/>
          <w:sz w:val="21"/>
          <w:szCs w:val="21"/>
          <w:lang w:val="es-CO" w:eastAsia="es-CO"/>
        </w:rPr>
        <w:t xml:space="preserve"> actuariales</w:t>
      </w:r>
      <w:r w:rsidR="001C4B20" w:rsidRPr="001E650B">
        <w:rPr>
          <w:rFonts w:ascii="Verdana" w:eastAsia="Times New Roman" w:hAnsi="Verdana" w:cs="Arial"/>
          <w:b/>
          <w:bCs/>
          <w:color w:val="000000"/>
          <w:sz w:val="21"/>
          <w:szCs w:val="21"/>
          <w:lang w:val="es-CO" w:eastAsia="es-CO"/>
        </w:rPr>
        <w:t xml:space="preserve">, cuando haya lugar, y el detalle de los recursos destinados para el pago </w:t>
      </w:r>
      <w:r w:rsidR="007C445B" w:rsidRPr="001E650B">
        <w:rPr>
          <w:rFonts w:ascii="Verdana" w:eastAsia="Times New Roman" w:hAnsi="Verdana" w:cs="Arial"/>
          <w:b/>
          <w:bCs/>
          <w:color w:val="000000"/>
          <w:sz w:val="21"/>
          <w:szCs w:val="21"/>
          <w:lang w:val="es-CO" w:eastAsia="es-CO"/>
        </w:rPr>
        <w:t>del pasivo relacionado</w:t>
      </w:r>
      <w:r w:rsidR="001C4B20" w:rsidRPr="001E650B">
        <w:rPr>
          <w:rFonts w:ascii="Verdana" w:eastAsia="Times New Roman" w:hAnsi="Verdana" w:cs="Arial"/>
          <w:b/>
          <w:bCs/>
          <w:color w:val="000000"/>
          <w:sz w:val="21"/>
          <w:szCs w:val="21"/>
          <w:lang w:val="es-CO" w:eastAsia="es-CO"/>
        </w:rPr>
        <w:t xml:space="preserve">. </w:t>
      </w:r>
    </w:p>
    <w:p w14:paraId="7A0C4AE8" w14:textId="7D4E5ECB" w:rsidR="002D0EA6" w:rsidRPr="001E650B" w:rsidRDefault="002D0EA6" w:rsidP="00571325">
      <w:pPr>
        <w:autoSpaceDE w:val="0"/>
        <w:autoSpaceDN w:val="0"/>
        <w:adjustRightInd w:val="0"/>
        <w:spacing w:line="252" w:lineRule="auto"/>
        <w:jc w:val="both"/>
        <w:rPr>
          <w:rFonts w:ascii="Verdana" w:eastAsia="Times New Roman" w:hAnsi="Verdana" w:cs="Arial"/>
          <w:b/>
          <w:bCs/>
          <w:color w:val="000000"/>
          <w:sz w:val="21"/>
          <w:szCs w:val="21"/>
          <w:lang w:val="es-CO" w:eastAsia="es-CO"/>
        </w:rPr>
      </w:pPr>
    </w:p>
    <w:p w14:paraId="43BEDF46" w14:textId="5D8C6619" w:rsidR="002D0EA6" w:rsidRDefault="00E15B7B" w:rsidP="00571325">
      <w:pPr>
        <w:autoSpaceDE w:val="0"/>
        <w:autoSpaceDN w:val="0"/>
        <w:adjustRightInd w:val="0"/>
        <w:spacing w:line="252" w:lineRule="auto"/>
        <w:jc w:val="both"/>
        <w:rPr>
          <w:rFonts w:ascii="Verdana" w:eastAsia="Times New Roman" w:hAnsi="Verdana" w:cs="Arial"/>
          <w:color w:val="000000"/>
          <w:sz w:val="21"/>
          <w:szCs w:val="21"/>
          <w:lang w:val="es-CO" w:eastAsia="es-CO"/>
        </w:rPr>
      </w:pPr>
      <w:r w:rsidRPr="00E15B7B">
        <w:rPr>
          <w:rFonts w:ascii="Verdana" w:eastAsia="Times New Roman" w:hAnsi="Verdana" w:cs="Arial"/>
          <w:color w:val="000000"/>
          <w:sz w:val="21"/>
          <w:szCs w:val="21"/>
          <w:lang w:val="es-CO" w:eastAsia="es-CO"/>
        </w:rPr>
        <w:t xml:space="preserve">De forma fundamental se han </w:t>
      </w:r>
      <w:r>
        <w:rPr>
          <w:rFonts w:ascii="Verdana" w:eastAsia="Times New Roman" w:hAnsi="Verdana" w:cs="Arial"/>
          <w:color w:val="000000"/>
          <w:sz w:val="21"/>
          <w:szCs w:val="21"/>
          <w:lang w:val="es-CO" w:eastAsia="es-CO"/>
        </w:rPr>
        <w:t>aplicado los cálculos actuariales, para establecer el pasivo pensional de cada entidad territorial, que permita el seguimiento y prevención cautelosa de los recursos</w:t>
      </w:r>
      <w:r w:rsidR="00571325">
        <w:rPr>
          <w:rFonts w:ascii="Verdana" w:eastAsia="Times New Roman" w:hAnsi="Verdana" w:cs="Arial"/>
          <w:color w:val="000000"/>
          <w:sz w:val="21"/>
          <w:szCs w:val="21"/>
          <w:lang w:val="es-CO" w:eastAsia="es-CO"/>
        </w:rPr>
        <w:t>,</w:t>
      </w:r>
      <w:r>
        <w:rPr>
          <w:rFonts w:ascii="Verdana" w:eastAsia="Times New Roman" w:hAnsi="Verdana" w:cs="Arial"/>
          <w:color w:val="000000"/>
          <w:sz w:val="21"/>
          <w:szCs w:val="21"/>
          <w:lang w:val="es-CO" w:eastAsia="es-CO"/>
        </w:rPr>
        <w:t xml:space="preserve"> para así tener la respectiva cobertura del pago </w:t>
      </w:r>
      <w:r w:rsidR="00571325">
        <w:rPr>
          <w:rFonts w:ascii="Verdana" w:eastAsia="Times New Roman" w:hAnsi="Verdana" w:cs="Arial"/>
          <w:color w:val="000000"/>
          <w:sz w:val="21"/>
          <w:szCs w:val="21"/>
          <w:lang w:val="es-CO" w:eastAsia="es-CO"/>
        </w:rPr>
        <w:t xml:space="preserve">de este </w:t>
      </w:r>
      <w:r>
        <w:rPr>
          <w:rFonts w:ascii="Verdana" w:eastAsia="Times New Roman" w:hAnsi="Verdana" w:cs="Arial"/>
          <w:color w:val="000000"/>
          <w:sz w:val="21"/>
          <w:szCs w:val="21"/>
          <w:lang w:val="es-CO" w:eastAsia="es-CO"/>
        </w:rPr>
        <w:t>rubro</w:t>
      </w:r>
      <w:r w:rsidR="00571325">
        <w:rPr>
          <w:rFonts w:ascii="Verdana" w:eastAsia="Times New Roman" w:hAnsi="Verdana" w:cs="Arial"/>
          <w:color w:val="000000"/>
          <w:sz w:val="21"/>
          <w:szCs w:val="21"/>
          <w:lang w:val="es-CO" w:eastAsia="es-CO"/>
        </w:rPr>
        <w:t xml:space="preserve"> que es el p</w:t>
      </w:r>
      <w:r>
        <w:rPr>
          <w:rFonts w:ascii="Verdana" w:eastAsia="Times New Roman" w:hAnsi="Verdana" w:cs="Arial"/>
          <w:color w:val="000000"/>
          <w:sz w:val="21"/>
          <w:szCs w:val="21"/>
          <w:lang w:val="es-CO" w:eastAsia="es-CO"/>
        </w:rPr>
        <w:t xml:space="preserve">rincipal </w:t>
      </w:r>
      <w:r w:rsidR="00571325">
        <w:rPr>
          <w:rFonts w:ascii="Verdana" w:eastAsia="Times New Roman" w:hAnsi="Verdana" w:cs="Arial"/>
          <w:color w:val="000000"/>
          <w:sz w:val="21"/>
          <w:szCs w:val="21"/>
          <w:lang w:val="es-CO" w:eastAsia="es-CO"/>
        </w:rPr>
        <w:t>objeto de creación del FONPET.</w:t>
      </w:r>
    </w:p>
    <w:p w14:paraId="1DC9E0F5" w14:textId="77777777" w:rsidR="00571325" w:rsidRDefault="00571325" w:rsidP="00571325">
      <w:pPr>
        <w:autoSpaceDE w:val="0"/>
        <w:autoSpaceDN w:val="0"/>
        <w:adjustRightInd w:val="0"/>
        <w:spacing w:line="252" w:lineRule="auto"/>
        <w:jc w:val="both"/>
        <w:rPr>
          <w:rFonts w:ascii="Verdana" w:eastAsia="Times New Roman" w:hAnsi="Verdana" w:cs="Arial"/>
          <w:color w:val="000000"/>
          <w:sz w:val="21"/>
          <w:szCs w:val="21"/>
          <w:lang w:val="es-CO" w:eastAsia="es-CO"/>
        </w:rPr>
      </w:pPr>
    </w:p>
    <w:p w14:paraId="61C08A8F" w14:textId="520FC01A" w:rsidR="00571325" w:rsidRPr="00E15B7B" w:rsidRDefault="00571325" w:rsidP="00571325">
      <w:pPr>
        <w:autoSpaceDE w:val="0"/>
        <w:autoSpaceDN w:val="0"/>
        <w:adjustRightInd w:val="0"/>
        <w:spacing w:line="252" w:lineRule="auto"/>
        <w:jc w:val="both"/>
        <w:rPr>
          <w:rFonts w:ascii="Verdana" w:eastAsia="Times New Roman" w:hAnsi="Verdana" w:cs="Arial"/>
          <w:color w:val="000000"/>
          <w:sz w:val="21"/>
          <w:szCs w:val="21"/>
          <w:lang w:val="es-CO" w:eastAsia="es-CO"/>
        </w:rPr>
      </w:pPr>
      <w:r>
        <w:rPr>
          <w:rFonts w:ascii="Verdana" w:eastAsia="Times New Roman" w:hAnsi="Verdana" w:cs="Arial"/>
          <w:color w:val="000000"/>
          <w:sz w:val="21"/>
          <w:szCs w:val="21"/>
          <w:lang w:val="es-CO" w:eastAsia="es-CO"/>
        </w:rPr>
        <w:lastRenderedPageBreak/>
        <w:t>Adicionalmente con los cálculos actuariales se pudo establecer el valor no determinable pero determinado del contrato adjudicado a la nueva administradora Consorcio PAC FONPET 2025.</w:t>
      </w:r>
    </w:p>
    <w:p w14:paraId="6A365625" w14:textId="77777777" w:rsidR="001C4B20" w:rsidRPr="00E15B7B" w:rsidRDefault="001C4B20" w:rsidP="00571325">
      <w:pPr>
        <w:autoSpaceDE w:val="0"/>
        <w:autoSpaceDN w:val="0"/>
        <w:adjustRightInd w:val="0"/>
        <w:spacing w:line="252" w:lineRule="auto"/>
        <w:jc w:val="both"/>
        <w:rPr>
          <w:rFonts w:ascii="Verdana" w:eastAsia="Times New Roman" w:hAnsi="Verdana" w:cs="Arial"/>
          <w:b/>
          <w:bCs/>
          <w:color w:val="000000"/>
          <w:sz w:val="21"/>
          <w:szCs w:val="21"/>
          <w:lang w:val="es-CO" w:eastAsia="es-CO"/>
        </w:rPr>
      </w:pPr>
    </w:p>
    <w:p w14:paraId="16FA77E6" w14:textId="61CA4C3D" w:rsidR="00010924" w:rsidRPr="001E650B" w:rsidRDefault="001C4B20" w:rsidP="00571325">
      <w:pPr>
        <w:autoSpaceDE w:val="0"/>
        <w:autoSpaceDN w:val="0"/>
        <w:adjustRightInd w:val="0"/>
        <w:spacing w:line="252" w:lineRule="auto"/>
        <w:jc w:val="both"/>
        <w:rPr>
          <w:rFonts w:ascii="Verdana" w:eastAsia="Times New Roman" w:hAnsi="Verdana" w:cs="Arial"/>
          <w:b/>
          <w:bCs/>
          <w:color w:val="000000"/>
          <w:sz w:val="21"/>
          <w:szCs w:val="21"/>
          <w:lang w:val="es-CO" w:eastAsia="es-CO"/>
        </w:rPr>
      </w:pPr>
      <w:r w:rsidRPr="001E650B">
        <w:rPr>
          <w:rFonts w:ascii="Verdana" w:eastAsia="Times New Roman" w:hAnsi="Verdana" w:cs="Arial"/>
          <w:b/>
          <w:bCs/>
          <w:color w:val="000000"/>
          <w:sz w:val="21"/>
          <w:szCs w:val="21"/>
          <w:lang w:val="es-CO" w:eastAsia="es-CO"/>
        </w:rPr>
        <w:t>d</w:t>
      </w:r>
      <w:r w:rsidR="00F95060" w:rsidRPr="001E650B">
        <w:rPr>
          <w:rFonts w:ascii="Verdana" w:eastAsia="Times New Roman" w:hAnsi="Verdana" w:cs="Arial"/>
          <w:b/>
          <w:bCs/>
          <w:color w:val="000000"/>
          <w:sz w:val="21"/>
          <w:szCs w:val="21"/>
          <w:lang w:val="es-CO" w:eastAsia="es-CO"/>
        </w:rPr>
        <w:t>. La Identificación, valor y registro de l</w:t>
      </w:r>
      <w:r w:rsidR="00F327FE" w:rsidRPr="001E650B">
        <w:rPr>
          <w:rFonts w:ascii="Verdana" w:eastAsia="Times New Roman" w:hAnsi="Verdana" w:cs="Arial"/>
          <w:b/>
          <w:bCs/>
          <w:color w:val="000000"/>
          <w:sz w:val="21"/>
          <w:szCs w:val="21"/>
          <w:lang w:val="es-CO" w:eastAsia="es-CO"/>
        </w:rPr>
        <w:t xml:space="preserve">os procesos </w:t>
      </w:r>
      <w:r w:rsidR="00E9657B" w:rsidRPr="001E650B">
        <w:rPr>
          <w:rFonts w:ascii="Verdana" w:eastAsia="Times New Roman" w:hAnsi="Verdana" w:cs="Arial"/>
          <w:b/>
          <w:bCs/>
          <w:color w:val="000000"/>
          <w:sz w:val="21"/>
          <w:szCs w:val="21"/>
          <w:lang w:val="es-CO" w:eastAsia="es-CO"/>
        </w:rPr>
        <w:t>judiciales, arbitrajes</w:t>
      </w:r>
      <w:r w:rsidR="00771413" w:rsidRPr="001E650B">
        <w:rPr>
          <w:rFonts w:ascii="Verdana" w:eastAsia="Times New Roman" w:hAnsi="Verdana" w:cs="Arial"/>
          <w:b/>
          <w:bCs/>
          <w:color w:val="000000"/>
          <w:sz w:val="21"/>
          <w:szCs w:val="21"/>
          <w:lang w:val="es-CO" w:eastAsia="es-CO"/>
        </w:rPr>
        <w:t xml:space="preserve">, conciliaciones extrajudiciales </w:t>
      </w:r>
      <w:r w:rsidR="00F95060" w:rsidRPr="001E650B">
        <w:rPr>
          <w:rFonts w:ascii="Verdana" w:eastAsia="Times New Roman" w:hAnsi="Verdana" w:cs="Arial"/>
          <w:b/>
          <w:bCs/>
          <w:color w:val="000000"/>
          <w:sz w:val="21"/>
          <w:szCs w:val="21"/>
          <w:lang w:val="es-CO" w:eastAsia="es-CO"/>
        </w:rPr>
        <w:t>y reclamaciones en contra y a favor de la entidad.</w:t>
      </w:r>
    </w:p>
    <w:p w14:paraId="046E0FB2" w14:textId="667098CA" w:rsidR="001455FF" w:rsidRPr="001E650B" w:rsidRDefault="001455FF" w:rsidP="00571325">
      <w:pPr>
        <w:pStyle w:val="Prrafodelista"/>
        <w:tabs>
          <w:tab w:val="left" w:pos="284"/>
        </w:tabs>
        <w:autoSpaceDE w:val="0"/>
        <w:autoSpaceDN w:val="0"/>
        <w:adjustRightInd w:val="0"/>
        <w:spacing w:line="252" w:lineRule="auto"/>
        <w:ind w:left="0"/>
        <w:jc w:val="both"/>
        <w:rPr>
          <w:rFonts w:ascii="Verdana" w:hAnsi="Verdana" w:cs="Arial"/>
          <w:sz w:val="21"/>
          <w:szCs w:val="21"/>
        </w:rPr>
      </w:pPr>
    </w:p>
    <w:p w14:paraId="3AD02EC3" w14:textId="4967D66E" w:rsidR="00571325" w:rsidRDefault="00731FA9" w:rsidP="00571325">
      <w:pPr>
        <w:autoSpaceDE w:val="0"/>
        <w:autoSpaceDN w:val="0"/>
        <w:adjustRightInd w:val="0"/>
        <w:spacing w:line="252" w:lineRule="auto"/>
        <w:jc w:val="both"/>
        <w:rPr>
          <w:rFonts w:ascii="Verdana" w:eastAsia="Times New Roman" w:hAnsi="Verdana" w:cs="Arial"/>
          <w:color w:val="000000"/>
          <w:sz w:val="21"/>
          <w:szCs w:val="21"/>
          <w:lang w:val="es-CO" w:eastAsia="es-CO"/>
        </w:rPr>
      </w:pPr>
      <w:r>
        <w:rPr>
          <w:rFonts w:ascii="Verdana" w:eastAsia="Times New Roman" w:hAnsi="Verdana" w:cs="Arial"/>
          <w:color w:val="000000"/>
          <w:sz w:val="21"/>
          <w:szCs w:val="21"/>
          <w:lang w:val="es-CO" w:eastAsia="es-CO"/>
        </w:rPr>
        <w:t>En la actualidad el FONPET no está llevando procesos judiciales ni a favor ni en contra.</w:t>
      </w:r>
    </w:p>
    <w:p w14:paraId="0D7DEECB" w14:textId="77777777" w:rsidR="00CB1337" w:rsidRPr="00731FA9" w:rsidRDefault="00CB1337" w:rsidP="00731FA9">
      <w:pPr>
        <w:autoSpaceDE w:val="0"/>
        <w:autoSpaceDN w:val="0"/>
        <w:adjustRightInd w:val="0"/>
        <w:spacing w:line="252" w:lineRule="auto"/>
        <w:jc w:val="both"/>
        <w:rPr>
          <w:rFonts w:ascii="Verdana" w:eastAsia="Times New Roman" w:hAnsi="Verdana" w:cs="Arial"/>
          <w:color w:val="000000"/>
          <w:sz w:val="21"/>
          <w:szCs w:val="21"/>
          <w:lang w:val="es-CO" w:eastAsia="es-CO"/>
        </w:rPr>
      </w:pPr>
    </w:p>
    <w:p w14:paraId="77E4B7D1" w14:textId="4D3CABCC" w:rsidR="00B3560A" w:rsidRPr="00CA5E22" w:rsidRDefault="001C4B20" w:rsidP="00E77209">
      <w:pPr>
        <w:autoSpaceDE w:val="0"/>
        <w:autoSpaceDN w:val="0"/>
        <w:adjustRightInd w:val="0"/>
        <w:spacing w:line="252" w:lineRule="auto"/>
        <w:jc w:val="both"/>
        <w:rPr>
          <w:rFonts w:ascii="Verdana" w:eastAsia="Times New Roman" w:hAnsi="Verdana" w:cs="Arial"/>
          <w:b/>
          <w:bCs/>
          <w:color w:val="000000"/>
          <w:sz w:val="21"/>
          <w:szCs w:val="21"/>
          <w:lang w:val="es-CO" w:eastAsia="es-CO"/>
        </w:rPr>
      </w:pPr>
      <w:r w:rsidRPr="00CA5E22">
        <w:rPr>
          <w:rFonts w:ascii="Verdana" w:eastAsia="Times New Roman" w:hAnsi="Verdana" w:cs="Arial"/>
          <w:b/>
          <w:bCs/>
          <w:color w:val="000000"/>
          <w:sz w:val="21"/>
          <w:szCs w:val="21"/>
          <w:lang w:val="es-CO" w:eastAsia="es-CO"/>
        </w:rPr>
        <w:t>e</w:t>
      </w:r>
      <w:r w:rsidR="00B3560A" w:rsidRPr="00CA5E22">
        <w:rPr>
          <w:rFonts w:ascii="Verdana" w:eastAsia="Times New Roman" w:hAnsi="Verdana" w:cs="Arial"/>
          <w:b/>
          <w:bCs/>
          <w:color w:val="000000"/>
          <w:sz w:val="21"/>
          <w:szCs w:val="21"/>
          <w:lang w:val="es-CO" w:eastAsia="es-CO"/>
        </w:rPr>
        <w:t xml:space="preserve">. Relación de los </w:t>
      </w:r>
      <w:bookmarkStart w:id="2" w:name="_Hlk71734667"/>
      <w:r w:rsidR="00B3560A" w:rsidRPr="00CA5E22">
        <w:rPr>
          <w:rFonts w:ascii="Verdana" w:eastAsia="Times New Roman" w:hAnsi="Verdana" w:cs="Arial"/>
          <w:b/>
          <w:bCs/>
          <w:color w:val="000000"/>
          <w:sz w:val="21"/>
          <w:szCs w:val="21"/>
          <w:lang w:val="es-CO" w:eastAsia="es-CO"/>
        </w:rPr>
        <w:t xml:space="preserve">fondos sin personería jurídica </w:t>
      </w:r>
      <w:bookmarkEnd w:id="2"/>
      <w:r w:rsidR="00B3560A" w:rsidRPr="00CA5E22">
        <w:rPr>
          <w:rFonts w:ascii="Verdana" w:eastAsia="Times New Roman" w:hAnsi="Verdana" w:cs="Arial"/>
          <w:b/>
          <w:bCs/>
          <w:color w:val="000000"/>
          <w:sz w:val="21"/>
          <w:szCs w:val="21"/>
          <w:lang w:val="es-CO" w:eastAsia="es-CO"/>
        </w:rPr>
        <w:t>a cargo de la entidad</w:t>
      </w:r>
      <w:r w:rsidR="003D77D7" w:rsidRPr="00CA5E22">
        <w:rPr>
          <w:rFonts w:ascii="Verdana" w:eastAsia="Times New Roman" w:hAnsi="Verdana" w:cs="Arial"/>
          <w:b/>
          <w:bCs/>
          <w:color w:val="000000"/>
          <w:sz w:val="21"/>
          <w:szCs w:val="21"/>
          <w:lang w:val="es-CO" w:eastAsia="es-CO"/>
        </w:rPr>
        <w:t xml:space="preserve"> </w:t>
      </w:r>
    </w:p>
    <w:p w14:paraId="66964AAC" w14:textId="2EBB895E" w:rsidR="003D77D7" w:rsidRPr="00CA5E22" w:rsidRDefault="003D77D7" w:rsidP="00E77209">
      <w:pPr>
        <w:autoSpaceDE w:val="0"/>
        <w:autoSpaceDN w:val="0"/>
        <w:adjustRightInd w:val="0"/>
        <w:spacing w:line="252" w:lineRule="auto"/>
        <w:jc w:val="both"/>
        <w:rPr>
          <w:rFonts w:ascii="Verdana" w:eastAsia="Times New Roman" w:hAnsi="Verdana" w:cs="Arial"/>
          <w:b/>
          <w:bCs/>
          <w:color w:val="000000"/>
          <w:sz w:val="21"/>
          <w:szCs w:val="21"/>
          <w:lang w:val="es-CO" w:eastAsia="es-CO"/>
        </w:rPr>
      </w:pPr>
    </w:p>
    <w:p w14:paraId="392EFCF8" w14:textId="0D87B67A" w:rsidR="008F1765" w:rsidRPr="00CA5E22" w:rsidRDefault="00731FA9" w:rsidP="00E77209">
      <w:pPr>
        <w:spacing w:line="252" w:lineRule="auto"/>
        <w:jc w:val="both"/>
        <w:rPr>
          <w:rFonts w:ascii="Verdana" w:hAnsi="Verdana" w:cs="Arial"/>
          <w:color w:val="000000"/>
          <w:sz w:val="21"/>
          <w:szCs w:val="21"/>
        </w:rPr>
      </w:pPr>
      <w:r>
        <w:rPr>
          <w:rFonts w:ascii="Verdana" w:eastAsiaTheme="minorHAnsi" w:hAnsi="Verdana" w:cs="Arial"/>
          <w:sz w:val="21"/>
          <w:szCs w:val="21"/>
          <w:lang w:val="es-CO" w:eastAsia="en-US"/>
        </w:rPr>
        <w:t>Sobre este particular el FONPET no tiene a cargo fondos sin personería jurídica</w:t>
      </w:r>
      <w:r w:rsidR="008F1765" w:rsidRPr="00CA5E22">
        <w:rPr>
          <w:rFonts w:ascii="Verdana" w:hAnsi="Verdana" w:cs="Arial"/>
          <w:sz w:val="21"/>
          <w:szCs w:val="21"/>
        </w:rPr>
        <w:t xml:space="preserve">. </w:t>
      </w:r>
    </w:p>
    <w:p w14:paraId="00A5714A" w14:textId="77777777" w:rsidR="004F3F84" w:rsidRPr="00CA5E22" w:rsidRDefault="004F3F84" w:rsidP="00E77209">
      <w:pPr>
        <w:spacing w:line="252" w:lineRule="auto"/>
        <w:jc w:val="both"/>
        <w:rPr>
          <w:rFonts w:ascii="Verdana" w:hAnsi="Verdana" w:cs="Arial"/>
          <w:sz w:val="21"/>
          <w:szCs w:val="21"/>
          <w:lang w:val="es-CO"/>
        </w:rPr>
      </w:pPr>
    </w:p>
    <w:p w14:paraId="0AFEA54C" w14:textId="3988D695" w:rsidR="007B7AA9" w:rsidRPr="00CA5E22" w:rsidRDefault="001C4B20" w:rsidP="00E77209">
      <w:pPr>
        <w:spacing w:line="252" w:lineRule="auto"/>
        <w:jc w:val="both"/>
        <w:rPr>
          <w:rFonts w:ascii="Verdana" w:hAnsi="Verdana" w:cs="Arial"/>
          <w:sz w:val="21"/>
          <w:szCs w:val="21"/>
          <w:lang w:val="es-CO"/>
        </w:rPr>
      </w:pPr>
      <w:r w:rsidRPr="00CA5E22">
        <w:rPr>
          <w:rFonts w:ascii="Verdana" w:eastAsia="Times New Roman" w:hAnsi="Verdana" w:cs="Arial"/>
          <w:b/>
          <w:bCs/>
          <w:color w:val="000000"/>
          <w:sz w:val="21"/>
          <w:szCs w:val="21"/>
          <w:lang w:val="es-CO" w:eastAsia="es-CO"/>
        </w:rPr>
        <w:t>f</w:t>
      </w:r>
      <w:r w:rsidR="007B7AA9" w:rsidRPr="00CA5E22">
        <w:rPr>
          <w:rFonts w:ascii="Verdana" w:eastAsia="Times New Roman" w:hAnsi="Verdana" w:cs="Arial"/>
          <w:b/>
          <w:bCs/>
          <w:color w:val="000000"/>
          <w:sz w:val="21"/>
          <w:szCs w:val="21"/>
          <w:lang w:val="es-CO" w:eastAsia="es-CO"/>
        </w:rPr>
        <w:t>.</w:t>
      </w:r>
      <w:r w:rsidR="003D77D7" w:rsidRPr="00CA5E22">
        <w:rPr>
          <w:rFonts w:ascii="Verdana" w:eastAsia="Times New Roman" w:hAnsi="Verdana" w:cs="Arial"/>
          <w:b/>
          <w:bCs/>
          <w:color w:val="000000"/>
          <w:sz w:val="21"/>
          <w:szCs w:val="21"/>
          <w:lang w:val="es-CO" w:eastAsia="es-CO"/>
        </w:rPr>
        <w:t xml:space="preserve"> R</w:t>
      </w:r>
      <w:r w:rsidR="007B7AA9" w:rsidRPr="00CA5E22">
        <w:rPr>
          <w:rFonts w:ascii="Verdana" w:eastAsia="Times New Roman" w:hAnsi="Verdana" w:cs="Arial"/>
          <w:b/>
          <w:bCs/>
          <w:color w:val="000000"/>
          <w:sz w:val="21"/>
          <w:szCs w:val="21"/>
          <w:lang w:val="es-CO" w:eastAsia="es-CO"/>
        </w:rPr>
        <w:t xml:space="preserve">elación de los recursos entregados </w:t>
      </w:r>
      <w:r w:rsidR="006F5959">
        <w:rPr>
          <w:rFonts w:ascii="Verdana" w:eastAsia="Times New Roman" w:hAnsi="Verdana" w:cs="Arial"/>
          <w:b/>
          <w:bCs/>
          <w:color w:val="000000"/>
          <w:sz w:val="21"/>
          <w:szCs w:val="21"/>
          <w:lang w:val="es-CO" w:eastAsia="es-CO"/>
        </w:rPr>
        <w:t xml:space="preserve">o recibidos </w:t>
      </w:r>
      <w:r w:rsidR="007B7AA9" w:rsidRPr="00CA5E22">
        <w:rPr>
          <w:rFonts w:ascii="Verdana" w:eastAsia="Times New Roman" w:hAnsi="Verdana" w:cs="Arial"/>
          <w:b/>
          <w:bCs/>
          <w:color w:val="000000"/>
          <w:sz w:val="21"/>
          <w:szCs w:val="21"/>
          <w:lang w:val="es-CO" w:eastAsia="es-CO"/>
        </w:rPr>
        <w:t>en administración</w:t>
      </w:r>
    </w:p>
    <w:p w14:paraId="0232DBA1" w14:textId="635A9D2C" w:rsidR="007018E8" w:rsidRPr="00CA5E22" w:rsidRDefault="007018E8" w:rsidP="00E77209">
      <w:pPr>
        <w:spacing w:line="252" w:lineRule="auto"/>
        <w:jc w:val="both"/>
        <w:rPr>
          <w:rFonts w:ascii="Verdana" w:hAnsi="Verdana" w:cs="Arial"/>
          <w:sz w:val="21"/>
          <w:szCs w:val="21"/>
          <w:lang w:val="es-CO"/>
        </w:rPr>
      </w:pPr>
    </w:p>
    <w:p w14:paraId="4291C1F2" w14:textId="5A07AF42" w:rsidR="00B55133" w:rsidRDefault="00B55133" w:rsidP="00E77209">
      <w:pPr>
        <w:spacing w:line="252" w:lineRule="auto"/>
        <w:jc w:val="both"/>
        <w:rPr>
          <w:rFonts w:ascii="Verdana" w:hAnsi="Verdana" w:cs="Arial"/>
          <w:sz w:val="21"/>
          <w:szCs w:val="21"/>
        </w:rPr>
      </w:pPr>
      <w:r>
        <w:rPr>
          <w:rFonts w:ascii="Verdana" w:hAnsi="Verdana" w:cs="Arial"/>
          <w:sz w:val="21"/>
          <w:szCs w:val="21"/>
        </w:rPr>
        <w:t xml:space="preserve">El FONPET a 31 de marzo del año 2025, tiene el siguiente portafolio entregado </w:t>
      </w:r>
      <w:r w:rsidR="00C86D98">
        <w:rPr>
          <w:rFonts w:ascii="Verdana" w:hAnsi="Verdana" w:cs="Arial"/>
          <w:sz w:val="21"/>
          <w:szCs w:val="21"/>
        </w:rPr>
        <w:t>en administración:</w:t>
      </w:r>
    </w:p>
    <w:p w14:paraId="4327CC06" w14:textId="77777777" w:rsidR="00C86D98" w:rsidRDefault="00C86D98" w:rsidP="00E77209">
      <w:pPr>
        <w:spacing w:line="252" w:lineRule="auto"/>
        <w:jc w:val="both"/>
        <w:rPr>
          <w:rFonts w:ascii="Verdana" w:hAnsi="Verdana" w:cs="Arial"/>
          <w:sz w:val="21"/>
          <w:szCs w:val="21"/>
        </w:rPr>
      </w:pPr>
    </w:p>
    <w:p w14:paraId="4A13F5BA" w14:textId="4CB40420" w:rsidR="00C86D98" w:rsidRDefault="00C86D98" w:rsidP="00C86D98">
      <w:pPr>
        <w:spacing w:line="252" w:lineRule="auto"/>
        <w:jc w:val="center"/>
        <w:rPr>
          <w:rFonts w:ascii="Verdana" w:hAnsi="Verdana" w:cs="Arial"/>
          <w:sz w:val="21"/>
          <w:szCs w:val="21"/>
        </w:rPr>
      </w:pPr>
      <w:r w:rsidRPr="00C86D98">
        <w:rPr>
          <w:rFonts w:ascii="Verdana" w:hAnsi="Verdana" w:cs="Arial"/>
          <w:noProof/>
          <w:sz w:val="21"/>
          <w:szCs w:val="21"/>
        </w:rPr>
        <w:drawing>
          <wp:inline distT="0" distB="0" distL="0" distR="0" wp14:anchorId="310F2800" wp14:editId="60A441C0">
            <wp:extent cx="4543958" cy="3998794"/>
            <wp:effectExtent l="0" t="0" r="9525" b="1905"/>
            <wp:docPr id="4608706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70662" name=""/>
                    <pic:cNvPicPr/>
                  </pic:nvPicPr>
                  <pic:blipFill>
                    <a:blip r:embed="rId15"/>
                    <a:stretch>
                      <a:fillRect/>
                    </a:stretch>
                  </pic:blipFill>
                  <pic:spPr>
                    <a:xfrm>
                      <a:off x="0" y="0"/>
                      <a:ext cx="4572841" cy="4024212"/>
                    </a:xfrm>
                    <a:prstGeom prst="rect">
                      <a:avLst/>
                    </a:prstGeom>
                  </pic:spPr>
                </pic:pic>
              </a:graphicData>
            </a:graphic>
          </wp:inline>
        </w:drawing>
      </w:r>
    </w:p>
    <w:p w14:paraId="31DC7D54" w14:textId="372E57D5" w:rsidR="00C86D98" w:rsidRPr="002A43E4" w:rsidRDefault="00C86D98" w:rsidP="00C86D98">
      <w:pPr>
        <w:autoSpaceDE w:val="0"/>
        <w:autoSpaceDN w:val="0"/>
        <w:spacing w:line="252" w:lineRule="auto"/>
        <w:ind w:left="708" w:firstLine="708"/>
        <w:jc w:val="both"/>
        <w:rPr>
          <w:rFonts w:ascii="Verdana" w:hAnsi="Verdana" w:cs="Arial"/>
          <w:sz w:val="16"/>
          <w:szCs w:val="16"/>
        </w:rPr>
      </w:pPr>
      <w:r w:rsidRPr="002A43E4">
        <w:rPr>
          <w:rFonts w:ascii="Verdana" w:hAnsi="Verdana" w:cs="Arial"/>
          <w:sz w:val="16"/>
          <w:szCs w:val="16"/>
        </w:rPr>
        <w:t xml:space="preserve">Fuente: </w:t>
      </w:r>
      <w:r>
        <w:rPr>
          <w:rFonts w:ascii="Verdana" w:hAnsi="Verdana" w:cs="Arial"/>
          <w:sz w:val="16"/>
          <w:szCs w:val="16"/>
        </w:rPr>
        <w:t>Sistema de Información FONPET (SIF)</w:t>
      </w:r>
    </w:p>
    <w:p w14:paraId="25ACEABE" w14:textId="2B2E0299" w:rsidR="00B55133" w:rsidRDefault="00C86D98" w:rsidP="00E77209">
      <w:pPr>
        <w:spacing w:line="252" w:lineRule="auto"/>
        <w:jc w:val="both"/>
        <w:rPr>
          <w:rFonts w:ascii="Verdana" w:hAnsi="Verdana" w:cs="Arial"/>
          <w:sz w:val="21"/>
          <w:szCs w:val="21"/>
        </w:rPr>
      </w:pPr>
      <w:r>
        <w:rPr>
          <w:rFonts w:ascii="Verdana" w:hAnsi="Verdana" w:cs="Arial"/>
          <w:sz w:val="21"/>
          <w:szCs w:val="21"/>
        </w:rPr>
        <w:lastRenderedPageBreak/>
        <w:t>La administradora Consorcio PRAGFONPET 2023, viene funcionando desde el 20 de diciembre del año 2023 y la Dirección General de Crédito Público Tesoro Nacional (DGCPTN)</w:t>
      </w:r>
      <w:r w:rsidR="00427843">
        <w:rPr>
          <w:rFonts w:ascii="Verdana" w:hAnsi="Verdana" w:cs="Arial"/>
          <w:sz w:val="21"/>
          <w:szCs w:val="21"/>
        </w:rPr>
        <w:t xml:space="preserve">, viene fungiendo como administradora desde el 26 de abril del año 2023, cuando se acabó el contrato de las anteriores administradoras, atendiendo lo normado en el </w:t>
      </w:r>
      <w:r w:rsidR="00427843" w:rsidRPr="00427843">
        <w:rPr>
          <w:rFonts w:ascii="Verdana" w:hAnsi="Verdana" w:cs="Arial"/>
          <w:sz w:val="21"/>
          <w:szCs w:val="21"/>
        </w:rPr>
        <w:t>Decreto 1068 de 2015 Sector Hacienda y Crédito Público</w:t>
      </w:r>
      <w:r w:rsidR="00427843">
        <w:rPr>
          <w:rFonts w:ascii="Verdana" w:hAnsi="Verdana" w:cs="Arial"/>
          <w:sz w:val="21"/>
          <w:szCs w:val="21"/>
        </w:rPr>
        <w:t>, de forma transitoria y a partir del 20 de diciembre del año 2023, lo viene haciendo de forma concurrente con el Consorcio PRAG FONPET 2023.</w:t>
      </w:r>
    </w:p>
    <w:p w14:paraId="61979028" w14:textId="77777777" w:rsidR="00C70DF3" w:rsidRDefault="00C70DF3" w:rsidP="00E77209">
      <w:pPr>
        <w:spacing w:line="252" w:lineRule="auto"/>
        <w:jc w:val="both"/>
        <w:rPr>
          <w:rFonts w:ascii="Verdana" w:hAnsi="Verdana" w:cs="Arial"/>
          <w:sz w:val="21"/>
          <w:szCs w:val="21"/>
        </w:rPr>
      </w:pPr>
    </w:p>
    <w:p w14:paraId="34955C31" w14:textId="74DDC0DA" w:rsidR="00C70DF3" w:rsidRDefault="00C70DF3" w:rsidP="00E77209">
      <w:pPr>
        <w:spacing w:line="252" w:lineRule="auto"/>
        <w:jc w:val="both"/>
        <w:rPr>
          <w:rFonts w:ascii="Verdana" w:hAnsi="Verdana" w:cs="Arial"/>
          <w:sz w:val="21"/>
          <w:szCs w:val="21"/>
        </w:rPr>
      </w:pPr>
      <w:r>
        <w:rPr>
          <w:rFonts w:ascii="Verdana" w:hAnsi="Verdana" w:cs="Arial"/>
          <w:sz w:val="21"/>
          <w:szCs w:val="21"/>
        </w:rPr>
        <w:t xml:space="preserve">En el 3 de marzo del año 2025, se adjudicó el 22.26% del valor del portafolio </w:t>
      </w:r>
      <w:r w:rsidR="003A3E52">
        <w:rPr>
          <w:rFonts w:ascii="Verdana" w:hAnsi="Verdana" w:cs="Arial"/>
          <w:sz w:val="21"/>
          <w:szCs w:val="21"/>
        </w:rPr>
        <w:t>administrado de</w:t>
      </w:r>
      <w:r>
        <w:rPr>
          <w:rFonts w:ascii="Verdana" w:hAnsi="Verdana" w:cs="Arial"/>
          <w:sz w:val="21"/>
          <w:szCs w:val="21"/>
        </w:rPr>
        <w:t xml:space="preserve"> forma concurrente por la Dirección General de Crédito Público Tesoro Nacional (DGCPTN), al Consorcio PAC FONPET 2025, con la Resolución 0450 del 3 de marzo del 2025</w:t>
      </w:r>
      <w:r w:rsidR="003A3E52">
        <w:rPr>
          <w:rFonts w:ascii="Verdana" w:hAnsi="Verdana" w:cs="Arial"/>
          <w:sz w:val="21"/>
          <w:szCs w:val="21"/>
        </w:rPr>
        <w:t>.</w:t>
      </w:r>
    </w:p>
    <w:p w14:paraId="2272687E" w14:textId="77777777" w:rsidR="003D7EE5" w:rsidRPr="001E650B" w:rsidRDefault="003D7EE5" w:rsidP="00E77209">
      <w:pPr>
        <w:autoSpaceDE w:val="0"/>
        <w:autoSpaceDN w:val="0"/>
        <w:adjustRightInd w:val="0"/>
        <w:spacing w:line="252" w:lineRule="auto"/>
        <w:jc w:val="both"/>
        <w:rPr>
          <w:rFonts w:ascii="Verdana" w:eastAsia="Calibri" w:hAnsi="Verdana" w:cs="Arial"/>
          <w:b/>
          <w:bCs/>
          <w:sz w:val="21"/>
          <w:szCs w:val="21"/>
          <w:lang w:val="es-CO"/>
        </w:rPr>
      </w:pPr>
    </w:p>
    <w:p w14:paraId="50698FDA" w14:textId="3BBCD875" w:rsidR="008E6B74" w:rsidRPr="001E650B" w:rsidRDefault="001C4B20" w:rsidP="00E77209">
      <w:pPr>
        <w:autoSpaceDE w:val="0"/>
        <w:autoSpaceDN w:val="0"/>
        <w:adjustRightInd w:val="0"/>
        <w:spacing w:line="252" w:lineRule="auto"/>
        <w:jc w:val="both"/>
        <w:rPr>
          <w:rFonts w:ascii="Verdana" w:eastAsia="Calibri" w:hAnsi="Verdana" w:cs="Arial"/>
          <w:b/>
          <w:bCs/>
          <w:sz w:val="21"/>
          <w:szCs w:val="21"/>
          <w:lang w:val="es-CO"/>
        </w:rPr>
      </w:pPr>
      <w:r w:rsidRPr="001E650B">
        <w:rPr>
          <w:rFonts w:ascii="Verdana" w:eastAsia="Calibri" w:hAnsi="Verdana" w:cs="Arial"/>
          <w:b/>
          <w:bCs/>
          <w:sz w:val="21"/>
          <w:szCs w:val="21"/>
          <w:lang w:val="es-CO"/>
        </w:rPr>
        <w:t>g</w:t>
      </w:r>
      <w:r w:rsidR="008E6B74" w:rsidRPr="001E650B">
        <w:rPr>
          <w:rFonts w:ascii="Verdana" w:eastAsia="Calibri" w:hAnsi="Verdana" w:cs="Arial"/>
          <w:b/>
          <w:bCs/>
          <w:sz w:val="21"/>
          <w:szCs w:val="21"/>
          <w:lang w:val="es-CO"/>
        </w:rPr>
        <w:t xml:space="preserve">. Información detallada de las situaciones y hechos económicos pendientes </w:t>
      </w:r>
      <w:r w:rsidR="005353AC" w:rsidRPr="001E650B">
        <w:rPr>
          <w:rFonts w:ascii="Verdana" w:eastAsia="Calibri" w:hAnsi="Verdana" w:cs="Arial"/>
          <w:b/>
          <w:bCs/>
          <w:sz w:val="21"/>
          <w:szCs w:val="21"/>
          <w:lang w:val="es-CO"/>
        </w:rPr>
        <w:t>por</w:t>
      </w:r>
      <w:r w:rsidR="008E6B74" w:rsidRPr="001E650B">
        <w:rPr>
          <w:rFonts w:ascii="Verdana" w:eastAsia="Calibri" w:hAnsi="Verdana" w:cs="Arial"/>
          <w:b/>
          <w:bCs/>
          <w:sz w:val="21"/>
          <w:szCs w:val="21"/>
          <w:lang w:val="es-CO"/>
        </w:rPr>
        <w:t xml:space="preserve"> resolver en</w:t>
      </w:r>
      <w:r w:rsidR="00B36584" w:rsidRPr="001E650B">
        <w:rPr>
          <w:rFonts w:ascii="Verdana" w:eastAsia="Calibri" w:hAnsi="Verdana" w:cs="Arial"/>
          <w:b/>
          <w:bCs/>
          <w:sz w:val="21"/>
          <w:szCs w:val="21"/>
          <w:lang w:val="es-CO"/>
        </w:rPr>
        <w:t xml:space="preserve"> </w:t>
      </w:r>
      <w:r w:rsidR="008E6B74" w:rsidRPr="001E650B">
        <w:rPr>
          <w:rFonts w:ascii="Verdana" w:eastAsia="Calibri" w:hAnsi="Verdana" w:cs="Arial"/>
          <w:b/>
          <w:bCs/>
          <w:sz w:val="21"/>
          <w:szCs w:val="21"/>
          <w:lang w:val="es-CO"/>
        </w:rPr>
        <w:t>materia contable</w:t>
      </w:r>
    </w:p>
    <w:p w14:paraId="388868AC" w14:textId="1949CC31" w:rsidR="008E6B74" w:rsidRPr="001E650B" w:rsidRDefault="008E6B74" w:rsidP="00E77209">
      <w:pPr>
        <w:autoSpaceDE w:val="0"/>
        <w:autoSpaceDN w:val="0"/>
        <w:spacing w:line="252" w:lineRule="auto"/>
        <w:jc w:val="both"/>
        <w:rPr>
          <w:rFonts w:ascii="Verdana" w:eastAsia="Calibri" w:hAnsi="Verdana" w:cs="Arial"/>
          <w:b/>
          <w:bCs/>
          <w:sz w:val="21"/>
          <w:szCs w:val="21"/>
          <w:lang w:val="es-CO"/>
        </w:rPr>
      </w:pPr>
    </w:p>
    <w:p w14:paraId="319556A4" w14:textId="79D47D9B" w:rsidR="00424F53" w:rsidRPr="001E650B" w:rsidRDefault="009A0FD2" w:rsidP="00E77209">
      <w:pPr>
        <w:spacing w:line="252" w:lineRule="auto"/>
        <w:jc w:val="both"/>
        <w:rPr>
          <w:rFonts w:ascii="Verdana" w:eastAsia="Calibri" w:hAnsi="Verdana" w:cs="Arial"/>
          <w:sz w:val="21"/>
          <w:szCs w:val="21"/>
          <w:lang w:val="es-CO"/>
        </w:rPr>
      </w:pPr>
      <w:r>
        <w:rPr>
          <w:rFonts w:ascii="Verdana" w:eastAsia="Calibri" w:hAnsi="Verdana" w:cs="Arial"/>
          <w:sz w:val="21"/>
          <w:szCs w:val="21"/>
          <w:lang w:val="es-CO"/>
        </w:rPr>
        <w:t>De parte del Grupo Contable del FONPET</w:t>
      </w:r>
      <w:r w:rsidR="004C6371">
        <w:rPr>
          <w:rFonts w:ascii="Verdana" w:eastAsia="Calibri" w:hAnsi="Verdana" w:cs="Arial"/>
          <w:sz w:val="21"/>
          <w:szCs w:val="21"/>
          <w:lang w:val="es-CO"/>
        </w:rPr>
        <w:t xml:space="preserve">, se permite informar que </w:t>
      </w:r>
      <w:r>
        <w:rPr>
          <w:rFonts w:ascii="Verdana" w:eastAsia="Calibri" w:hAnsi="Verdana" w:cs="Arial"/>
          <w:sz w:val="21"/>
          <w:szCs w:val="21"/>
          <w:lang w:val="es-CO"/>
        </w:rPr>
        <w:t xml:space="preserve">no se encuentran </w:t>
      </w:r>
      <w:r w:rsidR="004C6371">
        <w:rPr>
          <w:rFonts w:ascii="Verdana" w:eastAsia="Calibri" w:hAnsi="Verdana" w:cs="Arial"/>
          <w:sz w:val="21"/>
          <w:szCs w:val="21"/>
          <w:lang w:val="es-CO"/>
        </w:rPr>
        <w:t xml:space="preserve">situaciones y hechos económicos </w:t>
      </w:r>
      <w:r w:rsidR="003A3E52">
        <w:rPr>
          <w:rFonts w:ascii="Verdana" w:eastAsia="Calibri" w:hAnsi="Verdana" w:cs="Arial"/>
          <w:sz w:val="21"/>
          <w:szCs w:val="21"/>
          <w:lang w:val="es-CO"/>
        </w:rPr>
        <w:t>pendientes por</w:t>
      </w:r>
      <w:r w:rsidR="004C6371">
        <w:rPr>
          <w:rFonts w:ascii="Verdana" w:eastAsia="Calibri" w:hAnsi="Verdana" w:cs="Arial"/>
          <w:sz w:val="21"/>
          <w:szCs w:val="21"/>
          <w:lang w:val="es-CO"/>
        </w:rPr>
        <w:t xml:space="preserve"> resolver en materia contable.</w:t>
      </w:r>
    </w:p>
    <w:p w14:paraId="7F5B9AF9" w14:textId="78554162" w:rsidR="00424F53" w:rsidRPr="001E650B" w:rsidRDefault="00424F53" w:rsidP="00E77209">
      <w:pPr>
        <w:autoSpaceDE w:val="0"/>
        <w:autoSpaceDN w:val="0"/>
        <w:spacing w:line="252" w:lineRule="auto"/>
        <w:jc w:val="both"/>
        <w:rPr>
          <w:rFonts w:ascii="Verdana" w:eastAsia="Calibri" w:hAnsi="Verdana" w:cs="Arial"/>
          <w:sz w:val="21"/>
          <w:szCs w:val="21"/>
          <w:lang w:val="es-CO"/>
        </w:rPr>
      </w:pPr>
    </w:p>
    <w:p w14:paraId="5BDB13CD" w14:textId="5806249C" w:rsidR="008E6B74" w:rsidRPr="001E650B" w:rsidRDefault="001C4B20" w:rsidP="00E77209">
      <w:pPr>
        <w:autoSpaceDE w:val="0"/>
        <w:autoSpaceDN w:val="0"/>
        <w:adjustRightInd w:val="0"/>
        <w:spacing w:line="252" w:lineRule="auto"/>
        <w:jc w:val="both"/>
        <w:rPr>
          <w:rFonts w:ascii="Verdana" w:eastAsia="Calibri" w:hAnsi="Verdana" w:cs="Arial"/>
          <w:b/>
          <w:bCs/>
          <w:sz w:val="21"/>
          <w:szCs w:val="21"/>
          <w:lang w:val="es-CO"/>
        </w:rPr>
      </w:pPr>
      <w:r w:rsidRPr="001E650B">
        <w:rPr>
          <w:rFonts w:ascii="Verdana" w:eastAsia="Calibri" w:hAnsi="Verdana" w:cs="Arial"/>
          <w:b/>
          <w:bCs/>
          <w:sz w:val="21"/>
          <w:szCs w:val="21"/>
          <w:lang w:val="es-CO"/>
        </w:rPr>
        <w:t>h</w:t>
      </w:r>
      <w:r w:rsidR="008E6B74" w:rsidRPr="001E650B">
        <w:rPr>
          <w:rFonts w:ascii="Verdana" w:eastAsia="Calibri" w:hAnsi="Verdana" w:cs="Arial"/>
          <w:b/>
          <w:bCs/>
          <w:sz w:val="21"/>
          <w:szCs w:val="21"/>
          <w:lang w:val="es-CO"/>
        </w:rPr>
        <w:t>. El cumplimiento en el reporte del Boletín de Deudores Morosos del Estado, cuando haya lugar</w:t>
      </w:r>
    </w:p>
    <w:p w14:paraId="20A58E7B" w14:textId="52CE4D64" w:rsidR="008E6B74" w:rsidRPr="001E650B" w:rsidRDefault="008E6B74" w:rsidP="00E77209">
      <w:pPr>
        <w:autoSpaceDE w:val="0"/>
        <w:autoSpaceDN w:val="0"/>
        <w:adjustRightInd w:val="0"/>
        <w:spacing w:line="252" w:lineRule="auto"/>
        <w:jc w:val="both"/>
        <w:rPr>
          <w:rFonts w:ascii="Verdana" w:eastAsia="Calibri" w:hAnsi="Verdana" w:cs="Arial"/>
          <w:b/>
          <w:bCs/>
          <w:sz w:val="21"/>
          <w:szCs w:val="21"/>
          <w:lang w:val="es-CO"/>
        </w:rPr>
      </w:pPr>
    </w:p>
    <w:p w14:paraId="4F7BE4F8" w14:textId="4D82F1E3" w:rsidR="004B59CA" w:rsidRPr="001E650B" w:rsidRDefault="004C6371" w:rsidP="00E77209">
      <w:pPr>
        <w:autoSpaceDE w:val="0"/>
        <w:autoSpaceDN w:val="0"/>
        <w:adjustRightInd w:val="0"/>
        <w:spacing w:line="252" w:lineRule="auto"/>
        <w:jc w:val="both"/>
        <w:rPr>
          <w:rFonts w:ascii="Verdana" w:eastAsia="Calibri" w:hAnsi="Verdana" w:cs="Arial"/>
          <w:sz w:val="21"/>
          <w:szCs w:val="21"/>
          <w:lang w:val="es-CO"/>
        </w:rPr>
      </w:pPr>
      <w:r>
        <w:rPr>
          <w:rFonts w:ascii="Verdana" w:eastAsia="Calibri" w:hAnsi="Verdana" w:cs="Arial"/>
          <w:sz w:val="21"/>
          <w:szCs w:val="21"/>
          <w:lang w:val="es-CO"/>
        </w:rPr>
        <w:t>El FONPET no emite este reporte en mención.</w:t>
      </w:r>
    </w:p>
    <w:p w14:paraId="67347588" w14:textId="77777777" w:rsidR="008E6B74" w:rsidRPr="001E650B" w:rsidRDefault="008E6B74" w:rsidP="00E77209">
      <w:pPr>
        <w:autoSpaceDE w:val="0"/>
        <w:autoSpaceDN w:val="0"/>
        <w:adjustRightInd w:val="0"/>
        <w:spacing w:line="252" w:lineRule="auto"/>
        <w:jc w:val="both"/>
        <w:rPr>
          <w:rFonts w:ascii="Verdana" w:eastAsia="Calibri" w:hAnsi="Verdana" w:cs="Arial"/>
          <w:b/>
          <w:bCs/>
          <w:sz w:val="21"/>
          <w:szCs w:val="21"/>
          <w:lang w:val="es-CO"/>
        </w:rPr>
      </w:pPr>
    </w:p>
    <w:p w14:paraId="64EDFC5F" w14:textId="1DC637A1" w:rsidR="008E6B74" w:rsidRPr="001E650B" w:rsidRDefault="001C4B20" w:rsidP="00E77209">
      <w:pPr>
        <w:autoSpaceDE w:val="0"/>
        <w:autoSpaceDN w:val="0"/>
        <w:adjustRightInd w:val="0"/>
        <w:spacing w:line="252" w:lineRule="auto"/>
        <w:jc w:val="both"/>
        <w:rPr>
          <w:rFonts w:ascii="Verdana" w:eastAsia="Calibri" w:hAnsi="Verdana" w:cs="Arial"/>
          <w:b/>
          <w:bCs/>
          <w:sz w:val="21"/>
          <w:szCs w:val="21"/>
          <w:lang w:val="es-CO"/>
        </w:rPr>
      </w:pPr>
      <w:r w:rsidRPr="001E650B">
        <w:rPr>
          <w:rFonts w:ascii="Verdana" w:eastAsia="Calibri" w:hAnsi="Verdana" w:cs="Arial"/>
          <w:b/>
          <w:bCs/>
          <w:sz w:val="21"/>
          <w:szCs w:val="21"/>
          <w:lang w:val="es-CO"/>
        </w:rPr>
        <w:t>i</w:t>
      </w:r>
      <w:r w:rsidR="008E6B74" w:rsidRPr="001E650B">
        <w:rPr>
          <w:rFonts w:ascii="Verdana" w:eastAsia="Calibri" w:hAnsi="Verdana" w:cs="Arial"/>
          <w:b/>
          <w:bCs/>
          <w:sz w:val="21"/>
          <w:szCs w:val="21"/>
          <w:lang w:val="es-CO"/>
        </w:rPr>
        <w:t>. La descripción del avance en la ejecución de planes de mejoramiento suscritos con</w:t>
      </w:r>
      <w:r w:rsidR="00912B21" w:rsidRPr="001E650B">
        <w:rPr>
          <w:rFonts w:ascii="Verdana" w:eastAsia="Calibri" w:hAnsi="Verdana" w:cs="Arial"/>
          <w:b/>
          <w:bCs/>
          <w:sz w:val="21"/>
          <w:szCs w:val="21"/>
          <w:lang w:val="es-CO"/>
        </w:rPr>
        <w:t xml:space="preserve"> </w:t>
      </w:r>
      <w:r w:rsidR="008E6B74" w:rsidRPr="001E650B">
        <w:rPr>
          <w:rFonts w:ascii="Verdana" w:eastAsia="Calibri" w:hAnsi="Verdana" w:cs="Arial"/>
          <w:b/>
          <w:bCs/>
          <w:sz w:val="21"/>
          <w:szCs w:val="21"/>
          <w:lang w:val="es-CO"/>
        </w:rPr>
        <w:t>organismos de control</w:t>
      </w:r>
      <w:r w:rsidR="00BB7AFF" w:rsidRPr="001E650B">
        <w:rPr>
          <w:rFonts w:ascii="Verdana" w:eastAsia="Calibri" w:hAnsi="Verdana" w:cs="Arial"/>
          <w:b/>
          <w:bCs/>
          <w:sz w:val="21"/>
          <w:szCs w:val="21"/>
          <w:lang w:val="es-CO"/>
        </w:rPr>
        <w:t xml:space="preserve"> o con la auditoría </w:t>
      </w:r>
      <w:r w:rsidR="000072DE" w:rsidRPr="001E650B">
        <w:rPr>
          <w:rFonts w:ascii="Verdana" w:eastAsia="Calibri" w:hAnsi="Verdana" w:cs="Arial"/>
          <w:b/>
          <w:bCs/>
          <w:sz w:val="21"/>
          <w:szCs w:val="21"/>
          <w:lang w:val="es-CO"/>
        </w:rPr>
        <w:t>interna o externa</w:t>
      </w:r>
      <w:r w:rsidR="008E6B74" w:rsidRPr="001E650B">
        <w:rPr>
          <w:rFonts w:ascii="Verdana" w:eastAsia="Calibri" w:hAnsi="Verdana" w:cs="Arial"/>
          <w:b/>
          <w:bCs/>
          <w:sz w:val="21"/>
          <w:szCs w:val="21"/>
          <w:lang w:val="es-CO"/>
        </w:rPr>
        <w:t>, si existen.</w:t>
      </w:r>
    </w:p>
    <w:p w14:paraId="541045B0" w14:textId="3F3E306F" w:rsidR="00BA0BE3" w:rsidRPr="001E650B" w:rsidRDefault="00BA0BE3" w:rsidP="00E77209">
      <w:pPr>
        <w:autoSpaceDE w:val="0"/>
        <w:autoSpaceDN w:val="0"/>
        <w:spacing w:line="252" w:lineRule="auto"/>
        <w:jc w:val="both"/>
        <w:rPr>
          <w:rFonts w:ascii="Verdana" w:eastAsia="Calibri" w:hAnsi="Verdana" w:cs="Arial"/>
          <w:b/>
          <w:bCs/>
          <w:sz w:val="21"/>
          <w:szCs w:val="21"/>
          <w:lang w:val="es-CO"/>
        </w:rPr>
      </w:pPr>
    </w:p>
    <w:p w14:paraId="44DB3783" w14:textId="77777777" w:rsidR="004C6371" w:rsidRDefault="004C6371" w:rsidP="00656221">
      <w:pPr>
        <w:spacing w:line="252" w:lineRule="auto"/>
        <w:jc w:val="both"/>
        <w:rPr>
          <w:rFonts w:ascii="Verdana" w:eastAsia="Calibri" w:hAnsi="Verdana" w:cs="Arial"/>
          <w:sz w:val="21"/>
          <w:szCs w:val="21"/>
          <w:lang w:val="es-CO"/>
        </w:rPr>
      </w:pPr>
    </w:p>
    <w:p w14:paraId="370DC0D8" w14:textId="4E43E53E" w:rsidR="004C6371" w:rsidRDefault="00962582" w:rsidP="00656221">
      <w:pPr>
        <w:spacing w:line="252" w:lineRule="auto"/>
        <w:jc w:val="both"/>
        <w:rPr>
          <w:rFonts w:ascii="Verdana" w:eastAsia="Calibri" w:hAnsi="Verdana" w:cs="Arial"/>
          <w:sz w:val="21"/>
          <w:szCs w:val="21"/>
          <w:lang w:val="es-CO"/>
        </w:rPr>
      </w:pPr>
      <w:r>
        <w:rPr>
          <w:rFonts w:ascii="Verdana" w:eastAsia="Calibri" w:hAnsi="Verdana" w:cs="Arial"/>
          <w:sz w:val="21"/>
          <w:szCs w:val="21"/>
          <w:lang w:val="es-CO"/>
        </w:rPr>
        <w:t>Actualmente en el Grupo Contable del FONPET se está atendiendo los compromisos adquiridos con la CGR (Contraloría General de la República)</w:t>
      </w:r>
      <w:r w:rsidR="00EA165E">
        <w:rPr>
          <w:rFonts w:ascii="Verdana" w:eastAsia="Calibri" w:hAnsi="Verdana" w:cs="Arial"/>
          <w:sz w:val="21"/>
          <w:szCs w:val="21"/>
          <w:lang w:val="es-CO"/>
        </w:rPr>
        <w:t xml:space="preserve">, cuyos vencimientos están para el mes de junio del año 2025, a </w:t>
      </w:r>
      <w:proofErr w:type="gramStart"/>
      <w:r w:rsidR="00EA165E">
        <w:rPr>
          <w:rFonts w:ascii="Verdana" w:eastAsia="Calibri" w:hAnsi="Verdana" w:cs="Arial"/>
          <w:sz w:val="21"/>
          <w:szCs w:val="21"/>
          <w:lang w:val="es-CO"/>
        </w:rPr>
        <w:t>continuación</w:t>
      </w:r>
      <w:proofErr w:type="gramEnd"/>
      <w:r w:rsidR="00EA165E">
        <w:rPr>
          <w:rFonts w:ascii="Verdana" w:eastAsia="Calibri" w:hAnsi="Verdana" w:cs="Arial"/>
          <w:sz w:val="21"/>
          <w:szCs w:val="21"/>
          <w:lang w:val="es-CO"/>
        </w:rPr>
        <w:t xml:space="preserve"> un resumen de estos:</w:t>
      </w:r>
    </w:p>
    <w:p w14:paraId="4F1D1A7F" w14:textId="77777777" w:rsidR="004C6371" w:rsidRDefault="004C6371" w:rsidP="00656221">
      <w:pPr>
        <w:spacing w:line="252" w:lineRule="auto"/>
        <w:jc w:val="both"/>
        <w:rPr>
          <w:rFonts w:ascii="Verdana" w:eastAsia="Calibri" w:hAnsi="Verdana" w:cs="Arial"/>
          <w:sz w:val="21"/>
          <w:szCs w:val="21"/>
          <w:lang w:val="es-CO"/>
        </w:rPr>
      </w:pPr>
    </w:p>
    <w:p w14:paraId="399B207D" w14:textId="77777777" w:rsidR="004C6371" w:rsidRPr="004C6371" w:rsidRDefault="004C6371" w:rsidP="004C6371">
      <w:pPr>
        <w:spacing w:line="252" w:lineRule="auto"/>
        <w:jc w:val="both"/>
        <w:rPr>
          <w:rFonts w:ascii="Verdana" w:eastAsia="Calibri" w:hAnsi="Verdana" w:cs="Arial"/>
          <w:sz w:val="21"/>
          <w:szCs w:val="21"/>
          <w:lang w:val="es-CO"/>
        </w:rPr>
      </w:pPr>
    </w:p>
    <w:tbl>
      <w:tblPr>
        <w:tblW w:w="0" w:type="auto"/>
        <w:tblInd w:w="-3" w:type="dxa"/>
        <w:tblCellMar>
          <w:left w:w="0" w:type="dxa"/>
          <w:right w:w="0" w:type="dxa"/>
        </w:tblCellMar>
        <w:tblLook w:val="04A0" w:firstRow="1" w:lastRow="0" w:firstColumn="1" w:lastColumn="0" w:noHBand="0" w:noVBand="1"/>
      </w:tblPr>
      <w:tblGrid>
        <w:gridCol w:w="249"/>
        <w:gridCol w:w="591"/>
        <w:gridCol w:w="627"/>
        <w:gridCol w:w="755"/>
        <w:gridCol w:w="538"/>
        <w:gridCol w:w="759"/>
        <w:gridCol w:w="569"/>
        <w:gridCol w:w="770"/>
        <w:gridCol w:w="600"/>
        <w:gridCol w:w="749"/>
        <w:gridCol w:w="722"/>
        <w:gridCol w:w="995"/>
        <w:gridCol w:w="732"/>
        <w:gridCol w:w="732"/>
      </w:tblGrid>
      <w:tr w:rsidR="004C6371" w:rsidRPr="00962582" w14:paraId="6910F526" w14:textId="77777777" w:rsidTr="00EA165E">
        <w:trPr>
          <w:trHeight w:val="900"/>
        </w:trPr>
        <w:tc>
          <w:tcPr>
            <w:tcW w:w="419" w:type="dxa"/>
            <w:tcBorders>
              <w:top w:val="single" w:sz="8" w:space="0" w:color="auto"/>
              <w:left w:val="single" w:sz="8" w:space="0" w:color="auto"/>
              <w:bottom w:val="single" w:sz="8" w:space="0" w:color="auto"/>
              <w:right w:val="single" w:sz="8" w:space="0" w:color="auto"/>
            </w:tcBorders>
            <w:shd w:val="clear" w:color="auto" w:fill="215C98"/>
            <w:tcMar>
              <w:top w:w="0" w:type="dxa"/>
              <w:left w:w="70" w:type="dxa"/>
              <w:bottom w:w="0" w:type="dxa"/>
              <w:right w:w="70" w:type="dxa"/>
            </w:tcMar>
            <w:vAlign w:val="center"/>
            <w:hideMark/>
          </w:tcPr>
          <w:p w14:paraId="0F3A370D" w14:textId="5576C693" w:rsidR="004C6371" w:rsidRPr="004C6371" w:rsidRDefault="00962582" w:rsidP="004C6371">
            <w:pPr>
              <w:spacing w:line="252" w:lineRule="auto"/>
              <w:jc w:val="both"/>
              <w:rPr>
                <w:rFonts w:ascii="Verdana" w:eastAsia="Calibri" w:hAnsi="Verdana" w:cs="Arial"/>
                <w:b/>
                <w:bCs/>
                <w:color w:val="FFFFFF" w:themeColor="background1"/>
                <w:sz w:val="10"/>
                <w:szCs w:val="10"/>
                <w:lang w:val="es-CO"/>
              </w:rPr>
            </w:pPr>
            <w:r>
              <w:rPr>
                <w:rFonts w:ascii="Verdana" w:eastAsia="Calibri" w:hAnsi="Verdana" w:cs="Arial"/>
                <w:b/>
                <w:bCs/>
                <w:color w:val="FFFFFF" w:themeColor="background1"/>
                <w:sz w:val="10"/>
                <w:szCs w:val="10"/>
                <w:lang w:val="es-CO"/>
              </w:rPr>
              <w:t>#</w:t>
            </w:r>
          </w:p>
        </w:tc>
        <w:tc>
          <w:tcPr>
            <w:tcW w:w="421" w:type="dxa"/>
            <w:tcBorders>
              <w:top w:val="single" w:sz="8" w:space="0" w:color="auto"/>
              <w:left w:val="nil"/>
              <w:bottom w:val="single" w:sz="8" w:space="0" w:color="auto"/>
              <w:right w:val="single" w:sz="8" w:space="0" w:color="auto"/>
            </w:tcBorders>
            <w:shd w:val="clear" w:color="auto" w:fill="215C98"/>
            <w:tcMar>
              <w:top w:w="0" w:type="dxa"/>
              <w:left w:w="70" w:type="dxa"/>
              <w:bottom w:w="0" w:type="dxa"/>
              <w:right w:w="70" w:type="dxa"/>
            </w:tcMar>
            <w:vAlign w:val="center"/>
            <w:hideMark/>
          </w:tcPr>
          <w:p w14:paraId="475EA6D1"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CÓDIGO MEJORA SMGI</w:t>
            </w:r>
          </w:p>
        </w:tc>
        <w:tc>
          <w:tcPr>
            <w:tcW w:w="627" w:type="dxa"/>
            <w:tcBorders>
              <w:top w:val="single" w:sz="8" w:space="0" w:color="auto"/>
              <w:left w:val="nil"/>
              <w:bottom w:val="single" w:sz="8" w:space="0" w:color="auto"/>
              <w:right w:val="single" w:sz="8" w:space="0" w:color="auto"/>
            </w:tcBorders>
            <w:shd w:val="clear" w:color="auto" w:fill="215C98"/>
            <w:tcMar>
              <w:top w:w="0" w:type="dxa"/>
              <w:left w:w="70" w:type="dxa"/>
              <w:bottom w:w="0" w:type="dxa"/>
              <w:right w:w="70" w:type="dxa"/>
            </w:tcMar>
            <w:vAlign w:val="center"/>
            <w:hideMark/>
          </w:tcPr>
          <w:p w14:paraId="15328981"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ESTADO DE ACTIVIDAD</w:t>
            </w:r>
          </w:p>
        </w:tc>
        <w:tc>
          <w:tcPr>
            <w:tcW w:w="0" w:type="auto"/>
            <w:tcBorders>
              <w:top w:val="single" w:sz="8" w:space="0" w:color="auto"/>
              <w:left w:val="nil"/>
              <w:bottom w:val="single" w:sz="8" w:space="0" w:color="auto"/>
              <w:right w:val="single" w:sz="8" w:space="0" w:color="auto"/>
            </w:tcBorders>
            <w:shd w:val="clear" w:color="auto" w:fill="FFFF00"/>
            <w:tcMar>
              <w:top w:w="0" w:type="dxa"/>
              <w:left w:w="70" w:type="dxa"/>
              <w:bottom w:w="0" w:type="dxa"/>
              <w:right w:w="70" w:type="dxa"/>
            </w:tcMar>
            <w:vAlign w:val="center"/>
            <w:hideMark/>
          </w:tcPr>
          <w:p w14:paraId="4ED1CAB7"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RESPONSABLE DE EJECUTAR</w:t>
            </w:r>
          </w:p>
        </w:tc>
        <w:tc>
          <w:tcPr>
            <w:tcW w:w="0" w:type="auto"/>
            <w:tcBorders>
              <w:top w:val="single" w:sz="8" w:space="0" w:color="auto"/>
              <w:left w:val="nil"/>
              <w:bottom w:val="single" w:sz="8" w:space="0" w:color="auto"/>
              <w:right w:val="single" w:sz="8" w:space="0" w:color="auto"/>
            </w:tcBorders>
            <w:shd w:val="clear" w:color="auto" w:fill="FFFF00"/>
            <w:tcMar>
              <w:top w:w="0" w:type="dxa"/>
              <w:left w:w="70" w:type="dxa"/>
              <w:bottom w:w="0" w:type="dxa"/>
              <w:right w:w="70" w:type="dxa"/>
            </w:tcMar>
            <w:vAlign w:val="center"/>
            <w:hideMark/>
          </w:tcPr>
          <w:p w14:paraId="615AB8CD"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FECHA AVANCES</w:t>
            </w:r>
          </w:p>
        </w:tc>
        <w:tc>
          <w:tcPr>
            <w:tcW w:w="0" w:type="auto"/>
            <w:tcBorders>
              <w:top w:val="single" w:sz="8" w:space="0" w:color="auto"/>
              <w:left w:val="nil"/>
              <w:bottom w:val="single" w:sz="8" w:space="0" w:color="auto"/>
              <w:right w:val="single" w:sz="8" w:space="0" w:color="auto"/>
            </w:tcBorders>
            <w:shd w:val="clear" w:color="auto" w:fill="215C98"/>
            <w:tcMar>
              <w:top w:w="0" w:type="dxa"/>
              <w:left w:w="70" w:type="dxa"/>
              <w:bottom w:w="0" w:type="dxa"/>
              <w:right w:w="70" w:type="dxa"/>
            </w:tcMar>
            <w:vAlign w:val="center"/>
            <w:hideMark/>
          </w:tcPr>
          <w:p w14:paraId="70708702"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ACTIVIDADES / FECHA DE TERMINACIÓN</w:t>
            </w:r>
          </w:p>
        </w:tc>
        <w:tc>
          <w:tcPr>
            <w:tcW w:w="0" w:type="auto"/>
            <w:tcBorders>
              <w:top w:val="single" w:sz="8" w:space="0" w:color="auto"/>
              <w:left w:val="nil"/>
              <w:bottom w:val="single" w:sz="8" w:space="0" w:color="auto"/>
              <w:right w:val="single" w:sz="8" w:space="0" w:color="auto"/>
            </w:tcBorders>
            <w:shd w:val="clear" w:color="auto" w:fill="215C98"/>
            <w:tcMar>
              <w:top w:w="0" w:type="dxa"/>
              <w:left w:w="70" w:type="dxa"/>
              <w:bottom w:w="0" w:type="dxa"/>
              <w:right w:w="70" w:type="dxa"/>
            </w:tcMar>
            <w:vAlign w:val="center"/>
            <w:hideMark/>
          </w:tcPr>
          <w:p w14:paraId="27F83F34"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VIGENCIA</w:t>
            </w:r>
          </w:p>
        </w:tc>
        <w:tc>
          <w:tcPr>
            <w:tcW w:w="0" w:type="auto"/>
            <w:tcBorders>
              <w:top w:val="single" w:sz="8" w:space="0" w:color="auto"/>
              <w:left w:val="nil"/>
              <w:bottom w:val="single" w:sz="8" w:space="0" w:color="auto"/>
              <w:right w:val="single" w:sz="8" w:space="0" w:color="auto"/>
            </w:tcBorders>
            <w:shd w:val="clear" w:color="auto" w:fill="215C98"/>
            <w:tcMar>
              <w:top w:w="0" w:type="dxa"/>
              <w:left w:w="70" w:type="dxa"/>
              <w:bottom w:w="0" w:type="dxa"/>
              <w:right w:w="70" w:type="dxa"/>
            </w:tcMar>
            <w:vAlign w:val="center"/>
            <w:hideMark/>
          </w:tcPr>
          <w:p w14:paraId="799D81E2"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AUDITORIA</w:t>
            </w:r>
          </w:p>
        </w:tc>
        <w:tc>
          <w:tcPr>
            <w:tcW w:w="0" w:type="auto"/>
            <w:tcBorders>
              <w:top w:val="single" w:sz="8" w:space="0" w:color="auto"/>
              <w:left w:val="nil"/>
              <w:bottom w:val="single" w:sz="8" w:space="0" w:color="auto"/>
              <w:right w:val="single" w:sz="8" w:space="0" w:color="auto"/>
            </w:tcBorders>
            <w:shd w:val="clear" w:color="auto" w:fill="215C98"/>
            <w:tcMar>
              <w:top w:w="0" w:type="dxa"/>
              <w:left w:w="70" w:type="dxa"/>
              <w:bottom w:w="0" w:type="dxa"/>
              <w:right w:w="70" w:type="dxa"/>
            </w:tcMar>
            <w:vAlign w:val="center"/>
            <w:hideMark/>
          </w:tcPr>
          <w:p w14:paraId="2A8CACB2"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AUDITADO</w:t>
            </w:r>
          </w:p>
        </w:tc>
        <w:tc>
          <w:tcPr>
            <w:tcW w:w="0" w:type="auto"/>
            <w:tcBorders>
              <w:top w:val="single" w:sz="8" w:space="0" w:color="auto"/>
              <w:left w:val="nil"/>
              <w:bottom w:val="single" w:sz="8" w:space="0" w:color="auto"/>
              <w:right w:val="single" w:sz="8" w:space="0" w:color="auto"/>
            </w:tcBorders>
            <w:shd w:val="clear" w:color="auto" w:fill="215C98"/>
            <w:tcMar>
              <w:top w:w="0" w:type="dxa"/>
              <w:left w:w="70" w:type="dxa"/>
              <w:bottom w:w="0" w:type="dxa"/>
              <w:right w:w="70" w:type="dxa"/>
            </w:tcMar>
            <w:vAlign w:val="center"/>
            <w:hideMark/>
          </w:tcPr>
          <w:p w14:paraId="71C9EA39"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HALLAZGO CGR</w:t>
            </w:r>
          </w:p>
        </w:tc>
        <w:tc>
          <w:tcPr>
            <w:tcW w:w="0" w:type="auto"/>
            <w:tcBorders>
              <w:top w:val="single" w:sz="8" w:space="0" w:color="auto"/>
              <w:left w:val="nil"/>
              <w:bottom w:val="single" w:sz="8" w:space="0" w:color="auto"/>
              <w:right w:val="single" w:sz="8" w:space="0" w:color="auto"/>
            </w:tcBorders>
            <w:shd w:val="clear" w:color="auto" w:fill="215C98"/>
            <w:tcMar>
              <w:top w:w="0" w:type="dxa"/>
              <w:left w:w="70" w:type="dxa"/>
              <w:bottom w:w="0" w:type="dxa"/>
              <w:right w:w="70" w:type="dxa"/>
            </w:tcMar>
            <w:vAlign w:val="center"/>
            <w:hideMark/>
          </w:tcPr>
          <w:p w14:paraId="6A2B8A6F"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ACCIÓN DE MEJORA</w:t>
            </w:r>
          </w:p>
        </w:tc>
        <w:tc>
          <w:tcPr>
            <w:tcW w:w="0" w:type="auto"/>
            <w:tcBorders>
              <w:top w:val="single" w:sz="8" w:space="0" w:color="auto"/>
              <w:left w:val="nil"/>
              <w:bottom w:val="single" w:sz="8" w:space="0" w:color="auto"/>
              <w:right w:val="single" w:sz="8" w:space="0" w:color="auto"/>
            </w:tcBorders>
            <w:shd w:val="clear" w:color="auto" w:fill="215C98"/>
            <w:tcMar>
              <w:top w:w="0" w:type="dxa"/>
              <w:left w:w="70" w:type="dxa"/>
              <w:bottom w:w="0" w:type="dxa"/>
              <w:right w:w="70" w:type="dxa"/>
            </w:tcMar>
            <w:vAlign w:val="center"/>
            <w:hideMark/>
          </w:tcPr>
          <w:p w14:paraId="236ABCBC"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ACTIVIDADES / DESCRIPCIÓN</w:t>
            </w:r>
          </w:p>
        </w:tc>
        <w:tc>
          <w:tcPr>
            <w:tcW w:w="0" w:type="auto"/>
            <w:tcBorders>
              <w:top w:val="single" w:sz="8" w:space="0" w:color="auto"/>
              <w:left w:val="nil"/>
              <w:bottom w:val="single" w:sz="8" w:space="0" w:color="auto"/>
              <w:right w:val="single" w:sz="8" w:space="0" w:color="auto"/>
            </w:tcBorders>
            <w:shd w:val="clear" w:color="auto" w:fill="215C98"/>
            <w:tcMar>
              <w:top w:w="0" w:type="dxa"/>
              <w:left w:w="70" w:type="dxa"/>
              <w:bottom w:w="0" w:type="dxa"/>
              <w:right w:w="70" w:type="dxa"/>
            </w:tcMar>
            <w:vAlign w:val="center"/>
            <w:hideMark/>
          </w:tcPr>
          <w:p w14:paraId="50D74E2A"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ACTIVIDADES / UNIDAD DE MEDIDA</w:t>
            </w:r>
          </w:p>
        </w:tc>
        <w:tc>
          <w:tcPr>
            <w:tcW w:w="0" w:type="auto"/>
            <w:tcBorders>
              <w:top w:val="single" w:sz="8" w:space="0" w:color="auto"/>
              <w:left w:val="nil"/>
              <w:bottom w:val="single" w:sz="8" w:space="0" w:color="auto"/>
              <w:right w:val="single" w:sz="8" w:space="0" w:color="auto"/>
            </w:tcBorders>
            <w:shd w:val="clear" w:color="auto" w:fill="215C98"/>
            <w:tcMar>
              <w:top w:w="0" w:type="dxa"/>
              <w:left w:w="70" w:type="dxa"/>
              <w:bottom w:w="0" w:type="dxa"/>
              <w:right w:w="70" w:type="dxa"/>
            </w:tcMar>
            <w:vAlign w:val="center"/>
            <w:hideMark/>
          </w:tcPr>
          <w:p w14:paraId="6EDE813D" w14:textId="77777777" w:rsidR="004C6371" w:rsidRPr="004C6371" w:rsidRDefault="004C6371" w:rsidP="004C6371">
            <w:pPr>
              <w:spacing w:line="252" w:lineRule="auto"/>
              <w:jc w:val="both"/>
              <w:rPr>
                <w:rFonts w:ascii="Verdana" w:eastAsia="Calibri" w:hAnsi="Verdana" w:cs="Arial"/>
                <w:b/>
                <w:bCs/>
                <w:color w:val="FFFFFF" w:themeColor="background1"/>
                <w:sz w:val="10"/>
                <w:szCs w:val="10"/>
                <w:lang w:val="es-CO"/>
              </w:rPr>
            </w:pPr>
            <w:r w:rsidRPr="004C6371">
              <w:rPr>
                <w:rFonts w:ascii="Verdana" w:eastAsia="Calibri" w:hAnsi="Verdana" w:cs="Arial"/>
                <w:b/>
                <w:bCs/>
                <w:color w:val="FFFFFF" w:themeColor="background1"/>
                <w:sz w:val="10"/>
                <w:szCs w:val="10"/>
                <w:lang w:val="es-CO"/>
              </w:rPr>
              <w:t>ACTIVIDADES / CANTIDADES UNIDAD DE MEDIDA</w:t>
            </w:r>
          </w:p>
        </w:tc>
      </w:tr>
      <w:tr w:rsidR="004C6371" w:rsidRPr="00962582" w14:paraId="3F2BB021" w14:textId="77777777" w:rsidTr="00EA165E">
        <w:trPr>
          <w:trHeight w:val="1500"/>
        </w:trPr>
        <w:tc>
          <w:tcPr>
            <w:tcW w:w="419" w:type="dxa"/>
            <w:tcBorders>
              <w:top w:val="nil"/>
              <w:left w:val="single" w:sz="8" w:space="0" w:color="auto"/>
              <w:bottom w:val="single" w:sz="8" w:space="0" w:color="auto"/>
              <w:right w:val="single" w:sz="8" w:space="0" w:color="auto"/>
            </w:tcBorders>
            <w:shd w:val="clear" w:color="auto" w:fill="auto"/>
            <w:tcMar>
              <w:top w:w="0" w:type="dxa"/>
              <w:left w:w="70" w:type="dxa"/>
              <w:bottom w:w="0" w:type="dxa"/>
              <w:right w:w="70" w:type="dxa"/>
            </w:tcMar>
            <w:vAlign w:val="center"/>
            <w:hideMark/>
          </w:tcPr>
          <w:p w14:paraId="4A999389" w14:textId="77777777" w:rsidR="004C6371" w:rsidRPr="004C6371" w:rsidRDefault="004C6371" w:rsidP="004C6371">
            <w:pPr>
              <w:spacing w:line="252" w:lineRule="auto"/>
              <w:jc w:val="both"/>
              <w:rPr>
                <w:rFonts w:ascii="Verdana" w:eastAsia="Calibri" w:hAnsi="Verdana" w:cs="Arial"/>
                <w:b/>
                <w:bCs/>
                <w:sz w:val="10"/>
                <w:szCs w:val="10"/>
                <w:lang w:val="es-CO"/>
              </w:rPr>
            </w:pPr>
            <w:r w:rsidRPr="004C6371">
              <w:rPr>
                <w:rFonts w:ascii="Verdana" w:eastAsia="Calibri" w:hAnsi="Verdana" w:cs="Arial"/>
                <w:b/>
                <w:bCs/>
                <w:sz w:val="10"/>
                <w:szCs w:val="10"/>
                <w:lang w:val="es-CO"/>
              </w:rPr>
              <w:t>3</w:t>
            </w:r>
          </w:p>
        </w:tc>
        <w:tc>
          <w:tcPr>
            <w:tcW w:w="421"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0BDDBB8"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FONPET-AF-2023-3</w:t>
            </w:r>
          </w:p>
        </w:tc>
        <w:tc>
          <w:tcPr>
            <w:tcW w:w="627"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EA2D95E"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Sin avances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879B57B"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Helmuth Voelkl Peñaloza</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033F5DB"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17-ene-25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46B9D4D"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30-jun-2025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F7E60CA"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2023</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E53DDFE"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INFORME DE AUDITORÍA FINANCIERA INDEPENDIENTE</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27828BD"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6BF9328"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Hallazgo No. 3 Notas a los Estados Financieros-Comisiones administradoras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E7D3DBA"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 xml:space="preserve">Garantizar la continuidad en la aplicación del Plan General de Contabilidad Pública, afianzando los principios de </w:t>
            </w:r>
            <w:r w:rsidRPr="004C6371">
              <w:rPr>
                <w:rFonts w:ascii="Verdana" w:eastAsia="Calibri" w:hAnsi="Verdana" w:cs="Arial"/>
                <w:sz w:val="10"/>
                <w:szCs w:val="10"/>
                <w:lang w:val="es-CO"/>
              </w:rPr>
              <w:lastRenderedPageBreak/>
              <w:t>oportunidad, materialidad y universalidad en las Notas del Estado de Situación Financiera.</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75B5CB07"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lastRenderedPageBreak/>
              <w:t xml:space="preserve">1. Dar los lineamientos por parte del Coordinador del FONPET a los integrantes del apoyo contable del FONPET donde se reitere la necesidad de dar cumplimiento a las </w:t>
            </w:r>
            <w:r w:rsidRPr="004C6371">
              <w:rPr>
                <w:rFonts w:ascii="Verdana" w:eastAsia="Calibri" w:hAnsi="Verdana" w:cs="Arial"/>
                <w:sz w:val="10"/>
                <w:szCs w:val="10"/>
                <w:lang w:val="es-CO"/>
              </w:rPr>
              <w:lastRenderedPageBreak/>
              <w:t xml:space="preserve">características que deben tener las notas de contabilidad; así mismo, el </w:t>
            </w:r>
            <w:proofErr w:type="gramStart"/>
            <w:r w:rsidRPr="004C6371">
              <w:rPr>
                <w:rFonts w:ascii="Verdana" w:eastAsia="Calibri" w:hAnsi="Verdana" w:cs="Arial"/>
                <w:sz w:val="10"/>
                <w:szCs w:val="10"/>
                <w:lang w:val="es-CO"/>
              </w:rPr>
              <w:t>Coordinador,  debe</w:t>
            </w:r>
            <w:proofErr w:type="gramEnd"/>
            <w:r w:rsidRPr="004C6371">
              <w:rPr>
                <w:rFonts w:ascii="Verdana" w:eastAsia="Calibri" w:hAnsi="Verdana" w:cs="Arial"/>
                <w:sz w:val="10"/>
                <w:szCs w:val="10"/>
                <w:lang w:val="es-CO"/>
              </w:rPr>
              <w:t xml:space="preserve"> informar al equipo contable,  las situaciones que sean relevantes y requieren ser incluidas, en aras de generar las explicaciones corres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A3AD02A"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lastRenderedPageBreak/>
              <w:t>Memorando</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D50C895"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4</w:t>
            </w:r>
          </w:p>
        </w:tc>
      </w:tr>
      <w:tr w:rsidR="004C6371" w:rsidRPr="00962582" w14:paraId="2858861A" w14:textId="77777777" w:rsidTr="00EA165E">
        <w:trPr>
          <w:trHeight w:val="900"/>
        </w:trPr>
        <w:tc>
          <w:tcPr>
            <w:tcW w:w="419" w:type="dxa"/>
            <w:tcBorders>
              <w:top w:val="nil"/>
              <w:left w:val="single" w:sz="8" w:space="0" w:color="auto"/>
              <w:bottom w:val="single" w:sz="8" w:space="0" w:color="auto"/>
              <w:right w:val="single" w:sz="8" w:space="0" w:color="auto"/>
            </w:tcBorders>
            <w:shd w:val="clear" w:color="auto" w:fill="auto"/>
            <w:tcMar>
              <w:top w:w="0" w:type="dxa"/>
              <w:left w:w="70" w:type="dxa"/>
              <w:bottom w:w="0" w:type="dxa"/>
              <w:right w:w="70" w:type="dxa"/>
            </w:tcMar>
            <w:vAlign w:val="center"/>
            <w:hideMark/>
          </w:tcPr>
          <w:p w14:paraId="0A10BE14" w14:textId="77777777" w:rsidR="004C6371" w:rsidRPr="004C6371" w:rsidRDefault="004C6371" w:rsidP="004C6371">
            <w:pPr>
              <w:spacing w:line="252" w:lineRule="auto"/>
              <w:jc w:val="both"/>
              <w:rPr>
                <w:rFonts w:ascii="Verdana" w:eastAsia="Calibri" w:hAnsi="Verdana" w:cs="Arial"/>
                <w:b/>
                <w:bCs/>
                <w:sz w:val="10"/>
                <w:szCs w:val="10"/>
                <w:lang w:val="es-CO"/>
              </w:rPr>
            </w:pPr>
            <w:r w:rsidRPr="004C6371">
              <w:rPr>
                <w:rFonts w:ascii="Verdana" w:eastAsia="Calibri" w:hAnsi="Verdana" w:cs="Arial"/>
                <w:b/>
                <w:bCs/>
                <w:sz w:val="10"/>
                <w:szCs w:val="10"/>
                <w:lang w:val="es-CO"/>
              </w:rPr>
              <w:t>4</w:t>
            </w:r>
          </w:p>
        </w:tc>
        <w:tc>
          <w:tcPr>
            <w:tcW w:w="421"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F58C1CF"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FONPET-AF-2023-3-1</w:t>
            </w:r>
          </w:p>
        </w:tc>
        <w:tc>
          <w:tcPr>
            <w:tcW w:w="627"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B0FF30C"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Sin avances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DEBECD3"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 xml:space="preserve">Helmuth Voelkl Peñaloza </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EE92FD9"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17-ene-25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72DD5F76"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30-jun-2025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1A42495"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2023</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11C4592"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INFORME DE AUDITORÍA FINANCIERA INDEPENDIENTE</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4A5928F"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EF44B58"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Hallazgo No. 3 Notas a los Estados Financieros-Comisiones administradoras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CFB5AAE"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Garantizar la continuidad en la aplicación del Plan General de Contabilidad Pública, afianzando los principios de oportunidad, materialidad y universalidad en las Notas del Estado de Situación Financiera.</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21D28FFE"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2. Elaborar un procedimiento que defina las actividades a realizar para la verificación de las variaciones representativas en el Estado de Situación Financiera. Que como mínimo contemple marginalidad, materialidad, soporte documental, entre otros.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25EAC164"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Procedimiento</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A09E30F"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4</w:t>
            </w:r>
          </w:p>
        </w:tc>
      </w:tr>
      <w:tr w:rsidR="004C6371" w:rsidRPr="00962582" w14:paraId="7F585BC7" w14:textId="77777777" w:rsidTr="00EA165E">
        <w:trPr>
          <w:trHeight w:val="900"/>
        </w:trPr>
        <w:tc>
          <w:tcPr>
            <w:tcW w:w="419" w:type="dxa"/>
            <w:tcBorders>
              <w:top w:val="nil"/>
              <w:left w:val="single" w:sz="8" w:space="0" w:color="auto"/>
              <w:bottom w:val="single" w:sz="8" w:space="0" w:color="auto"/>
              <w:right w:val="single" w:sz="8" w:space="0" w:color="auto"/>
            </w:tcBorders>
            <w:shd w:val="clear" w:color="auto" w:fill="auto"/>
            <w:tcMar>
              <w:top w:w="0" w:type="dxa"/>
              <w:left w:w="70" w:type="dxa"/>
              <w:bottom w:w="0" w:type="dxa"/>
              <w:right w:w="70" w:type="dxa"/>
            </w:tcMar>
            <w:vAlign w:val="center"/>
            <w:hideMark/>
          </w:tcPr>
          <w:p w14:paraId="671D4A24" w14:textId="77777777" w:rsidR="004C6371" w:rsidRPr="004C6371" w:rsidRDefault="004C6371" w:rsidP="004C6371">
            <w:pPr>
              <w:spacing w:line="252" w:lineRule="auto"/>
              <w:jc w:val="both"/>
              <w:rPr>
                <w:rFonts w:ascii="Verdana" w:eastAsia="Calibri" w:hAnsi="Verdana" w:cs="Arial"/>
                <w:b/>
                <w:bCs/>
                <w:sz w:val="10"/>
                <w:szCs w:val="10"/>
                <w:lang w:val="es-CO"/>
              </w:rPr>
            </w:pPr>
            <w:r w:rsidRPr="004C6371">
              <w:rPr>
                <w:rFonts w:ascii="Verdana" w:eastAsia="Calibri" w:hAnsi="Verdana" w:cs="Arial"/>
                <w:b/>
                <w:bCs/>
                <w:sz w:val="10"/>
                <w:szCs w:val="10"/>
                <w:lang w:val="es-CO"/>
              </w:rPr>
              <w:t>5</w:t>
            </w:r>
          </w:p>
        </w:tc>
        <w:tc>
          <w:tcPr>
            <w:tcW w:w="421"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69B237D8"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FONPET-AF-2023-4</w:t>
            </w:r>
          </w:p>
        </w:tc>
        <w:tc>
          <w:tcPr>
            <w:tcW w:w="627"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75154177"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Sin avances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B7D76EE"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 xml:space="preserve">Helmuth Voelkl Peñaloza </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27485650"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17-ene-25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D240A57"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30-jun-2025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AAD65D4"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2023</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9282EAA"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INFORME DE AUDITORÍA FINANCIERA INDEPENDIENTE</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592EF85"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0FBB143"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Hallazgo No. 4 Solicitud de retiro de aportes sin registro contable</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2CC190D"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Garantizar el registro contable de las solicitudes de retiro de recursos del FONPET, según lo establecido en la Resolución 428 de 2018</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7AE9ED06"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 Realizar mensualmente la conciliación de las solicitudes de Retiros de Salud y Cuotas Partes Pensionales por el usuario responsable de reportar la información precisando cuales son las recibidas, pagadas y rechazadas.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7B36FAA9"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Conciliación</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73B0C6D"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12</w:t>
            </w:r>
          </w:p>
        </w:tc>
      </w:tr>
      <w:tr w:rsidR="004C6371" w:rsidRPr="00962582" w14:paraId="7E4A8F68" w14:textId="77777777" w:rsidTr="00EA165E">
        <w:trPr>
          <w:trHeight w:val="900"/>
        </w:trPr>
        <w:tc>
          <w:tcPr>
            <w:tcW w:w="419" w:type="dxa"/>
            <w:tcBorders>
              <w:top w:val="nil"/>
              <w:left w:val="single" w:sz="8" w:space="0" w:color="auto"/>
              <w:bottom w:val="single" w:sz="8" w:space="0" w:color="auto"/>
              <w:right w:val="single" w:sz="8" w:space="0" w:color="auto"/>
            </w:tcBorders>
            <w:shd w:val="clear" w:color="auto" w:fill="auto"/>
            <w:tcMar>
              <w:top w:w="0" w:type="dxa"/>
              <w:left w:w="70" w:type="dxa"/>
              <w:bottom w:w="0" w:type="dxa"/>
              <w:right w:w="70" w:type="dxa"/>
            </w:tcMar>
            <w:vAlign w:val="center"/>
            <w:hideMark/>
          </w:tcPr>
          <w:p w14:paraId="7BC5EB9B" w14:textId="77777777" w:rsidR="004C6371" w:rsidRPr="004C6371" w:rsidRDefault="004C6371" w:rsidP="004C6371">
            <w:pPr>
              <w:spacing w:line="252" w:lineRule="auto"/>
              <w:jc w:val="both"/>
              <w:rPr>
                <w:rFonts w:ascii="Verdana" w:eastAsia="Calibri" w:hAnsi="Verdana" w:cs="Arial"/>
                <w:b/>
                <w:bCs/>
                <w:sz w:val="10"/>
                <w:szCs w:val="10"/>
                <w:lang w:val="es-CO"/>
              </w:rPr>
            </w:pPr>
            <w:r w:rsidRPr="004C6371">
              <w:rPr>
                <w:rFonts w:ascii="Verdana" w:eastAsia="Calibri" w:hAnsi="Verdana" w:cs="Arial"/>
                <w:b/>
                <w:bCs/>
                <w:sz w:val="10"/>
                <w:szCs w:val="10"/>
                <w:lang w:val="es-CO"/>
              </w:rPr>
              <w:t>6</w:t>
            </w:r>
          </w:p>
        </w:tc>
        <w:tc>
          <w:tcPr>
            <w:tcW w:w="421"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72ECA57F"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FONPET-AF-2023-4-1</w:t>
            </w:r>
          </w:p>
        </w:tc>
        <w:tc>
          <w:tcPr>
            <w:tcW w:w="627"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7B95F3A4"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Sin avances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2B0DA2E"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 xml:space="preserve">Helmuth Voelkl Peñaloza </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5AEFD71"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17-ene-25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753D8CA6"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30-jun-2025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549A9C6"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2023</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602F94F"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INFORME DE AUDITORÍA FINANCIERA INDEPENDIENTE</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B230026"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8C99157"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Hallazgo No. 4 Solicitud de retiro de aportes sin registro contable</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77D980C8"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Garantizar el registro contable de las solicitudes de retiro de recursos del FONPET, según lo establecido en la Resolución 428 de 2018</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6E2E721D"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 xml:space="preserve">2. Realizar la conciliación de los estados </w:t>
            </w:r>
            <w:proofErr w:type="gramStart"/>
            <w:r w:rsidRPr="004C6371">
              <w:rPr>
                <w:rFonts w:ascii="Verdana" w:eastAsia="Calibri" w:hAnsi="Verdana" w:cs="Arial"/>
                <w:sz w:val="10"/>
                <w:szCs w:val="10"/>
                <w:lang w:val="es-CO"/>
              </w:rPr>
              <w:t>de  retiro</w:t>
            </w:r>
            <w:proofErr w:type="gramEnd"/>
            <w:r w:rsidRPr="004C6371">
              <w:rPr>
                <w:rFonts w:ascii="Verdana" w:eastAsia="Calibri" w:hAnsi="Verdana" w:cs="Arial"/>
                <w:sz w:val="10"/>
                <w:szCs w:val="10"/>
                <w:lang w:val="es-CO"/>
              </w:rPr>
              <w:t xml:space="preserve"> ya contabilizados, con las nuevas solicitudes  reportadas mensualmente,  con el fin de evitar duplicar la información para posterior registro contable.</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6DCAD50"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Conciliación</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AF18365"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12</w:t>
            </w:r>
          </w:p>
        </w:tc>
      </w:tr>
      <w:tr w:rsidR="004C6371" w:rsidRPr="00962582" w14:paraId="4BF6B144" w14:textId="77777777" w:rsidTr="00EA165E">
        <w:trPr>
          <w:trHeight w:val="1200"/>
        </w:trPr>
        <w:tc>
          <w:tcPr>
            <w:tcW w:w="419" w:type="dxa"/>
            <w:tcBorders>
              <w:top w:val="nil"/>
              <w:left w:val="single" w:sz="8" w:space="0" w:color="auto"/>
              <w:bottom w:val="single" w:sz="8" w:space="0" w:color="auto"/>
              <w:right w:val="single" w:sz="8" w:space="0" w:color="auto"/>
            </w:tcBorders>
            <w:shd w:val="clear" w:color="auto" w:fill="auto"/>
            <w:tcMar>
              <w:top w:w="0" w:type="dxa"/>
              <w:left w:w="70" w:type="dxa"/>
              <w:bottom w:w="0" w:type="dxa"/>
              <w:right w:w="70" w:type="dxa"/>
            </w:tcMar>
            <w:vAlign w:val="center"/>
            <w:hideMark/>
          </w:tcPr>
          <w:p w14:paraId="0D6C8132" w14:textId="77777777" w:rsidR="004C6371" w:rsidRPr="004C6371" w:rsidRDefault="004C6371" w:rsidP="004C6371">
            <w:pPr>
              <w:spacing w:line="252" w:lineRule="auto"/>
              <w:jc w:val="both"/>
              <w:rPr>
                <w:rFonts w:ascii="Verdana" w:eastAsia="Calibri" w:hAnsi="Verdana" w:cs="Arial"/>
                <w:b/>
                <w:bCs/>
                <w:sz w:val="10"/>
                <w:szCs w:val="10"/>
                <w:lang w:val="es-CO"/>
              </w:rPr>
            </w:pPr>
            <w:r w:rsidRPr="004C6371">
              <w:rPr>
                <w:rFonts w:ascii="Verdana" w:eastAsia="Calibri" w:hAnsi="Verdana" w:cs="Arial"/>
                <w:b/>
                <w:bCs/>
                <w:sz w:val="10"/>
                <w:szCs w:val="10"/>
                <w:lang w:val="es-CO"/>
              </w:rPr>
              <w:t>11</w:t>
            </w:r>
          </w:p>
        </w:tc>
        <w:tc>
          <w:tcPr>
            <w:tcW w:w="421"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6A50ABF"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FONPET-AF-2023/2021-R3</w:t>
            </w:r>
          </w:p>
        </w:tc>
        <w:tc>
          <w:tcPr>
            <w:tcW w:w="627"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49A01F9"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Sin avances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34A9D53"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 xml:space="preserve">Helmuth Voelkl Peñaloza </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0825A42"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17-ene-25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3CD7F67"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30-jun-2025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6D9D5BB2"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2021</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8D3AE3B"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INFORME DE AUDITORÍA FINANCIERA INDEPENDIENTE</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7BCFDCEE"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705B8BF2"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Hallazgo No. 3 Derechos por cobrar SGP – Asignación Especial</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314BBED"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 xml:space="preserve">Garantizar el cumplimiento normativo de acuerdo con la Resolución 428 del 12 de octubre de 2018, donde se crean las cuentas contables 936902 para el registro de los </w:t>
            </w:r>
            <w:r w:rsidRPr="004C6371">
              <w:rPr>
                <w:rFonts w:ascii="Verdana" w:eastAsia="Calibri" w:hAnsi="Verdana" w:cs="Arial"/>
                <w:sz w:val="10"/>
                <w:szCs w:val="10"/>
                <w:lang w:val="es-CO"/>
              </w:rPr>
              <w:lastRenderedPageBreak/>
              <w:t>"Aportes recaudados durante el año", y la 8307 "DERECHOS - FONPET" para el reconocimiento de los derechos por cobrar.</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D7A340F"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lastRenderedPageBreak/>
              <w:t>1. Actualizar el procedimiento existente, que se debe tener en cuenta para el registro contable con relación a los Derechos por cobrar SGP - Asignación Especial.</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642C0FCC"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Oficio</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966E89E"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w:t>
            </w:r>
          </w:p>
        </w:tc>
      </w:tr>
      <w:tr w:rsidR="004C6371" w:rsidRPr="00962582" w14:paraId="4A0ACADB" w14:textId="77777777" w:rsidTr="00EA165E">
        <w:trPr>
          <w:trHeight w:val="900"/>
        </w:trPr>
        <w:tc>
          <w:tcPr>
            <w:tcW w:w="419" w:type="dxa"/>
            <w:tcBorders>
              <w:top w:val="nil"/>
              <w:left w:val="single" w:sz="8" w:space="0" w:color="auto"/>
              <w:bottom w:val="single" w:sz="8" w:space="0" w:color="auto"/>
              <w:right w:val="single" w:sz="8" w:space="0" w:color="auto"/>
            </w:tcBorders>
            <w:shd w:val="clear" w:color="auto" w:fill="auto"/>
            <w:tcMar>
              <w:top w:w="0" w:type="dxa"/>
              <w:left w:w="70" w:type="dxa"/>
              <w:bottom w:w="0" w:type="dxa"/>
              <w:right w:w="70" w:type="dxa"/>
            </w:tcMar>
            <w:vAlign w:val="center"/>
            <w:hideMark/>
          </w:tcPr>
          <w:p w14:paraId="51FB5C90" w14:textId="77777777" w:rsidR="004C6371" w:rsidRPr="004C6371" w:rsidRDefault="004C6371" w:rsidP="004C6371">
            <w:pPr>
              <w:spacing w:line="252" w:lineRule="auto"/>
              <w:jc w:val="both"/>
              <w:rPr>
                <w:rFonts w:ascii="Verdana" w:eastAsia="Calibri" w:hAnsi="Verdana" w:cs="Arial"/>
                <w:b/>
                <w:bCs/>
                <w:sz w:val="10"/>
                <w:szCs w:val="10"/>
                <w:lang w:val="es-CO"/>
              </w:rPr>
            </w:pPr>
            <w:r w:rsidRPr="004C6371">
              <w:rPr>
                <w:rFonts w:ascii="Verdana" w:eastAsia="Calibri" w:hAnsi="Verdana" w:cs="Arial"/>
                <w:b/>
                <w:bCs/>
                <w:sz w:val="10"/>
                <w:szCs w:val="10"/>
                <w:lang w:val="es-CO"/>
              </w:rPr>
              <w:t>12</w:t>
            </w:r>
          </w:p>
        </w:tc>
        <w:tc>
          <w:tcPr>
            <w:tcW w:w="421"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31AD881"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FONPET-AF-2023/2021-R4</w:t>
            </w:r>
          </w:p>
        </w:tc>
        <w:tc>
          <w:tcPr>
            <w:tcW w:w="627"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27F09EB0"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Sin avances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50486E6"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 xml:space="preserve">Helmuth Voelkl Peñaloza </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29B811E7"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17-ene-25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593976C"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30-jun-2025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A24CF2B"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2021</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12C82A8"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INFORME DE AUDITORÍA FINANCIERA INDEPENDIENTE</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39D3F4C"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2921F67"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Hallazgo No. 4 Aportes Recaudados FONPET</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2ACB6F43"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Garantizar el cumplimiento normativo de acuerdo con la Resolución 428 del 12 de octubre de 2018, donde se crea la cuenta contable 936902 para el registro de los "Aportes recaudados durante el año".</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97823B2"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 Elaborar solicitud mediante un oficio a la Contaduría General de la Nación - CGN, solicitando concepto sobre el registro contable aportes recaudados durante el año</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70FE5301"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Oficio</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67C34A6B"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w:t>
            </w:r>
          </w:p>
        </w:tc>
      </w:tr>
      <w:tr w:rsidR="004C6371" w:rsidRPr="00962582" w14:paraId="024BDCD8" w14:textId="77777777" w:rsidTr="00EA165E">
        <w:trPr>
          <w:trHeight w:val="900"/>
        </w:trPr>
        <w:tc>
          <w:tcPr>
            <w:tcW w:w="419" w:type="dxa"/>
            <w:tcBorders>
              <w:top w:val="nil"/>
              <w:left w:val="single" w:sz="8" w:space="0" w:color="auto"/>
              <w:bottom w:val="single" w:sz="8" w:space="0" w:color="auto"/>
              <w:right w:val="single" w:sz="8" w:space="0" w:color="auto"/>
            </w:tcBorders>
            <w:shd w:val="clear" w:color="auto" w:fill="auto"/>
            <w:tcMar>
              <w:top w:w="0" w:type="dxa"/>
              <w:left w:w="70" w:type="dxa"/>
              <w:bottom w:w="0" w:type="dxa"/>
              <w:right w:w="70" w:type="dxa"/>
            </w:tcMar>
            <w:vAlign w:val="center"/>
            <w:hideMark/>
          </w:tcPr>
          <w:p w14:paraId="1B150130" w14:textId="77777777" w:rsidR="004C6371" w:rsidRPr="004C6371" w:rsidRDefault="004C6371" w:rsidP="004C6371">
            <w:pPr>
              <w:spacing w:line="252" w:lineRule="auto"/>
              <w:jc w:val="both"/>
              <w:rPr>
                <w:rFonts w:ascii="Verdana" w:eastAsia="Calibri" w:hAnsi="Verdana" w:cs="Arial"/>
                <w:b/>
                <w:bCs/>
                <w:sz w:val="10"/>
                <w:szCs w:val="10"/>
                <w:lang w:val="es-CO"/>
              </w:rPr>
            </w:pPr>
            <w:r w:rsidRPr="004C6371">
              <w:rPr>
                <w:rFonts w:ascii="Verdana" w:eastAsia="Calibri" w:hAnsi="Verdana" w:cs="Arial"/>
                <w:b/>
                <w:bCs/>
                <w:sz w:val="10"/>
                <w:szCs w:val="10"/>
                <w:lang w:val="es-CO"/>
              </w:rPr>
              <w:t>13</w:t>
            </w:r>
          </w:p>
        </w:tc>
        <w:tc>
          <w:tcPr>
            <w:tcW w:w="421"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FDB48CF"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FONPET-AF-2023/2021-R5</w:t>
            </w:r>
          </w:p>
        </w:tc>
        <w:tc>
          <w:tcPr>
            <w:tcW w:w="627"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6A84F3C8"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Sin avances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9891D8C"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 xml:space="preserve">Helmuth Voelkl Peñaloza </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6C3F27D3"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17-ene-25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DE7AAAF"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30-jun-2025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B8BDE1B"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2021</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FD4862D"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INFORME DE AUDITORÍA FINANCIERA INDEPENDIENTE</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272C5A6B"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6B958E30"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Hallazgo No. 5 Derechos por Cobrar a favor del FONPET</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637CC70A"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Garantizar el cumplimiento normativo de acuerdo con la Resolución 428 del 12 de octubre de 2018, donde se crea la cuenta contable 936902 para el registro de los "Aportes recaudados durante el año".</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4ECB15C"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2. Elaborar solicitud mediante un oficio a la Contaduría General de la Nación - CGN, solicitando concepto sobre el registro contable de los derechos por cobrar a favor del FONPET.</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75CF162"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Oficio</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53A52A12"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w:t>
            </w:r>
          </w:p>
        </w:tc>
      </w:tr>
      <w:tr w:rsidR="004C6371" w:rsidRPr="00962582" w14:paraId="066010E8" w14:textId="77777777" w:rsidTr="00EA165E">
        <w:trPr>
          <w:trHeight w:val="900"/>
        </w:trPr>
        <w:tc>
          <w:tcPr>
            <w:tcW w:w="419" w:type="dxa"/>
            <w:tcBorders>
              <w:top w:val="nil"/>
              <w:left w:val="single" w:sz="8" w:space="0" w:color="auto"/>
              <w:bottom w:val="single" w:sz="8" w:space="0" w:color="auto"/>
              <w:right w:val="single" w:sz="8" w:space="0" w:color="auto"/>
            </w:tcBorders>
            <w:shd w:val="clear" w:color="auto" w:fill="auto"/>
            <w:tcMar>
              <w:top w:w="0" w:type="dxa"/>
              <w:left w:w="70" w:type="dxa"/>
              <w:bottom w:w="0" w:type="dxa"/>
              <w:right w:w="70" w:type="dxa"/>
            </w:tcMar>
            <w:vAlign w:val="center"/>
            <w:hideMark/>
          </w:tcPr>
          <w:p w14:paraId="3363F7F4" w14:textId="77777777" w:rsidR="004C6371" w:rsidRPr="004C6371" w:rsidRDefault="004C6371" w:rsidP="004C6371">
            <w:pPr>
              <w:spacing w:line="252" w:lineRule="auto"/>
              <w:jc w:val="both"/>
              <w:rPr>
                <w:rFonts w:ascii="Verdana" w:eastAsia="Calibri" w:hAnsi="Verdana" w:cs="Arial"/>
                <w:b/>
                <w:bCs/>
                <w:sz w:val="10"/>
                <w:szCs w:val="10"/>
                <w:lang w:val="es-CO"/>
              </w:rPr>
            </w:pPr>
            <w:r w:rsidRPr="004C6371">
              <w:rPr>
                <w:rFonts w:ascii="Verdana" w:eastAsia="Calibri" w:hAnsi="Verdana" w:cs="Arial"/>
                <w:b/>
                <w:bCs/>
                <w:sz w:val="10"/>
                <w:szCs w:val="10"/>
                <w:lang w:val="es-CO"/>
              </w:rPr>
              <w:t>14</w:t>
            </w:r>
          </w:p>
        </w:tc>
        <w:tc>
          <w:tcPr>
            <w:tcW w:w="421"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D2C08F0"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FONPET-AF-2023/2021-R6</w:t>
            </w:r>
          </w:p>
        </w:tc>
        <w:tc>
          <w:tcPr>
            <w:tcW w:w="627" w:type="dxa"/>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D5F99A2"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Sin avances</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795A968"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 xml:space="preserve">Helmuth Voelkl Peñaloza </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6390AE2E"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17-ene-25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40770BC7"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30-jun-2025</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20BAECE"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2021</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053DE2B1"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INFORME DE AUDITORÍA FINANCIERA INDEPENDIENTE</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22E4936"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FONPET</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34BB7D33"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Hallazgo No. 7 Sistemas de Información - SOFIA -SIF (Control Interno)</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7BEEC8A"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 xml:space="preserve">Garantizar el optimo funcionamiento del aplicativo contable SOFIA, </w:t>
            </w:r>
            <w:proofErr w:type="gramStart"/>
            <w:r w:rsidRPr="004C6371">
              <w:rPr>
                <w:rFonts w:ascii="Verdana" w:eastAsia="Calibri" w:hAnsi="Verdana" w:cs="Arial"/>
                <w:sz w:val="10"/>
                <w:szCs w:val="10"/>
                <w:lang w:val="es-CO"/>
              </w:rPr>
              <w:t>de acuerdo a</w:t>
            </w:r>
            <w:proofErr w:type="gramEnd"/>
            <w:r w:rsidRPr="004C6371">
              <w:rPr>
                <w:rFonts w:ascii="Verdana" w:eastAsia="Calibri" w:hAnsi="Verdana" w:cs="Arial"/>
                <w:sz w:val="10"/>
                <w:szCs w:val="10"/>
                <w:lang w:val="es-CO"/>
              </w:rPr>
              <w:t xml:space="preserve"> los ajustes planteados en los diferentes requerimientos técnicos, solicitados por el Grupo de Gestión del FONPET.</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28529E6"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 xml:space="preserve">1. Realizar requerimiento y </w:t>
            </w:r>
            <w:proofErr w:type="gramStart"/>
            <w:r w:rsidRPr="004C6371">
              <w:rPr>
                <w:rFonts w:ascii="Verdana" w:eastAsia="Calibri" w:hAnsi="Verdana" w:cs="Arial"/>
                <w:sz w:val="10"/>
                <w:szCs w:val="10"/>
                <w:lang w:val="es-CO"/>
              </w:rPr>
              <w:t>seguimiento  al</w:t>
            </w:r>
            <w:proofErr w:type="gramEnd"/>
            <w:r w:rsidRPr="004C6371">
              <w:rPr>
                <w:rFonts w:ascii="Verdana" w:eastAsia="Calibri" w:hAnsi="Verdana" w:cs="Arial"/>
                <w:sz w:val="10"/>
                <w:szCs w:val="10"/>
                <w:lang w:val="es-CO"/>
              </w:rPr>
              <w:t xml:space="preserve"> proveedor tecnológico, para que se realicen los ajustes al informe de "balance de terceros" y al libro auxiliar.</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19A52623"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Requerimiento</w:t>
            </w:r>
          </w:p>
        </w:tc>
        <w:tc>
          <w:tcPr>
            <w:tcW w:w="0" w:type="auto"/>
            <w:tcBorders>
              <w:top w:val="nil"/>
              <w:left w:val="nil"/>
              <w:bottom w:val="single" w:sz="8" w:space="0" w:color="auto"/>
              <w:right w:val="single" w:sz="8" w:space="0" w:color="auto"/>
            </w:tcBorders>
            <w:shd w:val="clear" w:color="auto" w:fill="auto"/>
            <w:tcMar>
              <w:top w:w="0" w:type="dxa"/>
              <w:left w:w="70" w:type="dxa"/>
              <w:bottom w:w="0" w:type="dxa"/>
              <w:right w:w="70" w:type="dxa"/>
            </w:tcMar>
            <w:vAlign w:val="center"/>
            <w:hideMark/>
          </w:tcPr>
          <w:p w14:paraId="6FB4CE6D" w14:textId="77777777" w:rsidR="004C6371" w:rsidRPr="004C6371" w:rsidRDefault="004C6371" w:rsidP="004C6371">
            <w:pPr>
              <w:spacing w:line="252" w:lineRule="auto"/>
              <w:jc w:val="both"/>
              <w:rPr>
                <w:rFonts w:ascii="Verdana" w:eastAsia="Calibri" w:hAnsi="Verdana" w:cs="Arial"/>
                <w:sz w:val="10"/>
                <w:szCs w:val="10"/>
                <w:lang w:val="es-CO"/>
              </w:rPr>
            </w:pPr>
            <w:r w:rsidRPr="004C6371">
              <w:rPr>
                <w:rFonts w:ascii="Verdana" w:eastAsia="Calibri" w:hAnsi="Verdana" w:cs="Arial"/>
                <w:sz w:val="10"/>
                <w:szCs w:val="10"/>
                <w:lang w:val="es-CO"/>
              </w:rPr>
              <w:t>1</w:t>
            </w:r>
          </w:p>
        </w:tc>
      </w:tr>
    </w:tbl>
    <w:p w14:paraId="2E753793" w14:textId="5A208AE9" w:rsidR="004C6371" w:rsidRPr="004C6371" w:rsidRDefault="00EA165E" w:rsidP="004C6371">
      <w:pPr>
        <w:spacing w:line="252" w:lineRule="auto"/>
        <w:jc w:val="both"/>
        <w:rPr>
          <w:rFonts w:ascii="Verdana" w:eastAsia="Calibri" w:hAnsi="Verdana" w:cs="Arial"/>
          <w:sz w:val="16"/>
          <w:szCs w:val="16"/>
          <w:lang w:val="es-CO"/>
        </w:rPr>
      </w:pPr>
      <w:r w:rsidRPr="00EA165E">
        <w:rPr>
          <w:rFonts w:ascii="Verdana" w:eastAsia="Calibri" w:hAnsi="Verdana" w:cs="Arial"/>
          <w:sz w:val="16"/>
          <w:szCs w:val="16"/>
          <w:lang w:val="es-CO"/>
        </w:rPr>
        <w:t xml:space="preserve">Fuente: Elaboración Propia </w:t>
      </w:r>
      <w:r>
        <w:rPr>
          <w:rFonts w:ascii="Verdana" w:eastAsia="Calibri" w:hAnsi="Verdana" w:cs="Arial"/>
          <w:sz w:val="16"/>
          <w:szCs w:val="16"/>
          <w:lang w:val="es-CO"/>
        </w:rPr>
        <w:t>solo</w:t>
      </w:r>
      <w:r w:rsidRPr="00EA165E">
        <w:rPr>
          <w:rFonts w:ascii="Verdana" w:eastAsia="Calibri" w:hAnsi="Verdana" w:cs="Arial"/>
          <w:sz w:val="16"/>
          <w:szCs w:val="16"/>
          <w:lang w:val="es-CO"/>
        </w:rPr>
        <w:t xml:space="preserve"> sección Grupo Contable FONPET</w:t>
      </w:r>
    </w:p>
    <w:p w14:paraId="61E1CB15" w14:textId="77777777" w:rsidR="004C6371" w:rsidRPr="004C6371" w:rsidRDefault="004C6371" w:rsidP="004C6371">
      <w:pPr>
        <w:spacing w:line="252" w:lineRule="auto"/>
        <w:jc w:val="both"/>
        <w:rPr>
          <w:rFonts w:ascii="Verdana" w:eastAsia="Calibri" w:hAnsi="Verdana" w:cs="Arial"/>
          <w:sz w:val="21"/>
          <w:szCs w:val="21"/>
          <w:lang w:val="es-CO"/>
        </w:rPr>
      </w:pPr>
    </w:p>
    <w:p w14:paraId="3BEC0F0A" w14:textId="548CE262" w:rsidR="004C6371" w:rsidRDefault="004C6371" w:rsidP="00656221">
      <w:pPr>
        <w:spacing w:line="252" w:lineRule="auto"/>
        <w:jc w:val="both"/>
        <w:rPr>
          <w:rFonts w:ascii="Verdana" w:eastAsia="Calibri" w:hAnsi="Verdana" w:cs="Arial"/>
          <w:sz w:val="21"/>
          <w:szCs w:val="21"/>
          <w:lang w:val="es-CO"/>
        </w:rPr>
      </w:pPr>
    </w:p>
    <w:p w14:paraId="16CD7A6C" w14:textId="77777777" w:rsidR="004C6371" w:rsidRDefault="004C6371" w:rsidP="00656221">
      <w:pPr>
        <w:spacing w:line="252" w:lineRule="auto"/>
        <w:jc w:val="both"/>
        <w:rPr>
          <w:rFonts w:ascii="Verdana" w:eastAsia="Calibri" w:hAnsi="Verdana" w:cs="Arial"/>
          <w:sz w:val="21"/>
          <w:szCs w:val="21"/>
          <w:lang w:val="es-CO"/>
        </w:rPr>
      </w:pPr>
    </w:p>
    <w:p w14:paraId="60BB2337" w14:textId="77777777" w:rsidR="004C6371" w:rsidRDefault="004C6371" w:rsidP="00656221">
      <w:pPr>
        <w:spacing w:line="252" w:lineRule="auto"/>
        <w:jc w:val="both"/>
        <w:rPr>
          <w:rFonts w:ascii="Verdana" w:eastAsia="Calibri" w:hAnsi="Verdana" w:cs="Arial"/>
          <w:sz w:val="21"/>
          <w:szCs w:val="21"/>
          <w:lang w:val="es-CO"/>
        </w:rPr>
      </w:pPr>
    </w:p>
    <w:p w14:paraId="4F57F9AE" w14:textId="77777777" w:rsidR="004C6371" w:rsidRDefault="004C6371" w:rsidP="00656221">
      <w:pPr>
        <w:spacing w:line="252" w:lineRule="auto"/>
        <w:jc w:val="both"/>
        <w:rPr>
          <w:rFonts w:ascii="Verdana" w:eastAsia="Calibri" w:hAnsi="Verdana" w:cs="Arial"/>
          <w:sz w:val="21"/>
          <w:szCs w:val="21"/>
          <w:lang w:val="es-CO"/>
        </w:rPr>
      </w:pPr>
    </w:p>
    <w:p w14:paraId="466211B8" w14:textId="77777777" w:rsidR="004C6371" w:rsidRDefault="004C6371" w:rsidP="00656221">
      <w:pPr>
        <w:spacing w:line="252" w:lineRule="auto"/>
        <w:jc w:val="both"/>
        <w:rPr>
          <w:rFonts w:ascii="Verdana" w:eastAsia="Calibri" w:hAnsi="Verdana" w:cs="Arial"/>
          <w:sz w:val="21"/>
          <w:szCs w:val="21"/>
          <w:lang w:val="es-CO"/>
        </w:rPr>
      </w:pPr>
    </w:p>
    <w:p w14:paraId="541101B9" w14:textId="77777777" w:rsidR="004C6371" w:rsidRDefault="004C6371" w:rsidP="00656221">
      <w:pPr>
        <w:spacing w:line="252" w:lineRule="auto"/>
        <w:jc w:val="both"/>
        <w:rPr>
          <w:rFonts w:ascii="Verdana" w:eastAsia="Calibri" w:hAnsi="Verdana" w:cs="Arial"/>
          <w:sz w:val="21"/>
          <w:szCs w:val="21"/>
          <w:lang w:val="es-CO"/>
        </w:rPr>
      </w:pPr>
    </w:p>
    <w:p w14:paraId="505DE3DF" w14:textId="77777777" w:rsidR="004C6371" w:rsidRDefault="004C6371" w:rsidP="00656221">
      <w:pPr>
        <w:spacing w:line="252" w:lineRule="auto"/>
        <w:jc w:val="both"/>
        <w:rPr>
          <w:rFonts w:ascii="Verdana" w:eastAsia="Calibri" w:hAnsi="Verdana" w:cs="Arial"/>
          <w:sz w:val="21"/>
          <w:szCs w:val="21"/>
          <w:lang w:val="es-CO"/>
        </w:rPr>
      </w:pPr>
    </w:p>
    <w:p w14:paraId="5500DA2A" w14:textId="2D7DEC5D" w:rsidR="007A07A0" w:rsidRDefault="007A07A0" w:rsidP="00EA165E">
      <w:pPr>
        <w:autoSpaceDE w:val="0"/>
        <w:autoSpaceDN w:val="0"/>
        <w:adjustRightInd w:val="0"/>
        <w:spacing w:line="252" w:lineRule="auto"/>
        <w:jc w:val="both"/>
        <w:rPr>
          <w:rFonts w:ascii="Verdana" w:hAnsi="Verdana" w:cs="Arial"/>
          <w:sz w:val="21"/>
          <w:szCs w:val="21"/>
          <w:lang w:val="es-CO"/>
        </w:rPr>
      </w:pPr>
      <w:bookmarkStart w:id="3" w:name="_Hlk71884171"/>
    </w:p>
    <w:p w14:paraId="4C73B383" w14:textId="77777777" w:rsidR="007A07A0" w:rsidRPr="001E650B" w:rsidRDefault="007A07A0" w:rsidP="00EA165E">
      <w:pPr>
        <w:autoSpaceDE w:val="0"/>
        <w:autoSpaceDN w:val="0"/>
        <w:adjustRightInd w:val="0"/>
        <w:spacing w:line="252" w:lineRule="auto"/>
        <w:jc w:val="both"/>
        <w:rPr>
          <w:rFonts w:ascii="Verdana" w:hAnsi="Verdana" w:cs="Arial"/>
          <w:sz w:val="21"/>
          <w:szCs w:val="21"/>
        </w:rPr>
      </w:pPr>
    </w:p>
    <w:p w14:paraId="56C4EFCD" w14:textId="4BBF7CDF" w:rsidR="00DB5643" w:rsidRPr="001E650B" w:rsidRDefault="00DB5643" w:rsidP="00EA165E">
      <w:pPr>
        <w:autoSpaceDE w:val="0"/>
        <w:autoSpaceDN w:val="0"/>
        <w:spacing w:line="252" w:lineRule="auto"/>
        <w:jc w:val="both"/>
        <w:rPr>
          <w:rFonts w:ascii="Verdana" w:hAnsi="Verdana" w:cs="Arial"/>
          <w:b/>
          <w:bCs/>
          <w:sz w:val="21"/>
          <w:szCs w:val="21"/>
          <w:u w:val="single"/>
        </w:rPr>
      </w:pPr>
      <w:r w:rsidRPr="001E650B">
        <w:rPr>
          <w:rFonts w:ascii="Verdana" w:hAnsi="Verdana" w:cs="Arial"/>
          <w:b/>
          <w:bCs/>
          <w:sz w:val="21"/>
          <w:szCs w:val="21"/>
          <w:u w:val="single"/>
        </w:rPr>
        <w:t>Anexos</w:t>
      </w:r>
      <w:r w:rsidR="00CE4A08" w:rsidRPr="001E650B">
        <w:rPr>
          <w:rFonts w:ascii="Verdana" w:hAnsi="Verdana" w:cs="Arial"/>
          <w:b/>
          <w:bCs/>
          <w:sz w:val="21"/>
          <w:szCs w:val="21"/>
          <w:u w:val="single"/>
        </w:rPr>
        <w:t xml:space="preserve"> informe contable MHCP – </w:t>
      </w:r>
      <w:bookmarkEnd w:id="3"/>
      <w:r w:rsidR="00EA165E">
        <w:rPr>
          <w:rFonts w:ascii="Verdana" w:hAnsi="Verdana" w:cs="Arial"/>
          <w:b/>
          <w:bCs/>
          <w:sz w:val="21"/>
          <w:szCs w:val="21"/>
          <w:u w:val="single"/>
        </w:rPr>
        <w:t>FONPET</w:t>
      </w:r>
      <w:r w:rsidRPr="001E650B">
        <w:rPr>
          <w:rFonts w:ascii="Verdana" w:hAnsi="Verdana" w:cs="Arial"/>
          <w:b/>
          <w:bCs/>
          <w:sz w:val="21"/>
          <w:szCs w:val="21"/>
          <w:u w:val="single"/>
        </w:rPr>
        <w:t xml:space="preserve"> </w:t>
      </w:r>
    </w:p>
    <w:p w14:paraId="66C97704" w14:textId="77777777" w:rsidR="00912B21" w:rsidRPr="001E650B" w:rsidRDefault="00912B21" w:rsidP="00EA165E">
      <w:pPr>
        <w:autoSpaceDE w:val="0"/>
        <w:autoSpaceDN w:val="0"/>
        <w:spacing w:line="252" w:lineRule="auto"/>
        <w:jc w:val="both"/>
        <w:rPr>
          <w:rFonts w:ascii="Verdana" w:hAnsi="Verdana" w:cs="Arial"/>
          <w:b/>
          <w:bCs/>
          <w:sz w:val="21"/>
          <w:szCs w:val="21"/>
          <w:u w:val="single"/>
        </w:rPr>
      </w:pPr>
    </w:p>
    <w:p w14:paraId="51120F5C" w14:textId="57221105" w:rsidR="006B25F2" w:rsidRDefault="003F0147" w:rsidP="003D1BBC">
      <w:pPr>
        <w:autoSpaceDE w:val="0"/>
        <w:autoSpaceDN w:val="0"/>
        <w:spacing w:line="252" w:lineRule="auto"/>
        <w:jc w:val="both"/>
        <w:rPr>
          <w:rFonts w:ascii="Verdana" w:hAnsi="Verdana" w:cs="Arial"/>
          <w:sz w:val="21"/>
          <w:szCs w:val="21"/>
        </w:rPr>
      </w:pPr>
      <w:r w:rsidRPr="001E650B">
        <w:rPr>
          <w:rFonts w:ascii="Verdana" w:hAnsi="Verdana" w:cs="Arial"/>
          <w:sz w:val="21"/>
          <w:szCs w:val="21"/>
        </w:rPr>
        <w:t xml:space="preserve">De otra parte, y en virtud de lo señalado por la Contaduría General de la Nación, </w:t>
      </w:r>
      <w:r w:rsidR="00A61928" w:rsidRPr="001E650B">
        <w:rPr>
          <w:rFonts w:ascii="Verdana" w:hAnsi="Verdana" w:cs="Arial"/>
          <w:sz w:val="21"/>
          <w:szCs w:val="21"/>
        </w:rPr>
        <w:t xml:space="preserve">en la carpeta denominada </w:t>
      </w:r>
      <w:r w:rsidR="007F769E" w:rsidRPr="001E650B">
        <w:rPr>
          <w:rFonts w:ascii="Verdana" w:hAnsi="Verdana" w:cs="Arial"/>
          <w:b/>
          <w:bCs/>
          <w:i/>
          <w:iCs/>
          <w:sz w:val="21"/>
          <w:szCs w:val="21"/>
        </w:rPr>
        <w:t xml:space="preserve">Anexos </w:t>
      </w:r>
      <w:r w:rsidRPr="001E650B">
        <w:rPr>
          <w:rFonts w:ascii="Verdana" w:hAnsi="Verdana" w:cs="Arial"/>
          <w:sz w:val="21"/>
          <w:szCs w:val="21"/>
        </w:rPr>
        <w:t>se adjuntan los siguientes documentos como parte integral del presente informe</w:t>
      </w:r>
      <w:r w:rsidR="00455E64" w:rsidRPr="001E650B">
        <w:rPr>
          <w:rFonts w:ascii="Verdana" w:hAnsi="Verdana" w:cs="Arial"/>
          <w:sz w:val="21"/>
          <w:szCs w:val="21"/>
        </w:rPr>
        <w:t xml:space="preserve"> contable</w:t>
      </w:r>
      <w:r w:rsidR="00A221CF" w:rsidRPr="001E650B">
        <w:rPr>
          <w:rFonts w:ascii="Verdana" w:hAnsi="Verdana" w:cs="Arial"/>
          <w:sz w:val="21"/>
          <w:szCs w:val="21"/>
        </w:rPr>
        <w:t xml:space="preserve"> </w:t>
      </w:r>
      <w:r w:rsidR="009F3541">
        <w:rPr>
          <w:rFonts w:ascii="Verdana" w:hAnsi="Verdana" w:cs="Arial"/>
          <w:sz w:val="21"/>
          <w:szCs w:val="21"/>
        </w:rPr>
        <w:t>del FONPET</w:t>
      </w:r>
      <w:r w:rsidR="003D1BBC">
        <w:rPr>
          <w:rFonts w:ascii="Verdana" w:hAnsi="Verdana" w:cs="Arial"/>
          <w:sz w:val="21"/>
          <w:szCs w:val="21"/>
        </w:rPr>
        <w:t xml:space="preserve"> </w:t>
      </w:r>
      <w:r w:rsidR="00A221CF" w:rsidRPr="001E650B">
        <w:rPr>
          <w:rFonts w:ascii="Verdana" w:hAnsi="Verdana" w:cs="Arial"/>
          <w:sz w:val="21"/>
          <w:szCs w:val="21"/>
        </w:rPr>
        <w:t>por cambio de representante legal</w:t>
      </w:r>
      <w:r w:rsidR="007F769E" w:rsidRPr="001E650B">
        <w:rPr>
          <w:rFonts w:ascii="Verdana" w:hAnsi="Verdana" w:cs="Arial"/>
          <w:sz w:val="21"/>
          <w:szCs w:val="21"/>
        </w:rPr>
        <w:t>:</w:t>
      </w:r>
    </w:p>
    <w:p w14:paraId="5CF5E95E" w14:textId="77777777" w:rsidR="006B25F2" w:rsidRPr="001E650B" w:rsidRDefault="006B25F2" w:rsidP="006B25F2">
      <w:pPr>
        <w:autoSpaceDE w:val="0"/>
        <w:autoSpaceDN w:val="0"/>
        <w:spacing w:line="252" w:lineRule="auto"/>
        <w:rPr>
          <w:rFonts w:ascii="Verdana" w:hAnsi="Verdana" w:cs="Arial"/>
          <w:sz w:val="21"/>
          <w:szCs w:val="21"/>
        </w:rPr>
      </w:pPr>
    </w:p>
    <w:p w14:paraId="3CE42433" w14:textId="77777777" w:rsidR="006B25F2" w:rsidRPr="00492C6C" w:rsidRDefault="006B25F2" w:rsidP="006B25F2">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492C6C">
        <w:rPr>
          <w:rFonts w:ascii="Verdana" w:eastAsia="Calibri" w:hAnsi="Verdana" w:cs="Arial"/>
          <w:b/>
          <w:bCs/>
          <w:sz w:val="21"/>
          <w:szCs w:val="21"/>
          <w:lang w:val="es-CO"/>
        </w:rPr>
        <w:t xml:space="preserve">El juego completo de estados financieros elaborados con corte a 31 de diciembre del año inmediatamente anterior a la fecha del cambio de representante legal, conforme al marco normativo aplicable. </w:t>
      </w:r>
    </w:p>
    <w:p w14:paraId="174D81F6" w14:textId="77777777" w:rsidR="006B25F2" w:rsidRPr="001E650B" w:rsidRDefault="006B25F2" w:rsidP="006B25F2">
      <w:pPr>
        <w:pStyle w:val="Prrafodelista"/>
        <w:autoSpaceDE w:val="0"/>
        <w:autoSpaceDN w:val="0"/>
        <w:adjustRightInd w:val="0"/>
        <w:spacing w:line="252" w:lineRule="auto"/>
        <w:ind w:left="284"/>
        <w:jc w:val="both"/>
        <w:rPr>
          <w:rFonts w:ascii="Verdana" w:eastAsia="Calibri" w:hAnsi="Verdana" w:cs="Arial"/>
          <w:b/>
          <w:bCs/>
          <w:sz w:val="21"/>
          <w:szCs w:val="21"/>
          <w:lang w:val="es-CO"/>
        </w:rPr>
      </w:pPr>
    </w:p>
    <w:p w14:paraId="61521B26" w14:textId="66B1B16B" w:rsidR="003D1BBC" w:rsidRPr="003D1BBC" w:rsidRDefault="006B25F2" w:rsidP="003D1BBC">
      <w:pPr>
        <w:pStyle w:val="Prrafodelista"/>
        <w:autoSpaceDE w:val="0"/>
        <w:autoSpaceDN w:val="0"/>
        <w:adjustRightInd w:val="0"/>
        <w:spacing w:line="252" w:lineRule="auto"/>
        <w:ind w:left="284"/>
        <w:jc w:val="both"/>
        <w:rPr>
          <w:rFonts w:ascii="Verdana" w:eastAsia="Calibri" w:hAnsi="Verdana" w:cs="Arial"/>
          <w:sz w:val="21"/>
          <w:szCs w:val="21"/>
          <w:lang w:val="es-CO"/>
        </w:rPr>
      </w:pPr>
      <w:r w:rsidRPr="001E650B">
        <w:rPr>
          <w:rFonts w:ascii="Verdana" w:eastAsia="Calibri" w:hAnsi="Verdana" w:cs="Arial"/>
          <w:sz w:val="21"/>
          <w:szCs w:val="21"/>
          <w:lang w:val="es-CO"/>
        </w:rPr>
        <w:t xml:space="preserve">Teniendo en cuenta que el cambio de representante legal se produce en </w:t>
      </w:r>
      <w:r>
        <w:rPr>
          <w:rFonts w:ascii="Verdana" w:eastAsia="Calibri" w:hAnsi="Verdana" w:cs="Arial"/>
          <w:sz w:val="21"/>
          <w:szCs w:val="21"/>
          <w:lang w:val="es-CO"/>
        </w:rPr>
        <w:t>marzo de 2025</w:t>
      </w:r>
      <w:r w:rsidRPr="001E650B">
        <w:rPr>
          <w:rFonts w:ascii="Verdana" w:eastAsia="Calibri" w:hAnsi="Verdana" w:cs="Arial"/>
          <w:sz w:val="21"/>
          <w:szCs w:val="21"/>
          <w:lang w:val="es-CO"/>
        </w:rPr>
        <w:t xml:space="preserve">, en documento adjunto denominado </w:t>
      </w:r>
      <w:r w:rsidR="003D1BBC" w:rsidRPr="003D1BBC">
        <w:rPr>
          <w:rFonts w:ascii="Verdana" w:eastAsia="Calibri" w:hAnsi="Verdana" w:cs="Arial"/>
          <w:b/>
          <w:bCs/>
          <w:i/>
          <w:iCs/>
          <w:sz w:val="21"/>
          <w:szCs w:val="21"/>
          <w:lang w:val="es-CO"/>
        </w:rPr>
        <w:t>Anexo 1. Notas ESF diciembre_2024</w:t>
      </w:r>
      <w:r w:rsidRPr="001E650B">
        <w:rPr>
          <w:rFonts w:ascii="Verdana" w:eastAsia="Calibri" w:hAnsi="Verdana" w:cs="Arial"/>
          <w:b/>
          <w:bCs/>
          <w:i/>
          <w:iCs/>
          <w:sz w:val="21"/>
          <w:szCs w:val="21"/>
          <w:lang w:val="es-CO"/>
        </w:rPr>
        <w:t>,</w:t>
      </w:r>
      <w:r w:rsidRPr="001E650B">
        <w:rPr>
          <w:rFonts w:ascii="Verdana" w:eastAsia="Calibri" w:hAnsi="Verdana" w:cs="Arial"/>
          <w:sz w:val="21"/>
          <w:szCs w:val="21"/>
          <w:lang w:val="es-CO"/>
        </w:rPr>
        <w:t xml:space="preserve"> se remite el juego completo de </w:t>
      </w:r>
      <w:r w:rsidR="003D1BBC">
        <w:rPr>
          <w:rFonts w:ascii="Verdana" w:eastAsia="Calibri" w:hAnsi="Verdana" w:cs="Arial"/>
          <w:sz w:val="21"/>
          <w:szCs w:val="21"/>
          <w:lang w:val="es-CO"/>
        </w:rPr>
        <w:t xml:space="preserve">Notas a la Situación Financiera del FONPET </w:t>
      </w:r>
      <w:proofErr w:type="gramStart"/>
      <w:r w:rsidR="003D1BBC">
        <w:rPr>
          <w:rFonts w:ascii="Verdana" w:eastAsia="Calibri" w:hAnsi="Verdana" w:cs="Arial"/>
          <w:sz w:val="21"/>
          <w:szCs w:val="21"/>
          <w:lang w:val="es-CO"/>
        </w:rPr>
        <w:t xml:space="preserve">con </w:t>
      </w:r>
      <w:r w:rsidRPr="001E650B">
        <w:rPr>
          <w:rFonts w:ascii="Verdana" w:eastAsia="Calibri" w:hAnsi="Verdana" w:cs="Arial"/>
          <w:sz w:val="21"/>
          <w:szCs w:val="21"/>
          <w:lang w:val="es-CO"/>
        </w:rPr>
        <w:t xml:space="preserve"> corte</w:t>
      </w:r>
      <w:proofErr w:type="gramEnd"/>
      <w:r w:rsidRPr="001E650B">
        <w:rPr>
          <w:rFonts w:ascii="Verdana" w:eastAsia="Calibri" w:hAnsi="Verdana" w:cs="Arial"/>
          <w:sz w:val="21"/>
          <w:szCs w:val="21"/>
          <w:lang w:val="es-CO"/>
        </w:rPr>
        <w:t xml:space="preserve"> a 31 de diciembre de 202</w:t>
      </w:r>
      <w:r>
        <w:rPr>
          <w:rFonts w:ascii="Verdana" w:eastAsia="Calibri" w:hAnsi="Verdana" w:cs="Arial"/>
          <w:sz w:val="21"/>
          <w:szCs w:val="21"/>
          <w:lang w:val="es-CO"/>
        </w:rPr>
        <w:t>4</w:t>
      </w:r>
      <w:r w:rsidRPr="001E650B">
        <w:rPr>
          <w:rFonts w:ascii="Verdana" w:eastAsia="Calibri" w:hAnsi="Verdana" w:cs="Arial"/>
          <w:sz w:val="21"/>
          <w:szCs w:val="21"/>
          <w:lang w:val="es-CO"/>
        </w:rPr>
        <w:t>, elaborado de conformidad con lo establecido en el Marco Normativo Contable aplicable a</w:t>
      </w:r>
      <w:r w:rsidR="003D1BBC">
        <w:rPr>
          <w:rFonts w:ascii="Verdana" w:eastAsia="Calibri" w:hAnsi="Verdana" w:cs="Arial"/>
          <w:sz w:val="21"/>
          <w:szCs w:val="21"/>
          <w:lang w:val="es-CO"/>
        </w:rPr>
        <w:t xml:space="preserve">l FONPET en el </w:t>
      </w:r>
      <w:r w:rsidRPr="001E650B">
        <w:rPr>
          <w:rFonts w:ascii="Verdana" w:eastAsia="Calibri" w:hAnsi="Verdana" w:cs="Arial"/>
          <w:sz w:val="21"/>
          <w:szCs w:val="21"/>
          <w:lang w:val="es-CO"/>
        </w:rPr>
        <w:t>web del Ministerio</w:t>
      </w:r>
      <w:r>
        <w:rPr>
          <w:rFonts w:ascii="Verdana" w:eastAsia="Calibri" w:hAnsi="Verdana" w:cs="Arial"/>
          <w:sz w:val="21"/>
          <w:szCs w:val="21"/>
          <w:lang w:val="es-CO"/>
        </w:rPr>
        <w:t xml:space="preserve"> de Hacienda y Crédito Público: </w:t>
      </w:r>
      <w:hyperlink r:id="rId16" w:history="1">
        <w:r w:rsidR="003D1BBC" w:rsidRPr="00321426">
          <w:rPr>
            <w:rStyle w:val="Hipervnculo"/>
            <w:rFonts w:ascii="Verdana" w:eastAsia="Calibri" w:hAnsi="Verdana" w:cs="Arial"/>
            <w:sz w:val="21"/>
            <w:szCs w:val="21"/>
            <w:lang w:val="es-CO"/>
          </w:rPr>
          <w:t>https://www.minhacienda.gov.co/seguridad-social-dress/fonpet</w:t>
        </w:r>
      </w:hyperlink>
    </w:p>
    <w:p w14:paraId="25E85926" w14:textId="5E452B76" w:rsidR="003D1BBC" w:rsidRPr="003D1BBC" w:rsidRDefault="003D1BBC" w:rsidP="003D1BBC">
      <w:pPr>
        <w:pStyle w:val="Prrafodelista"/>
        <w:autoSpaceDE w:val="0"/>
        <w:autoSpaceDN w:val="0"/>
        <w:adjustRightInd w:val="0"/>
        <w:spacing w:line="252" w:lineRule="auto"/>
        <w:ind w:left="284"/>
        <w:jc w:val="both"/>
        <w:rPr>
          <w:rFonts w:ascii="Verdana" w:eastAsia="Calibri" w:hAnsi="Verdana" w:cs="Arial"/>
          <w:sz w:val="21"/>
          <w:szCs w:val="21"/>
          <w:lang w:val="es-CO"/>
        </w:rPr>
      </w:pPr>
      <w:r w:rsidRPr="003D1BBC">
        <w:rPr>
          <w:rFonts w:ascii="Verdana" w:eastAsia="Calibri" w:hAnsi="Verdana" w:cs="Arial"/>
          <w:sz w:val="21"/>
          <w:szCs w:val="21"/>
          <w:lang w:val="es-CO"/>
        </w:rPr>
        <w:t xml:space="preserve">enviado el viernes, </w:t>
      </w:r>
      <w:r>
        <w:rPr>
          <w:rFonts w:ascii="Verdana" w:eastAsia="Calibri" w:hAnsi="Verdana" w:cs="Arial"/>
          <w:sz w:val="21"/>
          <w:szCs w:val="21"/>
          <w:lang w:val="es-CO"/>
        </w:rPr>
        <w:t>28 de febrero del</w:t>
      </w:r>
      <w:r w:rsidRPr="003D1BBC">
        <w:rPr>
          <w:rFonts w:ascii="Verdana" w:eastAsia="Calibri" w:hAnsi="Verdana" w:cs="Arial"/>
          <w:sz w:val="21"/>
          <w:szCs w:val="21"/>
          <w:lang w:val="es-CO"/>
        </w:rPr>
        <w:t xml:space="preserve"> 2025 </w:t>
      </w:r>
    </w:p>
    <w:p w14:paraId="5DB0C033" w14:textId="77777777" w:rsidR="003D1BBC" w:rsidRPr="003D1BBC" w:rsidRDefault="003D1BBC" w:rsidP="003D1BBC">
      <w:pPr>
        <w:pStyle w:val="Prrafodelista"/>
        <w:autoSpaceDE w:val="0"/>
        <w:autoSpaceDN w:val="0"/>
        <w:adjustRightInd w:val="0"/>
        <w:spacing w:line="252" w:lineRule="auto"/>
        <w:ind w:left="284"/>
        <w:jc w:val="both"/>
        <w:rPr>
          <w:rFonts w:ascii="Verdana" w:eastAsia="Calibri" w:hAnsi="Verdana" w:cs="Arial"/>
          <w:sz w:val="21"/>
          <w:szCs w:val="21"/>
          <w:lang w:val="es-CO"/>
        </w:rPr>
      </w:pPr>
      <w:r w:rsidRPr="003D1BBC">
        <w:rPr>
          <w:rFonts w:ascii="Verdana" w:eastAsia="Calibri" w:hAnsi="Verdana" w:cs="Arial"/>
          <w:sz w:val="21"/>
          <w:szCs w:val="21"/>
          <w:lang w:val="es-CO"/>
        </w:rPr>
        <w:t> </w:t>
      </w:r>
    </w:p>
    <w:p w14:paraId="137F6E25" w14:textId="60CA439C" w:rsidR="006B25F2" w:rsidRPr="001E650B" w:rsidRDefault="006B25F2" w:rsidP="006B25F2">
      <w:pPr>
        <w:pStyle w:val="Prrafodelista"/>
        <w:autoSpaceDE w:val="0"/>
        <w:autoSpaceDN w:val="0"/>
        <w:adjustRightInd w:val="0"/>
        <w:spacing w:line="252" w:lineRule="auto"/>
        <w:ind w:left="284"/>
        <w:jc w:val="both"/>
        <w:rPr>
          <w:rFonts w:ascii="Verdana" w:hAnsi="Verdana"/>
          <w:sz w:val="21"/>
          <w:szCs w:val="21"/>
        </w:rPr>
      </w:pPr>
    </w:p>
    <w:p w14:paraId="1AB148A0" w14:textId="77777777" w:rsidR="006B25F2" w:rsidRPr="00816B47" w:rsidRDefault="006B25F2" w:rsidP="006B25F2">
      <w:pPr>
        <w:pStyle w:val="Prrafodelista"/>
        <w:autoSpaceDE w:val="0"/>
        <w:autoSpaceDN w:val="0"/>
        <w:adjustRightInd w:val="0"/>
        <w:spacing w:line="252" w:lineRule="auto"/>
        <w:ind w:left="284" w:hanging="284"/>
        <w:jc w:val="both"/>
        <w:rPr>
          <w:rFonts w:ascii="Verdana" w:eastAsia="Calibri" w:hAnsi="Verdana" w:cs="Arial"/>
          <w:sz w:val="21"/>
          <w:szCs w:val="21"/>
          <w:lang w:val="es-CO"/>
        </w:rPr>
      </w:pPr>
    </w:p>
    <w:p w14:paraId="1E3BEB08" w14:textId="77777777" w:rsidR="006B25F2" w:rsidRPr="00816B47" w:rsidRDefault="006B25F2" w:rsidP="006B25F2">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816B47">
        <w:rPr>
          <w:rFonts w:ascii="Verdana" w:eastAsia="Calibri" w:hAnsi="Verdana" w:cs="Arial"/>
          <w:b/>
          <w:bCs/>
          <w:sz w:val="21"/>
          <w:szCs w:val="21"/>
          <w:lang w:val="es-CO"/>
        </w:rPr>
        <w:t>El dictamen del revisor fiscal, cuando haya lugar, sobre los estados financieros de la entidad con corte a 31 de diciembre del año inmediatamente anterior a la fecha del cambio de representante legal.</w:t>
      </w:r>
    </w:p>
    <w:p w14:paraId="7BB461A0" w14:textId="77777777" w:rsidR="006B25F2" w:rsidRPr="00FC0182" w:rsidRDefault="006B25F2" w:rsidP="006B25F2">
      <w:pPr>
        <w:autoSpaceDE w:val="0"/>
        <w:autoSpaceDN w:val="0"/>
        <w:adjustRightInd w:val="0"/>
        <w:spacing w:line="252" w:lineRule="auto"/>
        <w:rPr>
          <w:rFonts w:ascii="Verdana" w:eastAsia="Calibri" w:hAnsi="Verdana" w:cs="Arial"/>
          <w:sz w:val="21"/>
          <w:szCs w:val="21"/>
          <w:lang w:val="es-CO"/>
        </w:rPr>
      </w:pPr>
    </w:p>
    <w:p w14:paraId="52124184" w14:textId="4B5DDA64" w:rsidR="006B25F2" w:rsidRPr="00FC0182" w:rsidRDefault="003D1BBC" w:rsidP="006B25F2">
      <w:pPr>
        <w:autoSpaceDE w:val="0"/>
        <w:autoSpaceDN w:val="0"/>
        <w:adjustRightInd w:val="0"/>
        <w:spacing w:line="252" w:lineRule="auto"/>
        <w:ind w:left="284"/>
        <w:jc w:val="both"/>
        <w:rPr>
          <w:rFonts w:ascii="Verdana" w:eastAsia="Times New Roman" w:hAnsi="Verdana" w:cs="Arial"/>
          <w:color w:val="000000"/>
          <w:sz w:val="21"/>
          <w:szCs w:val="21"/>
          <w:lang w:val="es-CO" w:eastAsia="es-CO"/>
        </w:rPr>
      </w:pPr>
      <w:r>
        <w:rPr>
          <w:rFonts w:ascii="Verdana" w:eastAsia="Times New Roman" w:hAnsi="Verdana" w:cs="Arial"/>
          <w:color w:val="000000"/>
          <w:sz w:val="21"/>
          <w:szCs w:val="21"/>
          <w:lang w:val="es-CO" w:eastAsia="es-CO"/>
        </w:rPr>
        <w:t>El FONPET no tiene obligación Revisor Fiscal.</w:t>
      </w:r>
    </w:p>
    <w:p w14:paraId="216851AD" w14:textId="77777777" w:rsidR="006B25F2" w:rsidRPr="00FC0182" w:rsidRDefault="006B25F2" w:rsidP="006B25F2">
      <w:pPr>
        <w:pStyle w:val="Prrafodelista"/>
        <w:spacing w:line="252" w:lineRule="auto"/>
        <w:rPr>
          <w:rFonts w:ascii="Verdana" w:eastAsia="Calibri" w:hAnsi="Verdana" w:cs="Arial"/>
          <w:sz w:val="21"/>
          <w:szCs w:val="21"/>
          <w:lang w:val="es-CO"/>
        </w:rPr>
      </w:pPr>
    </w:p>
    <w:p w14:paraId="3A1222D4" w14:textId="77777777" w:rsidR="006B25F2" w:rsidRPr="00C62F27" w:rsidRDefault="006B25F2" w:rsidP="006B25F2">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C62F27">
        <w:rPr>
          <w:rFonts w:ascii="Verdana" w:eastAsia="Calibri" w:hAnsi="Verdana" w:cs="Arial"/>
          <w:b/>
          <w:bCs/>
          <w:sz w:val="21"/>
          <w:szCs w:val="21"/>
          <w:lang w:val="es-CO"/>
        </w:rPr>
        <w:t>El informe de control interno contable, realizado con corte a 31 de diciembre del año inmediatamente anterior a la fecha del cambio de representante legal.</w:t>
      </w:r>
    </w:p>
    <w:p w14:paraId="64CEF5B5" w14:textId="77777777" w:rsidR="006B25F2" w:rsidRPr="00FC0182" w:rsidRDefault="006B25F2" w:rsidP="006B25F2">
      <w:pPr>
        <w:pStyle w:val="Prrafodelista"/>
        <w:autoSpaceDE w:val="0"/>
        <w:autoSpaceDN w:val="0"/>
        <w:adjustRightInd w:val="0"/>
        <w:spacing w:line="252" w:lineRule="auto"/>
        <w:jc w:val="both"/>
        <w:rPr>
          <w:rFonts w:ascii="Verdana" w:eastAsia="Calibri" w:hAnsi="Verdana" w:cs="Arial"/>
          <w:b/>
          <w:bCs/>
          <w:sz w:val="21"/>
          <w:szCs w:val="21"/>
          <w:lang w:val="es-CO"/>
        </w:rPr>
      </w:pPr>
    </w:p>
    <w:p w14:paraId="72B500A9" w14:textId="7C223769" w:rsidR="006B25F2" w:rsidRPr="00FC0182" w:rsidRDefault="003755DF" w:rsidP="006B25F2">
      <w:pPr>
        <w:autoSpaceDE w:val="0"/>
        <w:autoSpaceDN w:val="0"/>
        <w:adjustRightInd w:val="0"/>
        <w:spacing w:line="252" w:lineRule="auto"/>
        <w:ind w:left="284"/>
        <w:jc w:val="both"/>
        <w:rPr>
          <w:rFonts w:ascii="Verdana" w:eastAsia="Calibri" w:hAnsi="Verdana" w:cs="Arial"/>
          <w:sz w:val="21"/>
          <w:szCs w:val="21"/>
          <w:lang w:val="es-CO"/>
        </w:rPr>
      </w:pPr>
      <w:r>
        <w:rPr>
          <w:rFonts w:ascii="Verdana" w:eastAsia="Calibri" w:hAnsi="Verdana" w:cs="Arial"/>
          <w:sz w:val="21"/>
          <w:szCs w:val="21"/>
          <w:lang w:val="es-CO"/>
        </w:rPr>
        <w:t>Para el caso del FONPET no aplica.</w:t>
      </w:r>
    </w:p>
    <w:p w14:paraId="24E7406B" w14:textId="77777777" w:rsidR="006B25F2" w:rsidRPr="00FC0182" w:rsidRDefault="006B25F2" w:rsidP="006B25F2">
      <w:pPr>
        <w:autoSpaceDE w:val="0"/>
        <w:autoSpaceDN w:val="0"/>
        <w:adjustRightInd w:val="0"/>
        <w:spacing w:line="252" w:lineRule="auto"/>
        <w:ind w:left="284" w:hanging="284"/>
        <w:jc w:val="both"/>
        <w:rPr>
          <w:rFonts w:ascii="Verdana" w:eastAsia="Calibri" w:hAnsi="Verdana" w:cs="Arial"/>
          <w:sz w:val="21"/>
          <w:szCs w:val="21"/>
          <w:lang w:val="es-CO"/>
        </w:rPr>
      </w:pPr>
    </w:p>
    <w:p w14:paraId="569F076F" w14:textId="77777777" w:rsidR="006B25F2" w:rsidRPr="00FC0182" w:rsidRDefault="006B25F2" w:rsidP="006B25F2">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FC0182">
        <w:rPr>
          <w:rFonts w:ascii="Verdana" w:eastAsia="Calibri" w:hAnsi="Verdana" w:cs="Arial"/>
          <w:b/>
          <w:bCs/>
          <w:sz w:val="21"/>
          <w:szCs w:val="21"/>
          <w:lang w:val="es-CO"/>
        </w:rPr>
        <w:t xml:space="preserve">Los </w:t>
      </w:r>
      <w:r>
        <w:rPr>
          <w:rFonts w:ascii="Verdana" w:eastAsia="Calibri" w:hAnsi="Verdana" w:cs="Arial"/>
          <w:b/>
          <w:bCs/>
          <w:sz w:val="21"/>
          <w:szCs w:val="21"/>
          <w:lang w:val="es-CO"/>
        </w:rPr>
        <w:t xml:space="preserve">últimos </w:t>
      </w:r>
      <w:r w:rsidRPr="00FC0182">
        <w:rPr>
          <w:rFonts w:ascii="Verdana" w:eastAsia="Calibri" w:hAnsi="Verdana" w:cs="Arial"/>
          <w:b/>
          <w:bCs/>
          <w:sz w:val="21"/>
          <w:szCs w:val="21"/>
          <w:lang w:val="es-CO"/>
        </w:rPr>
        <w:t xml:space="preserve">informes financieros y contables </w:t>
      </w:r>
      <w:r>
        <w:rPr>
          <w:rFonts w:ascii="Verdana" w:eastAsia="Calibri" w:hAnsi="Verdana" w:cs="Arial"/>
          <w:b/>
          <w:bCs/>
          <w:sz w:val="21"/>
          <w:szCs w:val="21"/>
          <w:lang w:val="es-CO"/>
        </w:rPr>
        <w:t xml:space="preserve">publicados, cuando la entidad deba publicar dichos informes conforme a las disposiciones legales vigentes </w:t>
      </w:r>
    </w:p>
    <w:p w14:paraId="2DED20DD" w14:textId="77777777" w:rsidR="006B25F2" w:rsidRPr="00FC0182" w:rsidRDefault="006B25F2" w:rsidP="006B25F2">
      <w:pPr>
        <w:autoSpaceDE w:val="0"/>
        <w:autoSpaceDN w:val="0"/>
        <w:adjustRightInd w:val="0"/>
        <w:spacing w:line="252" w:lineRule="auto"/>
        <w:ind w:firstLine="284"/>
        <w:jc w:val="both"/>
        <w:rPr>
          <w:rFonts w:ascii="Verdana" w:eastAsia="Calibri" w:hAnsi="Verdana" w:cs="Arial"/>
          <w:b/>
          <w:bCs/>
          <w:sz w:val="21"/>
          <w:szCs w:val="21"/>
          <w:lang w:val="es-CO"/>
        </w:rPr>
      </w:pPr>
    </w:p>
    <w:p w14:paraId="7D129B91" w14:textId="77777777" w:rsidR="006B25F2" w:rsidRPr="00FC0182" w:rsidRDefault="006B25F2" w:rsidP="006B25F2">
      <w:pPr>
        <w:pStyle w:val="Sinespaciado"/>
        <w:spacing w:line="252" w:lineRule="auto"/>
        <w:ind w:left="284"/>
        <w:jc w:val="both"/>
        <w:rPr>
          <w:rFonts w:ascii="Verdana" w:hAnsi="Verdana" w:cs="Arial"/>
          <w:sz w:val="21"/>
          <w:szCs w:val="21"/>
        </w:rPr>
      </w:pPr>
      <w:r w:rsidRPr="00FC0182">
        <w:rPr>
          <w:rFonts w:ascii="Verdana" w:hAnsi="Verdana" w:cs="Arial"/>
          <w:sz w:val="21"/>
          <w:szCs w:val="21"/>
        </w:rPr>
        <w:t>En relación con los informes financieros y contables periódicos de la vigencia 202</w:t>
      </w:r>
      <w:r>
        <w:rPr>
          <w:rFonts w:ascii="Verdana" w:hAnsi="Verdana" w:cs="Arial"/>
          <w:sz w:val="21"/>
          <w:szCs w:val="21"/>
        </w:rPr>
        <w:t>4</w:t>
      </w:r>
      <w:r w:rsidRPr="00FC0182">
        <w:rPr>
          <w:rFonts w:ascii="Verdana" w:hAnsi="Verdana" w:cs="Arial"/>
          <w:sz w:val="21"/>
          <w:szCs w:val="21"/>
        </w:rPr>
        <w:t xml:space="preserve"> es conveniente señalar que de conformidad con lo dispuesto por la Contaduría General de </w:t>
      </w:r>
      <w:r w:rsidRPr="00FC0182">
        <w:rPr>
          <w:rFonts w:ascii="Verdana" w:hAnsi="Verdana" w:cs="Arial"/>
          <w:sz w:val="21"/>
          <w:szCs w:val="21"/>
        </w:rPr>
        <w:lastRenderedPageBreak/>
        <w:t>la Nación mediante Resolución 356 de diciembre de 2022 “</w:t>
      </w:r>
      <w:r w:rsidRPr="00FC0182">
        <w:rPr>
          <w:rFonts w:ascii="Verdana" w:hAnsi="Verdana" w:cs="Arial"/>
          <w:i/>
          <w:iCs/>
          <w:sz w:val="21"/>
          <w:szCs w:val="21"/>
        </w:rPr>
        <w:t>Por la cual se incorpora, en los Procedimientos Transversales del Régimen del Contabilidad Pública, el Procedimiento para la preparación, presentación y publicación de los informes financieros y contables, que deban publicarse conforme a lo establecido en el numeral 37 del artículo 38 de la Ley 1952 de 2019</w:t>
      </w:r>
      <w:r w:rsidRPr="00FC0182">
        <w:rPr>
          <w:rFonts w:ascii="Verdana" w:hAnsi="Verdana" w:cs="Arial"/>
          <w:sz w:val="21"/>
          <w:szCs w:val="21"/>
        </w:rPr>
        <w:t xml:space="preserve">”, se deben elaborar informes financieros y contables de manera trimestral. </w:t>
      </w:r>
    </w:p>
    <w:p w14:paraId="4DE70F59" w14:textId="77777777" w:rsidR="006B25F2" w:rsidRPr="00FC0182" w:rsidRDefault="006B25F2" w:rsidP="006B25F2">
      <w:pPr>
        <w:pStyle w:val="Sinespaciado"/>
        <w:spacing w:line="252" w:lineRule="auto"/>
        <w:ind w:left="284"/>
        <w:jc w:val="both"/>
        <w:rPr>
          <w:rFonts w:ascii="Verdana" w:hAnsi="Verdana" w:cs="Arial"/>
          <w:sz w:val="21"/>
          <w:szCs w:val="21"/>
        </w:rPr>
      </w:pPr>
    </w:p>
    <w:p w14:paraId="3444A4F8" w14:textId="63600FA4" w:rsidR="006B25F2" w:rsidRDefault="006B25F2" w:rsidP="006B25F2">
      <w:pPr>
        <w:pStyle w:val="Sinespaciado"/>
        <w:spacing w:line="252" w:lineRule="auto"/>
        <w:ind w:left="284"/>
        <w:jc w:val="both"/>
        <w:rPr>
          <w:rFonts w:ascii="Verdana" w:hAnsi="Verdana" w:cs="Arial"/>
          <w:b/>
          <w:bCs/>
          <w:i/>
          <w:iCs/>
          <w:sz w:val="21"/>
          <w:szCs w:val="21"/>
        </w:rPr>
      </w:pPr>
      <w:r w:rsidRPr="00FC0182">
        <w:rPr>
          <w:rFonts w:ascii="Verdana" w:hAnsi="Verdana" w:cs="Arial"/>
          <w:sz w:val="21"/>
          <w:szCs w:val="21"/>
        </w:rPr>
        <w:t>En tal sentido,</w:t>
      </w:r>
      <w:r>
        <w:rPr>
          <w:rFonts w:ascii="Verdana" w:hAnsi="Verdana" w:cs="Arial"/>
          <w:sz w:val="21"/>
          <w:szCs w:val="21"/>
        </w:rPr>
        <w:t xml:space="preserve"> a la fecha de cambio de representante legal (marzo de 2025) se encuentra disponible el informe financiero y contable con corte a 30 de septiembre de 2024, el cual se adjunta en el archivo denominado </w:t>
      </w:r>
      <w:r w:rsidR="003755DF" w:rsidRPr="003755DF">
        <w:rPr>
          <w:rFonts w:ascii="Verdana" w:hAnsi="Verdana" w:cs="Arial"/>
          <w:b/>
          <w:bCs/>
          <w:i/>
          <w:iCs/>
          <w:sz w:val="21"/>
          <w:szCs w:val="21"/>
        </w:rPr>
        <w:t xml:space="preserve">Anexo </w:t>
      </w:r>
      <w:r w:rsidR="003755DF">
        <w:rPr>
          <w:rFonts w:ascii="Verdana" w:hAnsi="Verdana" w:cs="Arial"/>
          <w:b/>
          <w:bCs/>
          <w:i/>
          <w:iCs/>
          <w:sz w:val="21"/>
          <w:szCs w:val="21"/>
        </w:rPr>
        <w:t>2</w:t>
      </w:r>
      <w:r w:rsidR="003755DF" w:rsidRPr="003755DF">
        <w:rPr>
          <w:rFonts w:ascii="Verdana" w:hAnsi="Verdana" w:cs="Arial"/>
          <w:b/>
          <w:bCs/>
          <w:i/>
          <w:iCs/>
          <w:sz w:val="21"/>
          <w:szCs w:val="21"/>
        </w:rPr>
        <w:t>. Notas ESF al 30 de septiembre de 2024</w:t>
      </w:r>
      <w:r>
        <w:rPr>
          <w:rFonts w:ascii="Verdana" w:hAnsi="Verdana" w:cs="Arial"/>
          <w:b/>
          <w:bCs/>
          <w:i/>
          <w:iCs/>
          <w:sz w:val="21"/>
          <w:szCs w:val="21"/>
        </w:rPr>
        <w:t xml:space="preserve">. </w:t>
      </w:r>
    </w:p>
    <w:p w14:paraId="48799D8D" w14:textId="77777777" w:rsidR="006B25F2" w:rsidRDefault="006B25F2" w:rsidP="006B25F2">
      <w:pPr>
        <w:pStyle w:val="Sinespaciado"/>
        <w:spacing w:line="252" w:lineRule="auto"/>
        <w:ind w:left="284"/>
        <w:jc w:val="both"/>
        <w:rPr>
          <w:rFonts w:ascii="Verdana" w:hAnsi="Verdana" w:cs="Arial"/>
          <w:b/>
          <w:bCs/>
          <w:i/>
          <w:iCs/>
          <w:sz w:val="21"/>
          <w:szCs w:val="21"/>
        </w:rPr>
      </w:pPr>
    </w:p>
    <w:p w14:paraId="7C9E13CB" w14:textId="23B0B1F4" w:rsidR="006B25F2" w:rsidRPr="00862C29" w:rsidRDefault="006B25F2" w:rsidP="006B25F2">
      <w:pPr>
        <w:pStyle w:val="Sinespaciado"/>
        <w:spacing w:line="252" w:lineRule="auto"/>
        <w:ind w:left="284"/>
        <w:jc w:val="both"/>
        <w:rPr>
          <w:rFonts w:ascii="Verdana" w:hAnsi="Verdana" w:cs="Arial"/>
          <w:sz w:val="21"/>
          <w:szCs w:val="21"/>
        </w:rPr>
      </w:pPr>
      <w:r w:rsidRPr="00862C29">
        <w:rPr>
          <w:rFonts w:ascii="Verdana" w:hAnsi="Verdana" w:cs="Arial"/>
          <w:sz w:val="21"/>
          <w:szCs w:val="21"/>
        </w:rPr>
        <w:t>Con respecto a la información</w:t>
      </w:r>
      <w:r>
        <w:rPr>
          <w:rFonts w:ascii="Verdana" w:hAnsi="Verdana" w:cs="Arial"/>
          <w:sz w:val="21"/>
          <w:szCs w:val="21"/>
        </w:rPr>
        <w:t xml:space="preserve"> contable</w:t>
      </w:r>
      <w:r w:rsidRPr="00862C29">
        <w:rPr>
          <w:rFonts w:ascii="Verdana" w:hAnsi="Verdana" w:cs="Arial"/>
          <w:sz w:val="21"/>
          <w:szCs w:val="21"/>
        </w:rPr>
        <w:t xml:space="preserve"> del mes de diciembre, es pertinente </w:t>
      </w:r>
      <w:r>
        <w:rPr>
          <w:rFonts w:ascii="Verdana" w:hAnsi="Verdana" w:cs="Arial"/>
          <w:sz w:val="21"/>
          <w:szCs w:val="21"/>
        </w:rPr>
        <w:t>indicar</w:t>
      </w:r>
      <w:r w:rsidRPr="00862C29">
        <w:rPr>
          <w:rFonts w:ascii="Verdana" w:hAnsi="Verdana" w:cs="Arial"/>
          <w:sz w:val="21"/>
          <w:szCs w:val="21"/>
        </w:rPr>
        <w:t xml:space="preserve"> que </w:t>
      </w:r>
      <w:r>
        <w:rPr>
          <w:rFonts w:ascii="Verdana" w:hAnsi="Verdana" w:cs="Arial"/>
          <w:sz w:val="21"/>
          <w:szCs w:val="21"/>
        </w:rPr>
        <w:t>é</w:t>
      </w:r>
      <w:r w:rsidRPr="00862C29">
        <w:rPr>
          <w:rFonts w:ascii="Verdana" w:hAnsi="Verdana" w:cs="Arial"/>
          <w:sz w:val="21"/>
          <w:szCs w:val="21"/>
        </w:rPr>
        <w:t xml:space="preserve">sta corresponde al juego completo de </w:t>
      </w:r>
      <w:r w:rsidR="003755DF">
        <w:rPr>
          <w:rFonts w:ascii="Verdana" w:hAnsi="Verdana" w:cs="Arial"/>
          <w:sz w:val="21"/>
          <w:szCs w:val="21"/>
        </w:rPr>
        <w:t xml:space="preserve">las Notas a los </w:t>
      </w:r>
      <w:r w:rsidRPr="00862C29">
        <w:rPr>
          <w:rFonts w:ascii="Verdana" w:hAnsi="Verdana" w:cs="Arial"/>
          <w:sz w:val="21"/>
          <w:szCs w:val="21"/>
        </w:rPr>
        <w:t xml:space="preserve">Estados </w:t>
      </w:r>
      <w:r w:rsidR="003755DF">
        <w:rPr>
          <w:rFonts w:ascii="Verdana" w:hAnsi="Verdana" w:cs="Arial"/>
          <w:sz w:val="21"/>
          <w:szCs w:val="21"/>
        </w:rPr>
        <w:t xml:space="preserve">de la Situación </w:t>
      </w:r>
      <w:r w:rsidRPr="00862C29">
        <w:rPr>
          <w:rFonts w:ascii="Verdana" w:hAnsi="Verdana" w:cs="Arial"/>
          <w:sz w:val="21"/>
          <w:szCs w:val="21"/>
        </w:rPr>
        <w:t>Financier</w:t>
      </w:r>
      <w:r w:rsidR="003755DF">
        <w:rPr>
          <w:rFonts w:ascii="Verdana" w:hAnsi="Verdana" w:cs="Arial"/>
          <w:sz w:val="21"/>
          <w:szCs w:val="21"/>
        </w:rPr>
        <w:t>a</w:t>
      </w:r>
      <w:r>
        <w:rPr>
          <w:rFonts w:ascii="Verdana" w:hAnsi="Verdana" w:cs="Arial"/>
          <w:sz w:val="21"/>
          <w:szCs w:val="21"/>
        </w:rPr>
        <w:t xml:space="preserve"> </w:t>
      </w:r>
      <w:r w:rsidR="003755DF">
        <w:rPr>
          <w:rFonts w:ascii="Verdana" w:hAnsi="Verdana" w:cs="Arial"/>
          <w:sz w:val="21"/>
          <w:szCs w:val="21"/>
        </w:rPr>
        <w:t xml:space="preserve">del FONPET </w:t>
      </w:r>
      <w:r>
        <w:rPr>
          <w:rFonts w:ascii="Verdana" w:hAnsi="Verdana" w:cs="Arial"/>
          <w:sz w:val="21"/>
          <w:szCs w:val="21"/>
        </w:rPr>
        <w:t>con corte a 31 de diciembre de 2024</w:t>
      </w:r>
      <w:r w:rsidRPr="00862C29">
        <w:rPr>
          <w:rFonts w:ascii="Verdana" w:hAnsi="Verdana" w:cs="Arial"/>
          <w:sz w:val="21"/>
          <w:szCs w:val="21"/>
        </w:rPr>
        <w:t>, el cual se adjuntó en el numeral 1 del presente informe.</w:t>
      </w:r>
    </w:p>
    <w:p w14:paraId="576A5053" w14:textId="77777777" w:rsidR="006B25F2" w:rsidRPr="00FC0182" w:rsidRDefault="006B25F2" w:rsidP="006B25F2">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24986A7A" w14:textId="5B9724F4" w:rsidR="006B25F2" w:rsidRPr="00096FED" w:rsidRDefault="006B25F2" w:rsidP="006B25F2">
      <w:pPr>
        <w:shd w:val="clear" w:color="auto" w:fill="FFFFFF" w:themeFill="background1"/>
        <w:tabs>
          <w:tab w:val="num" w:pos="284"/>
        </w:tabs>
        <w:ind w:left="284"/>
        <w:jc w:val="both"/>
        <w:rPr>
          <w:rFonts w:ascii="Arial" w:eastAsiaTheme="minorEastAsia" w:hAnsi="Arial" w:cs="Arial"/>
          <w:lang w:val="es-CO" w:eastAsia="en-US"/>
        </w:rPr>
      </w:pPr>
      <w:r>
        <w:rPr>
          <w:rFonts w:ascii="Verdana" w:eastAsia="Calibri" w:hAnsi="Verdana" w:cs="Arial"/>
          <w:sz w:val="21"/>
          <w:szCs w:val="21"/>
          <w:lang w:val="es-CO"/>
        </w:rPr>
        <w:t xml:space="preserve">Ahora bien, en relación con la información contable relativa al </w:t>
      </w:r>
      <w:r w:rsidRPr="00096FED">
        <w:rPr>
          <w:rFonts w:ascii="Arial" w:eastAsiaTheme="minorEastAsia" w:hAnsi="Arial" w:cs="Arial"/>
          <w:lang w:val="es-CO" w:eastAsia="en-US"/>
        </w:rPr>
        <w:t xml:space="preserve">primer trimestre de 2025, </w:t>
      </w:r>
      <w:r>
        <w:rPr>
          <w:rFonts w:ascii="Arial" w:eastAsiaTheme="minorEastAsia" w:hAnsi="Arial" w:cs="Arial"/>
          <w:lang w:val="es-CO" w:eastAsia="en-US"/>
        </w:rPr>
        <w:t>se precisa que ésta se incorporará en</w:t>
      </w:r>
      <w:r w:rsidRPr="00096FED">
        <w:rPr>
          <w:rFonts w:ascii="Arial" w:eastAsiaTheme="minorEastAsia" w:hAnsi="Arial" w:cs="Arial"/>
          <w:lang w:val="es-CO" w:eastAsia="en-US"/>
        </w:rPr>
        <w:t xml:space="preserve"> el informe financiero y contable con corte a 31 de marzo de 2025, el cual, según lo establecido por la Contaduría General de la Nación debe ser publicado el 3</w:t>
      </w:r>
      <w:r w:rsidR="003755DF">
        <w:rPr>
          <w:rFonts w:ascii="Arial" w:eastAsiaTheme="minorEastAsia" w:hAnsi="Arial" w:cs="Arial"/>
          <w:lang w:val="es-CO" w:eastAsia="en-US"/>
        </w:rPr>
        <w:t>0</w:t>
      </w:r>
      <w:r w:rsidRPr="00096FED">
        <w:rPr>
          <w:rFonts w:ascii="Arial" w:eastAsiaTheme="minorEastAsia" w:hAnsi="Arial" w:cs="Arial"/>
          <w:lang w:val="es-CO" w:eastAsia="en-US"/>
        </w:rPr>
        <w:t xml:space="preserve"> de </w:t>
      </w:r>
      <w:r w:rsidR="003755DF">
        <w:rPr>
          <w:rFonts w:ascii="Arial" w:eastAsiaTheme="minorEastAsia" w:hAnsi="Arial" w:cs="Arial"/>
          <w:lang w:val="es-CO" w:eastAsia="en-US"/>
        </w:rPr>
        <w:t>abril</w:t>
      </w:r>
      <w:r w:rsidRPr="00096FED">
        <w:rPr>
          <w:rFonts w:ascii="Arial" w:eastAsiaTheme="minorEastAsia" w:hAnsi="Arial" w:cs="Arial"/>
          <w:lang w:val="es-CO" w:eastAsia="en-US"/>
        </w:rPr>
        <w:t xml:space="preserve"> de 2025.</w:t>
      </w:r>
    </w:p>
    <w:p w14:paraId="06399A7F" w14:textId="77777777" w:rsidR="006B25F2" w:rsidRDefault="006B25F2" w:rsidP="006B25F2">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7D645A2B" w14:textId="101CAB9F" w:rsidR="006B25F2" w:rsidRDefault="006B25F2" w:rsidP="006B25F2">
      <w:pPr>
        <w:pStyle w:val="Prrafodelista"/>
        <w:autoSpaceDE w:val="0"/>
        <w:autoSpaceDN w:val="0"/>
        <w:adjustRightInd w:val="0"/>
        <w:spacing w:line="252" w:lineRule="auto"/>
        <w:ind w:left="284"/>
        <w:jc w:val="both"/>
        <w:rPr>
          <w:rFonts w:ascii="Verdana" w:eastAsia="Calibri" w:hAnsi="Verdana" w:cs="Arial"/>
          <w:sz w:val="21"/>
          <w:szCs w:val="21"/>
          <w:lang w:val="es-CO"/>
        </w:rPr>
      </w:pPr>
      <w:r w:rsidRPr="00FC0182">
        <w:rPr>
          <w:rFonts w:ascii="Verdana" w:eastAsia="Calibri" w:hAnsi="Verdana" w:cs="Arial"/>
          <w:sz w:val="21"/>
          <w:szCs w:val="21"/>
          <w:lang w:val="es-CO"/>
        </w:rPr>
        <w:t xml:space="preserve">Finalmente, se precisa que los informes financieros y contables </w:t>
      </w:r>
      <w:r>
        <w:rPr>
          <w:rFonts w:ascii="Verdana" w:eastAsia="Calibri" w:hAnsi="Verdana" w:cs="Arial"/>
          <w:sz w:val="21"/>
          <w:szCs w:val="21"/>
          <w:lang w:val="es-CO"/>
        </w:rPr>
        <w:t xml:space="preserve">de la entidad </w:t>
      </w:r>
      <w:r w:rsidRPr="00FC0182">
        <w:rPr>
          <w:rFonts w:ascii="Verdana" w:eastAsia="Calibri" w:hAnsi="Verdana" w:cs="Arial"/>
          <w:sz w:val="21"/>
          <w:szCs w:val="21"/>
          <w:lang w:val="es-CO"/>
        </w:rPr>
        <w:t xml:space="preserve">pueden ser consultados en el siguiente </w:t>
      </w:r>
      <w:r w:rsidRPr="006C75A2">
        <w:rPr>
          <w:rFonts w:ascii="Verdana" w:eastAsia="Calibri" w:hAnsi="Verdana" w:cs="Arial"/>
          <w:sz w:val="21"/>
          <w:szCs w:val="21"/>
          <w:lang w:val="es-CO"/>
        </w:rPr>
        <w:t>enlace</w:t>
      </w:r>
      <w:r w:rsidRPr="00FC0182">
        <w:rPr>
          <w:rFonts w:ascii="Verdana" w:eastAsia="Calibri" w:hAnsi="Verdana" w:cs="Arial"/>
          <w:sz w:val="21"/>
          <w:szCs w:val="21"/>
          <w:lang w:val="es-CO"/>
        </w:rPr>
        <w:t xml:space="preserve"> de la página web del MHCP</w:t>
      </w:r>
      <w:r w:rsidR="003755DF">
        <w:rPr>
          <w:rFonts w:ascii="Verdana" w:eastAsia="Calibri" w:hAnsi="Verdana" w:cs="Arial"/>
          <w:sz w:val="21"/>
          <w:szCs w:val="21"/>
          <w:lang w:val="es-CO"/>
        </w:rPr>
        <w:t xml:space="preserve">: </w:t>
      </w:r>
      <w:hyperlink r:id="rId17" w:history="1">
        <w:r w:rsidR="003755DF" w:rsidRPr="00321426">
          <w:rPr>
            <w:rStyle w:val="Hipervnculo"/>
            <w:rFonts w:ascii="Verdana" w:eastAsia="Calibri" w:hAnsi="Verdana" w:cs="Arial"/>
            <w:sz w:val="21"/>
            <w:szCs w:val="21"/>
            <w:lang w:val="es-CO"/>
          </w:rPr>
          <w:t>https://www.minhacienda.gov.co/seguridad-social-dress/fonpet</w:t>
        </w:r>
      </w:hyperlink>
    </w:p>
    <w:p w14:paraId="4B87A86A" w14:textId="77777777" w:rsidR="003755DF" w:rsidRDefault="003755DF" w:rsidP="006B25F2">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06398DC8" w14:textId="77777777" w:rsidR="003755DF" w:rsidRPr="00FC0182" w:rsidRDefault="003755DF" w:rsidP="006B25F2">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0DE40E3F" w14:textId="77777777" w:rsidR="006B25F2" w:rsidRPr="006D4CFA" w:rsidRDefault="006B25F2" w:rsidP="006B25F2">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6D4CFA">
        <w:rPr>
          <w:rFonts w:ascii="Verdana" w:eastAsia="Calibri" w:hAnsi="Verdana" w:cs="Arial"/>
          <w:b/>
          <w:bCs/>
          <w:sz w:val="21"/>
          <w:szCs w:val="21"/>
          <w:lang w:val="es-CO"/>
        </w:rPr>
        <w:t>El último informe de la auditoría a los estados financieros de la entidad emitido por la respectiva Contraloría.</w:t>
      </w:r>
    </w:p>
    <w:p w14:paraId="01034CA6" w14:textId="77777777" w:rsidR="006B25F2" w:rsidRPr="00FC0182" w:rsidRDefault="006B25F2" w:rsidP="006B25F2">
      <w:pPr>
        <w:pStyle w:val="Prrafodelista"/>
        <w:autoSpaceDE w:val="0"/>
        <w:autoSpaceDN w:val="0"/>
        <w:adjustRightInd w:val="0"/>
        <w:spacing w:line="252" w:lineRule="auto"/>
        <w:ind w:left="284"/>
        <w:jc w:val="both"/>
        <w:rPr>
          <w:rFonts w:ascii="Verdana" w:eastAsia="Calibri" w:hAnsi="Verdana" w:cs="Arial"/>
          <w:b/>
          <w:bCs/>
          <w:sz w:val="21"/>
          <w:szCs w:val="21"/>
          <w:lang w:val="es-CO"/>
        </w:rPr>
      </w:pPr>
    </w:p>
    <w:p w14:paraId="76A033E6" w14:textId="5E61C33C" w:rsidR="006B25F2" w:rsidRDefault="006B25F2" w:rsidP="006B25F2">
      <w:pPr>
        <w:pStyle w:val="Prrafodelista"/>
        <w:autoSpaceDE w:val="0"/>
        <w:autoSpaceDN w:val="0"/>
        <w:adjustRightInd w:val="0"/>
        <w:spacing w:line="252" w:lineRule="auto"/>
        <w:ind w:left="284"/>
        <w:jc w:val="both"/>
        <w:rPr>
          <w:rFonts w:ascii="Verdana" w:eastAsia="Calibri" w:hAnsi="Verdana" w:cs="Arial"/>
          <w:sz w:val="21"/>
          <w:szCs w:val="21"/>
          <w:lang w:val="es-CO"/>
        </w:rPr>
      </w:pPr>
      <w:r w:rsidRPr="00FC0182">
        <w:rPr>
          <w:rFonts w:ascii="Verdana" w:eastAsia="Calibri" w:hAnsi="Verdana" w:cs="Arial"/>
          <w:sz w:val="21"/>
          <w:szCs w:val="21"/>
          <w:lang w:val="es-CO"/>
        </w:rPr>
        <w:t xml:space="preserve">En documento adjunto denominado </w:t>
      </w:r>
      <w:r w:rsidR="00286626" w:rsidRPr="00286626">
        <w:rPr>
          <w:rFonts w:ascii="Verdana" w:eastAsia="Calibri" w:hAnsi="Verdana" w:cs="Arial"/>
          <w:b/>
          <w:bCs/>
          <w:i/>
          <w:iCs/>
          <w:sz w:val="21"/>
          <w:szCs w:val="21"/>
          <w:lang w:val="es-CO"/>
        </w:rPr>
        <w:t>Anexo 3. INFORME FINAL AF FONPET_CES_17_14052024_CES_021_VF</w:t>
      </w:r>
      <w:r w:rsidRPr="00FC0182">
        <w:rPr>
          <w:rFonts w:ascii="Verdana" w:eastAsia="Calibri" w:hAnsi="Verdana" w:cs="Arial"/>
          <w:sz w:val="21"/>
          <w:szCs w:val="21"/>
          <w:lang w:val="es-CO"/>
        </w:rPr>
        <w:t xml:space="preserve">, se remite el informe de la auditoría </w:t>
      </w:r>
      <w:r w:rsidR="00286626">
        <w:rPr>
          <w:rFonts w:ascii="Verdana" w:eastAsia="Calibri" w:hAnsi="Verdana" w:cs="Arial"/>
          <w:sz w:val="21"/>
          <w:szCs w:val="21"/>
          <w:lang w:val="es-CO"/>
        </w:rPr>
        <w:t xml:space="preserve">al FONPET vigencia 2023, realizada en el 2024, </w:t>
      </w:r>
      <w:r w:rsidRPr="00FC0182">
        <w:rPr>
          <w:rFonts w:ascii="Verdana" w:eastAsia="Calibri" w:hAnsi="Verdana" w:cs="Arial"/>
          <w:sz w:val="21"/>
          <w:szCs w:val="21"/>
          <w:lang w:val="es-CO"/>
        </w:rPr>
        <w:t xml:space="preserve">practicado por la Contraloría General de la República. </w:t>
      </w:r>
    </w:p>
    <w:p w14:paraId="7AF3F637" w14:textId="77777777" w:rsidR="006B25F2" w:rsidRDefault="006B25F2" w:rsidP="006B25F2">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7C398481" w14:textId="2C773212" w:rsidR="006B25F2" w:rsidRPr="00BE10F4" w:rsidRDefault="006B25F2" w:rsidP="006B25F2">
      <w:pPr>
        <w:pStyle w:val="Prrafodelista"/>
        <w:autoSpaceDE w:val="0"/>
        <w:autoSpaceDN w:val="0"/>
        <w:adjustRightInd w:val="0"/>
        <w:spacing w:line="252" w:lineRule="auto"/>
        <w:ind w:left="284"/>
        <w:jc w:val="both"/>
        <w:rPr>
          <w:rFonts w:ascii="Verdana" w:hAnsi="Verdana" w:cs="Arial"/>
          <w:sz w:val="21"/>
          <w:szCs w:val="21"/>
          <w:lang w:val="es-CO"/>
        </w:rPr>
      </w:pPr>
      <w:r>
        <w:rPr>
          <w:rFonts w:ascii="Verdana" w:hAnsi="Verdana" w:cs="Arial"/>
          <w:sz w:val="21"/>
          <w:szCs w:val="21"/>
          <w:lang w:val="es-CO"/>
        </w:rPr>
        <w:t xml:space="preserve">Con relación a la vigencia 2024, es pertinente señalar </w:t>
      </w:r>
      <w:proofErr w:type="gramStart"/>
      <w:r>
        <w:rPr>
          <w:rFonts w:ascii="Verdana" w:hAnsi="Verdana" w:cs="Arial"/>
          <w:sz w:val="21"/>
          <w:szCs w:val="21"/>
          <w:lang w:val="es-CO"/>
        </w:rPr>
        <w:t>que</w:t>
      </w:r>
      <w:proofErr w:type="gramEnd"/>
      <w:r>
        <w:rPr>
          <w:rFonts w:ascii="Verdana" w:hAnsi="Verdana" w:cs="Arial"/>
          <w:sz w:val="21"/>
          <w:szCs w:val="21"/>
          <w:lang w:val="es-CO"/>
        </w:rPr>
        <w:t xml:space="preserve"> </w:t>
      </w:r>
      <w:r w:rsidRPr="00BE10F4">
        <w:rPr>
          <w:rFonts w:ascii="Verdana" w:hAnsi="Verdana" w:cs="Arial"/>
          <w:sz w:val="21"/>
          <w:szCs w:val="21"/>
          <w:lang w:val="es-CO"/>
        </w:rPr>
        <w:t xml:space="preserve">a la fecha, la Contraloría General de la República </w:t>
      </w:r>
      <w:r w:rsidR="00286626">
        <w:rPr>
          <w:rFonts w:ascii="Verdana" w:hAnsi="Verdana" w:cs="Arial"/>
          <w:sz w:val="21"/>
          <w:szCs w:val="21"/>
          <w:lang w:val="es-CO"/>
        </w:rPr>
        <w:t>no ha realizado auditoría</w:t>
      </w:r>
      <w:r w:rsidRPr="00BE10F4">
        <w:rPr>
          <w:rFonts w:ascii="Verdana" w:hAnsi="Verdana" w:cs="Arial"/>
          <w:sz w:val="21"/>
          <w:szCs w:val="21"/>
          <w:lang w:val="es-CO"/>
        </w:rPr>
        <w:t xml:space="preserve"> con corte a 31 de diciembre de 2024.</w:t>
      </w:r>
    </w:p>
    <w:p w14:paraId="459D31B0" w14:textId="77777777" w:rsidR="006B25F2" w:rsidRPr="00FC0182" w:rsidRDefault="006B25F2" w:rsidP="006B25F2">
      <w:pPr>
        <w:pStyle w:val="Prrafodelista"/>
        <w:autoSpaceDE w:val="0"/>
        <w:autoSpaceDN w:val="0"/>
        <w:adjustRightInd w:val="0"/>
        <w:spacing w:line="252" w:lineRule="auto"/>
        <w:ind w:left="284"/>
        <w:jc w:val="both"/>
        <w:rPr>
          <w:rFonts w:ascii="Verdana" w:eastAsia="Calibri" w:hAnsi="Verdana" w:cs="Arial"/>
          <w:sz w:val="21"/>
          <w:szCs w:val="21"/>
          <w:lang w:val="es-CO"/>
        </w:rPr>
      </w:pPr>
    </w:p>
    <w:p w14:paraId="3A880B46" w14:textId="77777777" w:rsidR="006B25F2" w:rsidRPr="00794D39" w:rsidRDefault="006B25F2" w:rsidP="006B25F2">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1"/>
          <w:szCs w:val="21"/>
          <w:lang w:val="es-CO"/>
        </w:rPr>
      </w:pPr>
      <w:r w:rsidRPr="00794D39">
        <w:rPr>
          <w:rFonts w:ascii="Verdana" w:eastAsia="Calibri" w:hAnsi="Verdana" w:cs="Arial"/>
          <w:b/>
          <w:bCs/>
          <w:sz w:val="21"/>
          <w:szCs w:val="21"/>
          <w:lang w:val="es-CO"/>
        </w:rPr>
        <w:t>El manual de políticas contables de la entidad y demás documentos en los que se establezcan aspectos relevantes para el normal desarrollo del proceso contable, como guías, procedimientos y metodologías, entre otros.</w:t>
      </w:r>
    </w:p>
    <w:p w14:paraId="10254A35" w14:textId="77777777" w:rsidR="006B25F2" w:rsidRDefault="006B25F2" w:rsidP="006B25F2">
      <w:pPr>
        <w:pStyle w:val="Prrafodelista"/>
        <w:autoSpaceDE w:val="0"/>
        <w:autoSpaceDN w:val="0"/>
        <w:adjustRightInd w:val="0"/>
        <w:spacing w:line="252" w:lineRule="auto"/>
        <w:ind w:left="284"/>
        <w:jc w:val="both"/>
        <w:rPr>
          <w:rFonts w:ascii="Verdana" w:eastAsia="Calibri" w:hAnsi="Verdana" w:cs="Arial"/>
          <w:b/>
          <w:bCs/>
          <w:sz w:val="21"/>
          <w:szCs w:val="21"/>
          <w:lang w:val="es-CO"/>
        </w:rPr>
      </w:pPr>
    </w:p>
    <w:p w14:paraId="019C9B90" w14:textId="5562CDDC" w:rsidR="006B25F2" w:rsidRPr="00021457" w:rsidRDefault="006B25F2" w:rsidP="006B25F2">
      <w:pPr>
        <w:autoSpaceDE w:val="0"/>
        <w:autoSpaceDN w:val="0"/>
        <w:adjustRightInd w:val="0"/>
        <w:spacing w:line="252" w:lineRule="auto"/>
        <w:ind w:left="284"/>
        <w:jc w:val="both"/>
        <w:rPr>
          <w:rFonts w:ascii="Verdana" w:eastAsia="Calibri" w:hAnsi="Verdana" w:cs="Arial"/>
          <w:sz w:val="21"/>
          <w:szCs w:val="21"/>
          <w:lang w:val="es-CO"/>
        </w:rPr>
      </w:pPr>
      <w:r w:rsidRPr="00021457">
        <w:rPr>
          <w:rFonts w:ascii="Verdana" w:eastAsia="Calibri" w:hAnsi="Verdana" w:cs="Arial"/>
          <w:sz w:val="21"/>
          <w:szCs w:val="21"/>
          <w:lang w:val="es-CO"/>
        </w:rPr>
        <w:lastRenderedPageBreak/>
        <w:t xml:space="preserve">Las actividades contables se encuentran establecidas en el procedimiento denominado </w:t>
      </w:r>
      <w:r w:rsidRPr="00021457">
        <w:rPr>
          <w:rFonts w:ascii="Verdana" w:eastAsia="Calibri" w:hAnsi="Verdana" w:cs="Arial"/>
          <w:i/>
          <w:iCs/>
          <w:sz w:val="21"/>
          <w:szCs w:val="21"/>
          <w:lang w:val="es-CO"/>
        </w:rPr>
        <w:t>“</w:t>
      </w:r>
      <w:r w:rsidR="00F41BBB" w:rsidRPr="00F41BBB">
        <w:rPr>
          <w:rFonts w:ascii="Verdana" w:eastAsia="Calibri" w:hAnsi="Verdana" w:cs="Arial"/>
          <w:i/>
          <w:iCs/>
          <w:sz w:val="21"/>
          <w:szCs w:val="21"/>
          <w:lang w:val="es-CO"/>
        </w:rPr>
        <w:t>Anexo 4. Mis.3.11 Manual de Políticas Contables Fonpet</w:t>
      </w:r>
      <w:r w:rsidRPr="00021457">
        <w:rPr>
          <w:rFonts w:ascii="Verdana" w:eastAsia="Calibri" w:hAnsi="Verdana" w:cs="Arial"/>
          <w:i/>
          <w:iCs/>
          <w:sz w:val="21"/>
          <w:szCs w:val="21"/>
          <w:lang w:val="es-CO"/>
        </w:rPr>
        <w:t>”,</w:t>
      </w:r>
      <w:r w:rsidRPr="00021457">
        <w:rPr>
          <w:rFonts w:ascii="Verdana" w:eastAsia="Calibri" w:hAnsi="Verdana" w:cs="Arial"/>
          <w:sz w:val="21"/>
          <w:szCs w:val="21"/>
          <w:lang w:val="es-CO"/>
        </w:rPr>
        <w:t xml:space="preserve"> el cual forma parte del proceso </w:t>
      </w:r>
      <w:r w:rsidR="00F41BBB">
        <w:rPr>
          <w:rFonts w:ascii="Verdana" w:eastAsia="Calibri" w:hAnsi="Verdana" w:cs="Arial"/>
          <w:sz w:val="21"/>
          <w:szCs w:val="21"/>
          <w:lang w:val="es-CO"/>
        </w:rPr>
        <w:t>de a</w:t>
      </w:r>
      <w:r w:rsidRPr="00021457">
        <w:rPr>
          <w:rFonts w:ascii="Verdana" w:eastAsia="Calibri" w:hAnsi="Verdana" w:cs="Arial"/>
          <w:sz w:val="21"/>
          <w:szCs w:val="21"/>
          <w:lang w:val="es-CO"/>
        </w:rPr>
        <w:t xml:space="preserve">poyo a la </w:t>
      </w:r>
      <w:r w:rsidR="00F41BBB">
        <w:rPr>
          <w:rFonts w:ascii="Verdana" w:eastAsia="Calibri" w:hAnsi="Verdana" w:cs="Arial"/>
          <w:sz w:val="21"/>
          <w:szCs w:val="21"/>
          <w:lang w:val="es-CO"/>
        </w:rPr>
        <w:t>g</w:t>
      </w:r>
      <w:r w:rsidRPr="00021457">
        <w:rPr>
          <w:rFonts w:ascii="Verdana" w:eastAsia="Calibri" w:hAnsi="Verdana" w:cs="Arial"/>
          <w:sz w:val="21"/>
          <w:szCs w:val="21"/>
          <w:lang w:val="es-CO"/>
        </w:rPr>
        <w:t xml:space="preserve">estión </w:t>
      </w:r>
      <w:r w:rsidR="00F41BBB">
        <w:rPr>
          <w:rFonts w:ascii="Verdana" w:eastAsia="Calibri" w:hAnsi="Verdana" w:cs="Arial"/>
          <w:sz w:val="21"/>
          <w:szCs w:val="21"/>
          <w:lang w:val="es-CO"/>
        </w:rPr>
        <w:t>contable.</w:t>
      </w:r>
    </w:p>
    <w:p w14:paraId="6E85193C" w14:textId="77777777" w:rsidR="006B25F2" w:rsidRPr="00F41BBB" w:rsidRDefault="006B25F2" w:rsidP="00F41BBB">
      <w:pPr>
        <w:autoSpaceDE w:val="0"/>
        <w:autoSpaceDN w:val="0"/>
        <w:adjustRightInd w:val="0"/>
        <w:spacing w:line="252" w:lineRule="auto"/>
        <w:jc w:val="both"/>
        <w:rPr>
          <w:rFonts w:ascii="Verdana" w:eastAsia="Calibri" w:hAnsi="Verdana" w:cs="Arial"/>
          <w:b/>
          <w:bCs/>
          <w:i/>
          <w:iCs/>
          <w:sz w:val="21"/>
          <w:szCs w:val="21"/>
          <w:lang w:val="es-CO"/>
        </w:rPr>
      </w:pPr>
      <w:bookmarkStart w:id="4" w:name="_Hlk72246211"/>
    </w:p>
    <w:bookmarkEnd w:id="4"/>
    <w:p w14:paraId="03261567" w14:textId="77777777" w:rsidR="006B25F2" w:rsidRPr="0075235A" w:rsidRDefault="006B25F2" w:rsidP="006B25F2">
      <w:pPr>
        <w:pStyle w:val="Prrafodelista"/>
        <w:numPr>
          <w:ilvl w:val="0"/>
          <w:numId w:val="5"/>
        </w:numPr>
        <w:autoSpaceDE w:val="0"/>
        <w:autoSpaceDN w:val="0"/>
        <w:adjustRightInd w:val="0"/>
        <w:spacing w:line="252" w:lineRule="auto"/>
        <w:ind w:left="284" w:hanging="284"/>
        <w:jc w:val="both"/>
        <w:rPr>
          <w:rFonts w:ascii="Verdana" w:hAnsi="Verdana" w:cs="Arial"/>
          <w:b/>
          <w:bCs/>
          <w:sz w:val="21"/>
          <w:szCs w:val="21"/>
        </w:rPr>
      </w:pPr>
      <w:r w:rsidRPr="0075235A">
        <w:rPr>
          <w:rFonts w:ascii="Verdana" w:eastAsia="Calibri" w:hAnsi="Verdana" w:cs="Arial"/>
          <w:b/>
          <w:bCs/>
          <w:sz w:val="21"/>
          <w:szCs w:val="21"/>
          <w:lang w:val="es-CO"/>
        </w:rPr>
        <w:t>La certificación automática del reporte de las categorías de información correspondientes al último periodo anual y al último periodo trimestral, expedida por la Contaduría General de la Nación a través del CHIP.</w:t>
      </w:r>
    </w:p>
    <w:p w14:paraId="670FB49B" w14:textId="77777777" w:rsidR="006B25F2" w:rsidRPr="00EB4693" w:rsidRDefault="006B25F2" w:rsidP="006B25F2">
      <w:pPr>
        <w:pStyle w:val="Prrafodelista"/>
        <w:autoSpaceDE w:val="0"/>
        <w:autoSpaceDN w:val="0"/>
        <w:adjustRightInd w:val="0"/>
        <w:spacing w:line="252" w:lineRule="auto"/>
        <w:jc w:val="both"/>
        <w:rPr>
          <w:rFonts w:ascii="Verdana" w:eastAsia="Calibri" w:hAnsi="Verdana" w:cs="Arial"/>
          <w:b/>
          <w:bCs/>
          <w:sz w:val="21"/>
          <w:szCs w:val="21"/>
        </w:rPr>
      </w:pPr>
    </w:p>
    <w:p w14:paraId="6090943F" w14:textId="4ACB7ABC" w:rsidR="006B25F2" w:rsidRPr="00FC0182" w:rsidRDefault="006B25F2" w:rsidP="006B25F2">
      <w:pPr>
        <w:autoSpaceDE w:val="0"/>
        <w:autoSpaceDN w:val="0"/>
        <w:adjustRightInd w:val="0"/>
        <w:spacing w:line="252" w:lineRule="auto"/>
        <w:ind w:left="284"/>
        <w:jc w:val="both"/>
        <w:rPr>
          <w:rFonts w:ascii="Verdana" w:hAnsi="Verdana" w:cs="Arial"/>
          <w:sz w:val="21"/>
          <w:szCs w:val="21"/>
        </w:rPr>
      </w:pPr>
      <w:r w:rsidRPr="00FC0182">
        <w:rPr>
          <w:rFonts w:ascii="Verdana" w:hAnsi="Verdana" w:cs="Arial"/>
          <w:sz w:val="21"/>
          <w:szCs w:val="21"/>
        </w:rPr>
        <w:t>Teniendo en cuenta que la entidad ha cumplido con el envío oportuno de las categorías de información a la Contaduría General de la Nación</w:t>
      </w:r>
      <w:r>
        <w:rPr>
          <w:rFonts w:ascii="Verdana" w:hAnsi="Verdana" w:cs="Arial"/>
          <w:sz w:val="21"/>
          <w:szCs w:val="21"/>
        </w:rPr>
        <w:t xml:space="preserve"> a través del </w:t>
      </w:r>
      <w:r w:rsidRPr="00611580">
        <w:rPr>
          <w:rFonts w:ascii="Arial" w:hAnsi="Arial" w:cs="Arial"/>
          <w:sz w:val="22"/>
          <w:szCs w:val="22"/>
        </w:rPr>
        <w:t>Consolidador de Información e Información Pública (CHIP)</w:t>
      </w:r>
      <w:r w:rsidRPr="00FC0182">
        <w:rPr>
          <w:rFonts w:ascii="Verdana" w:hAnsi="Verdana" w:cs="Arial"/>
          <w:sz w:val="21"/>
          <w:szCs w:val="21"/>
        </w:rPr>
        <w:t>, e</w:t>
      </w:r>
      <w:r w:rsidRPr="00FC0182">
        <w:rPr>
          <w:rFonts w:ascii="Verdana" w:eastAsia="Calibri" w:hAnsi="Verdana" w:cs="Arial"/>
          <w:sz w:val="21"/>
          <w:szCs w:val="21"/>
          <w:lang w:val="es-CO"/>
        </w:rPr>
        <w:t xml:space="preserve">n documentos adjuntos denominados </w:t>
      </w:r>
      <w:r w:rsidR="003248F4" w:rsidRPr="003248F4">
        <w:rPr>
          <w:rFonts w:ascii="Verdana" w:eastAsia="Calibri" w:hAnsi="Verdana" w:cs="Arial"/>
          <w:b/>
          <w:bCs/>
          <w:i/>
          <w:iCs/>
          <w:sz w:val="21"/>
          <w:szCs w:val="21"/>
          <w:lang w:val="es-CO"/>
        </w:rPr>
        <w:t>Anexo 5. Certificación Trasmisión Información Contable Publica</w:t>
      </w:r>
      <w:r w:rsidR="003248F4">
        <w:rPr>
          <w:rFonts w:ascii="Verdana" w:eastAsia="Calibri" w:hAnsi="Verdana" w:cs="Arial"/>
          <w:b/>
          <w:bCs/>
          <w:i/>
          <w:iCs/>
          <w:sz w:val="21"/>
          <w:szCs w:val="21"/>
          <w:lang w:val="es-CO"/>
        </w:rPr>
        <w:t xml:space="preserve"> Y </w:t>
      </w:r>
      <w:r w:rsidR="003248F4" w:rsidRPr="003248F4">
        <w:rPr>
          <w:rFonts w:ascii="Verdana" w:eastAsia="Calibri" w:hAnsi="Verdana" w:cs="Arial"/>
          <w:b/>
          <w:bCs/>
          <w:i/>
          <w:iCs/>
          <w:sz w:val="21"/>
          <w:szCs w:val="21"/>
          <w:lang w:val="es-CO"/>
        </w:rPr>
        <w:t>Anexo 6. Certificación Trasmisión REPORTE DE ESTADOS SITUACION FINANCIERA</w:t>
      </w:r>
      <w:r w:rsidRPr="00FC0182">
        <w:rPr>
          <w:rFonts w:ascii="Verdana" w:eastAsia="Calibri" w:hAnsi="Verdana" w:cs="Arial"/>
          <w:sz w:val="21"/>
          <w:szCs w:val="21"/>
          <w:lang w:val="es-CO"/>
        </w:rPr>
        <w:t>, se remiten las certificaciones automáticas expedidas por la CG</w:t>
      </w:r>
      <w:r>
        <w:rPr>
          <w:rFonts w:ascii="Verdana" w:eastAsia="Calibri" w:hAnsi="Verdana" w:cs="Arial"/>
          <w:sz w:val="21"/>
          <w:szCs w:val="21"/>
          <w:lang w:val="es-CO"/>
        </w:rPr>
        <w:t xml:space="preserve">N </w:t>
      </w:r>
      <w:r w:rsidRPr="00FC0182">
        <w:rPr>
          <w:rFonts w:ascii="Verdana" w:eastAsia="Calibri" w:hAnsi="Verdana" w:cs="Arial"/>
          <w:sz w:val="21"/>
          <w:szCs w:val="21"/>
          <w:lang w:val="es-CO"/>
        </w:rPr>
        <w:t>del reporte a través del CHIP de las categorías de información</w:t>
      </w:r>
      <w:r>
        <w:rPr>
          <w:rFonts w:ascii="Verdana" w:eastAsia="Calibri" w:hAnsi="Verdana" w:cs="Arial"/>
          <w:sz w:val="21"/>
          <w:szCs w:val="21"/>
          <w:lang w:val="es-CO"/>
        </w:rPr>
        <w:t xml:space="preserve"> cor</w:t>
      </w:r>
      <w:r w:rsidRPr="00FC0182">
        <w:rPr>
          <w:rFonts w:ascii="Verdana" w:eastAsia="Calibri" w:hAnsi="Verdana" w:cs="Arial"/>
          <w:sz w:val="21"/>
          <w:szCs w:val="21"/>
          <w:lang w:val="es-CO"/>
        </w:rPr>
        <w:t>respondientes a la</w:t>
      </w:r>
      <w:r>
        <w:rPr>
          <w:rFonts w:ascii="Verdana" w:eastAsia="Calibri" w:hAnsi="Verdana" w:cs="Arial"/>
          <w:sz w:val="21"/>
          <w:szCs w:val="21"/>
          <w:lang w:val="es-CO"/>
        </w:rPr>
        <w:t>s</w:t>
      </w:r>
      <w:r w:rsidRPr="00FC0182">
        <w:rPr>
          <w:rFonts w:ascii="Verdana" w:eastAsia="Calibri" w:hAnsi="Verdana" w:cs="Arial"/>
          <w:sz w:val="21"/>
          <w:szCs w:val="21"/>
          <w:lang w:val="es-CO"/>
        </w:rPr>
        <w:t xml:space="preserve"> vigencia</w:t>
      </w:r>
      <w:r>
        <w:rPr>
          <w:rFonts w:ascii="Verdana" w:eastAsia="Calibri" w:hAnsi="Verdana" w:cs="Arial"/>
          <w:sz w:val="21"/>
          <w:szCs w:val="21"/>
          <w:lang w:val="es-CO"/>
        </w:rPr>
        <w:t>s</w:t>
      </w:r>
      <w:r w:rsidRPr="00FC0182">
        <w:rPr>
          <w:rFonts w:ascii="Verdana" w:eastAsia="Calibri" w:hAnsi="Verdana" w:cs="Arial"/>
          <w:sz w:val="21"/>
          <w:szCs w:val="21"/>
          <w:lang w:val="es-CO"/>
        </w:rPr>
        <w:t xml:space="preserve"> 202</w:t>
      </w:r>
      <w:r w:rsidR="003248F4">
        <w:rPr>
          <w:rFonts w:ascii="Verdana" w:eastAsia="Calibri" w:hAnsi="Verdana" w:cs="Arial"/>
          <w:sz w:val="21"/>
          <w:szCs w:val="21"/>
          <w:lang w:val="es-CO"/>
        </w:rPr>
        <w:t>4</w:t>
      </w:r>
    </w:p>
    <w:p w14:paraId="11D69DB2" w14:textId="259421FC" w:rsidR="00EA165E" w:rsidRPr="006B25F2" w:rsidRDefault="00EA165E" w:rsidP="006B25F2">
      <w:pPr>
        <w:autoSpaceDE w:val="0"/>
        <w:autoSpaceDN w:val="0"/>
        <w:spacing w:line="252" w:lineRule="auto"/>
        <w:jc w:val="both"/>
        <w:rPr>
          <w:rFonts w:ascii="Verdana" w:eastAsia="Calibri" w:hAnsi="Verdana" w:cs="Arial"/>
          <w:b/>
          <w:bCs/>
          <w:sz w:val="21"/>
          <w:szCs w:val="21"/>
        </w:rPr>
      </w:pPr>
    </w:p>
    <w:sectPr w:rsidR="00EA165E" w:rsidRPr="006B25F2" w:rsidSect="00504876">
      <w:headerReference w:type="default" r:id="rId18"/>
      <w:footerReference w:type="default" r:id="rId19"/>
      <w:headerReference w:type="first" r:id="rId20"/>
      <w:footerReference w:type="first" r:id="rId21"/>
      <w:type w:val="continuous"/>
      <w:pgSz w:w="12240" w:h="15840" w:code="127"/>
      <w:pgMar w:top="1985" w:right="1134" w:bottom="1985" w:left="1701" w:header="284"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3EF7FC" w14:textId="77777777" w:rsidR="00AF4A91" w:rsidRDefault="00AF4A91" w:rsidP="00F71345">
      <w:r>
        <w:separator/>
      </w:r>
    </w:p>
  </w:endnote>
  <w:endnote w:type="continuationSeparator" w:id="0">
    <w:p w14:paraId="39B56368" w14:textId="77777777" w:rsidR="00AF4A91" w:rsidRDefault="00AF4A91" w:rsidP="00F713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ヒラギノ角ゴ Pro W3">
    <w:charset w:val="80"/>
    <w:family w:val="auto"/>
    <w:pitch w:val="variable"/>
    <w:sig w:usb0="00000001" w:usb1="08070000" w:usb2="00000010" w:usb3="00000000" w:csb0="00020000" w:csb1="00000000"/>
  </w:font>
  <w:font w:name="Z@R4B.tmp">
    <w:altName w:val="Calibri"/>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3C4C7" w14:textId="3198A9FB" w:rsidR="002E1B85" w:rsidRPr="002E1B85" w:rsidRDefault="002E1B85" w:rsidP="002E1B85">
    <w:pPr>
      <w:pStyle w:val="Piedepgina"/>
      <w:rPr>
        <w:rFonts w:ascii="Arial" w:hAnsi="Arial" w:cs="Arial"/>
        <w:bCs/>
        <w:sz w:val="20"/>
        <w:szCs w:val="20"/>
      </w:rPr>
    </w:pPr>
    <w:r w:rsidRPr="002E1B85">
      <w:rPr>
        <w:rFonts w:ascii="Arial" w:hAnsi="Arial" w:cs="Arial"/>
        <w:bCs/>
        <w:sz w:val="20"/>
        <w:szCs w:val="20"/>
      </w:rPr>
      <w:t>MINISTERIO DE HACIENDA Y CREDITO PÚBLICO - FONPET</w:t>
    </w:r>
  </w:p>
  <w:p w14:paraId="78D6A2E5" w14:textId="29E7A2AB" w:rsidR="002E1B85" w:rsidRPr="002E1B85" w:rsidRDefault="002E1B85" w:rsidP="002E1B85">
    <w:pPr>
      <w:pStyle w:val="Piedepgina"/>
      <w:rPr>
        <w:rFonts w:ascii="Arial" w:hAnsi="Arial" w:cs="Arial"/>
        <w:bCs/>
        <w:sz w:val="20"/>
        <w:szCs w:val="20"/>
      </w:rPr>
    </w:pPr>
    <w:r w:rsidRPr="002E1B85">
      <w:rPr>
        <w:rFonts w:ascii="Arial" w:hAnsi="Arial" w:cs="Arial"/>
        <w:bCs/>
        <w:sz w:val="20"/>
        <w:szCs w:val="20"/>
      </w:rPr>
      <w:t>Conmutador (57) 601 3811700</w:t>
    </w:r>
    <w:r w:rsidRPr="002E1B85">
      <w:rPr>
        <w:rFonts w:ascii="Arial" w:hAnsi="Arial" w:cs="Arial"/>
        <w:bCs/>
        <w:sz w:val="20"/>
        <w:szCs w:val="20"/>
      </w:rPr>
      <w:br/>
      <w:t xml:space="preserve">Carrera 8 No. 6 C 38 - Código Postal 111711 </w:t>
    </w:r>
    <w:r w:rsidRPr="002E1B85">
      <w:rPr>
        <w:rFonts w:ascii="Arial" w:hAnsi="Arial" w:cs="Arial"/>
        <w:bCs/>
        <w:sz w:val="20"/>
        <w:szCs w:val="20"/>
      </w:rPr>
      <w:br/>
      <w:t xml:space="preserve">Bogotá D.C. Colombia </w:t>
    </w:r>
    <w:r w:rsidRPr="002E1B85">
      <w:rPr>
        <w:rFonts w:ascii="Arial" w:hAnsi="Arial" w:cs="Arial"/>
        <w:bCs/>
        <w:sz w:val="20"/>
        <w:szCs w:val="20"/>
      </w:rPr>
      <w:br/>
    </w:r>
    <w:hyperlink r:id="rId1" w:history="1">
      <w:r w:rsidRPr="002E1B85">
        <w:rPr>
          <w:rStyle w:val="Hipervnculo"/>
          <w:rFonts w:ascii="Arial" w:hAnsi="Arial" w:cs="Arial"/>
          <w:bCs/>
          <w:sz w:val="20"/>
          <w:szCs w:val="20"/>
        </w:rPr>
        <w:t>www.minhacienda.gov.co</w:t>
      </w:r>
    </w:hyperlink>
    <w:r w:rsidRPr="002E1B85">
      <w:rPr>
        <w:rFonts w:ascii="Arial" w:hAnsi="Arial" w:cs="Arial"/>
        <w:bCs/>
        <w:sz w:val="20"/>
        <w:szCs w:val="20"/>
      </w:rPr>
      <w:t xml:space="preserve"> </w:t>
    </w:r>
  </w:p>
  <w:p w14:paraId="54CAA5F5" w14:textId="7D2F2DCF" w:rsidR="00C84B84" w:rsidRPr="00B43E0B" w:rsidRDefault="00C84B84" w:rsidP="004F2F9F">
    <w:pPr>
      <w:pStyle w:val="Piedepgina"/>
      <w:rPr>
        <w:rFonts w:ascii="Arial" w:hAnsi="Arial" w:cs="Arial"/>
        <w:b/>
        <w:sz w:val="20"/>
        <w:szCs w:val="20"/>
      </w:rPr>
    </w:pPr>
  </w:p>
  <w:p w14:paraId="54CAA5F6" w14:textId="77777777" w:rsidR="000537A1" w:rsidRPr="00085D89" w:rsidRDefault="000537A1" w:rsidP="00085D89">
    <w:pPr>
      <w:pStyle w:val="Piedepgina"/>
      <w:rPr>
        <w:lang w:val="es-E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F8" w14:textId="271FAF7C" w:rsidR="00B43E0B" w:rsidRDefault="00B80638" w:rsidP="00CC64EF">
    <w:pPr>
      <w:pStyle w:val="Piedepgina"/>
      <w:tabs>
        <w:tab w:val="clear" w:pos="4419"/>
        <w:tab w:val="clear" w:pos="8838"/>
        <w:tab w:val="left" w:pos="5865"/>
      </w:tabs>
    </w:pPr>
    <w:r>
      <w:rPr>
        <w:noProof/>
      </w:rPr>
      <w:drawing>
        <wp:anchor distT="0" distB="0" distL="114300" distR="114300" simplePos="0" relativeHeight="251683840" behindDoc="0" locked="0" layoutInCell="1" allowOverlap="1" wp14:anchorId="059BEF02" wp14:editId="4DE238A7">
          <wp:simplePos x="0" y="0"/>
          <wp:positionH relativeFrom="margin">
            <wp:posOffset>-9525</wp:posOffset>
          </wp:positionH>
          <wp:positionV relativeFrom="paragraph">
            <wp:posOffset>-800100</wp:posOffset>
          </wp:positionV>
          <wp:extent cx="3150870" cy="869950"/>
          <wp:effectExtent l="0" t="0" r="0" b="6350"/>
          <wp:wrapSquare wrapText="bothSides"/>
          <wp:docPr id="7" name="Imagen 7"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nterfaz de usuario gráfica, Texto, Aplicación, Correo electrónico&#10;&#10;Descripción generada automáticamente"/>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3150870" cy="869950"/>
                  </a:xfrm>
                  <a:prstGeom prst="rect">
                    <a:avLst/>
                  </a:prstGeom>
                  <a:noFill/>
                  <a:ln>
                    <a:noFill/>
                  </a:ln>
                </pic:spPr>
              </pic:pic>
            </a:graphicData>
          </a:graphic>
        </wp:anchor>
      </w:drawing>
    </w:r>
    <w:r w:rsidR="00CC64EF">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29CDB6" w14:textId="77777777" w:rsidR="00AF4A91" w:rsidRDefault="00AF4A91" w:rsidP="00F71345">
      <w:r>
        <w:separator/>
      </w:r>
    </w:p>
  </w:footnote>
  <w:footnote w:type="continuationSeparator" w:id="0">
    <w:p w14:paraId="1D6388CF" w14:textId="77777777" w:rsidR="00AF4A91" w:rsidRDefault="00AF4A91" w:rsidP="00F713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EE" w14:textId="34FAFB91" w:rsidR="00EB6D1E" w:rsidRDefault="00EB6D1E" w:rsidP="00F14025">
    <w:pPr>
      <w:pStyle w:val="Encabezado"/>
      <w:jc w:val="both"/>
      <w:rPr>
        <w:rFonts w:ascii="Arial" w:hAnsi="Arial" w:cs="Arial"/>
        <w:sz w:val="16"/>
        <w:szCs w:val="16"/>
      </w:rPr>
    </w:pPr>
  </w:p>
  <w:p w14:paraId="54CAA5EF" w14:textId="1B91ADF0" w:rsidR="00EB6D1E" w:rsidRDefault="00FC0182" w:rsidP="00F14025">
    <w:pPr>
      <w:pStyle w:val="Encabezado"/>
      <w:jc w:val="both"/>
      <w:rPr>
        <w:rFonts w:ascii="Arial" w:hAnsi="Arial" w:cs="Arial"/>
        <w:sz w:val="16"/>
        <w:szCs w:val="16"/>
      </w:rPr>
    </w:pPr>
    <w:r w:rsidRPr="002C0036">
      <w:rPr>
        <w:noProof/>
      </w:rPr>
      <w:drawing>
        <wp:anchor distT="0" distB="0" distL="114300" distR="114300" simplePos="0" relativeHeight="251689984" behindDoc="0" locked="0" layoutInCell="1" allowOverlap="1" wp14:anchorId="1D9285D8" wp14:editId="55E49A46">
          <wp:simplePos x="0" y="0"/>
          <wp:positionH relativeFrom="column">
            <wp:posOffset>2453640</wp:posOffset>
          </wp:positionH>
          <wp:positionV relativeFrom="paragraph">
            <wp:posOffset>36195</wp:posOffset>
          </wp:positionV>
          <wp:extent cx="988060" cy="741045"/>
          <wp:effectExtent l="0" t="0" r="2540" b="1905"/>
          <wp:wrapSquare wrapText="bothSides"/>
          <wp:docPr id="1879746724" name="Picture 2" descr="Logotipo&#10;&#10;Descripción generada automáticamente">
            <a:extLst xmlns:a="http://schemas.openxmlformats.org/drawingml/2006/main">
              <a:ext uri="{FF2B5EF4-FFF2-40B4-BE49-F238E27FC236}">
                <a16:creationId xmlns:a16="http://schemas.microsoft.com/office/drawing/2014/main" id="{80767FBE-E212-5896-B344-6C962EF025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746724" name="Picture 2" descr="Logotipo&#10;&#10;Descripción generada automáticamente">
                    <a:extLst>
                      <a:ext uri="{FF2B5EF4-FFF2-40B4-BE49-F238E27FC236}">
                        <a16:creationId xmlns:a16="http://schemas.microsoft.com/office/drawing/2014/main" id="{80767FBE-E212-5896-B344-6C962EF0252A}"/>
                      </a:ext>
                    </a:extLst>
                  </pic:cNvPr>
                  <pic:cNvPicPr>
                    <a:picLocks noChangeAspect="1" noChangeArrowheads="1"/>
                  </pic:cNvPicPr>
                </pic:nvPicPr>
                <pic:blipFill rotWithShape="1">
                  <a:blip r:link="rId1">
                    <a:extLst>
                      <a:ext uri="{28A0092B-C50C-407E-A947-70E740481C1C}">
                        <a14:useLocalDpi xmlns:a14="http://schemas.microsoft.com/office/drawing/2010/main" val="0"/>
                      </a:ext>
                    </a:extLst>
                  </a:blip>
                  <a:srcRect l="21494" t="21814" r="24353" b="11458"/>
                  <a:stretch>
                    <a:fillRect/>
                  </a:stretch>
                </pic:blipFill>
                <pic:spPr bwMode="auto">
                  <a:xfrm>
                    <a:off x="0" y="0"/>
                    <a:ext cx="988060" cy="741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14:paraId="54CAA5F0" w14:textId="77777777" w:rsidR="00B43E0B" w:rsidRDefault="004F2F9F" w:rsidP="004F2F9F">
    <w:pPr>
      <w:pStyle w:val="Encabezado"/>
      <w:tabs>
        <w:tab w:val="clear" w:pos="4419"/>
        <w:tab w:val="clear" w:pos="8838"/>
        <w:tab w:val="left" w:pos="1831"/>
      </w:tabs>
      <w:ind w:firstLine="708"/>
      <w:jc w:val="both"/>
      <w:rPr>
        <w:rFonts w:ascii="Arial" w:hAnsi="Arial" w:cs="Arial"/>
        <w:sz w:val="16"/>
        <w:szCs w:val="16"/>
      </w:rPr>
    </w:pPr>
    <w:r>
      <w:rPr>
        <w:rFonts w:ascii="Arial" w:hAnsi="Arial" w:cs="Arial"/>
        <w:sz w:val="16"/>
        <w:szCs w:val="16"/>
      </w:rPr>
      <w:tab/>
    </w:r>
  </w:p>
  <w:p w14:paraId="54CAA5F1" w14:textId="77777777" w:rsidR="004D7827" w:rsidRDefault="0033617A" w:rsidP="0033617A">
    <w:pPr>
      <w:pStyle w:val="Encabezado"/>
      <w:tabs>
        <w:tab w:val="clear" w:pos="4419"/>
        <w:tab w:val="clear" w:pos="8838"/>
        <w:tab w:val="left" w:pos="5715"/>
      </w:tabs>
      <w:jc w:val="both"/>
      <w:rPr>
        <w:rFonts w:ascii="Arial" w:hAnsi="Arial" w:cs="Arial"/>
        <w:sz w:val="16"/>
        <w:szCs w:val="16"/>
      </w:rPr>
    </w:pPr>
    <w:r>
      <w:rPr>
        <w:rFonts w:ascii="Arial" w:hAnsi="Arial" w:cs="Arial"/>
        <w:sz w:val="16"/>
        <w:szCs w:val="16"/>
      </w:rPr>
      <w:tab/>
    </w:r>
  </w:p>
  <w:p w14:paraId="54CAA5F2" w14:textId="77777777" w:rsidR="004D7827" w:rsidRDefault="004D7827" w:rsidP="00EB6D1E">
    <w:pPr>
      <w:pStyle w:val="Encabezado"/>
      <w:rPr>
        <w:rFonts w:ascii="Arial" w:hAnsi="Arial" w:cs="Arial"/>
        <w:sz w:val="16"/>
        <w:szCs w:val="16"/>
      </w:rPr>
    </w:pPr>
  </w:p>
  <w:p w14:paraId="54CAA5F3" w14:textId="77777777" w:rsidR="004D7827" w:rsidRDefault="00085D89" w:rsidP="00085D89">
    <w:pPr>
      <w:pStyle w:val="Encabezado"/>
      <w:tabs>
        <w:tab w:val="clear" w:pos="4419"/>
        <w:tab w:val="clear" w:pos="8838"/>
        <w:tab w:val="left" w:pos="1335"/>
      </w:tabs>
      <w:jc w:val="both"/>
      <w:rPr>
        <w:rFonts w:ascii="Arial" w:hAnsi="Arial" w:cs="Arial"/>
        <w:sz w:val="16"/>
        <w:szCs w:val="16"/>
      </w:rPr>
    </w:pPr>
    <w:r>
      <w:rPr>
        <w:rFonts w:ascii="Arial" w:hAnsi="Arial" w:cs="Arial"/>
        <w:sz w:val="16"/>
        <w:szCs w:val="16"/>
      </w:rPr>
      <w:tab/>
    </w:r>
  </w:p>
  <w:p w14:paraId="726C35AE" w14:textId="77777777" w:rsidR="00FC0182" w:rsidRDefault="00FC0182" w:rsidP="00291100">
    <w:pPr>
      <w:pStyle w:val="Encabezado"/>
      <w:jc w:val="both"/>
      <w:rPr>
        <w:rFonts w:ascii="Arial" w:hAnsi="Arial" w:cs="Arial"/>
        <w:sz w:val="16"/>
        <w:szCs w:val="16"/>
      </w:rPr>
    </w:pPr>
    <w:bookmarkStart w:id="5" w:name="_Hlk502904560"/>
  </w:p>
  <w:p w14:paraId="1CEB4A30" w14:textId="77777777" w:rsidR="00FC0182" w:rsidRDefault="00FC0182" w:rsidP="00291100">
    <w:pPr>
      <w:pStyle w:val="Encabezado"/>
      <w:jc w:val="both"/>
      <w:rPr>
        <w:rFonts w:ascii="Arial" w:hAnsi="Arial" w:cs="Arial"/>
        <w:sz w:val="16"/>
        <w:szCs w:val="16"/>
      </w:rPr>
    </w:pPr>
  </w:p>
  <w:p w14:paraId="2CE22171" w14:textId="77777777" w:rsidR="00FC0182" w:rsidRDefault="00FC0182" w:rsidP="00291100">
    <w:pPr>
      <w:pStyle w:val="Encabezado"/>
      <w:jc w:val="both"/>
      <w:rPr>
        <w:rFonts w:ascii="Arial" w:hAnsi="Arial" w:cs="Arial"/>
        <w:sz w:val="16"/>
        <w:szCs w:val="16"/>
      </w:rPr>
    </w:pPr>
  </w:p>
  <w:p w14:paraId="54CAA5F4" w14:textId="1B7ADDC9" w:rsidR="00A01258" w:rsidRDefault="00F14025" w:rsidP="00291100">
    <w:pPr>
      <w:pStyle w:val="Encabezado"/>
      <w:jc w:val="both"/>
      <w:rPr>
        <w:rStyle w:val="Nmerodepgina"/>
        <w:rFonts w:ascii="Arial" w:hAnsi="Arial" w:cs="Arial"/>
        <w:sz w:val="16"/>
        <w:szCs w:val="16"/>
      </w:rPr>
    </w:pPr>
    <w:r>
      <w:rPr>
        <w:rFonts w:ascii="Arial" w:hAnsi="Arial" w:cs="Arial"/>
        <w:sz w:val="16"/>
        <w:szCs w:val="16"/>
      </w:rPr>
      <w:tab/>
    </w:r>
    <w:r>
      <w:rPr>
        <w:rFonts w:ascii="Arial" w:hAnsi="Arial" w:cs="Arial"/>
        <w:sz w:val="16"/>
        <w:szCs w:val="16"/>
      </w:rPr>
      <w:tab/>
    </w:r>
    <w:r w:rsidRPr="00F01F75">
      <w:rPr>
        <w:rFonts w:ascii="Arial" w:hAnsi="Arial" w:cs="Arial"/>
        <w:sz w:val="16"/>
        <w:szCs w:val="16"/>
      </w:rPr>
      <w:t xml:space="preserve">Página </w:t>
    </w:r>
    <w:r w:rsidRPr="00F01F75">
      <w:rPr>
        <w:rStyle w:val="Nmerodepgina"/>
        <w:rFonts w:ascii="Arial" w:hAnsi="Arial" w:cs="Arial"/>
        <w:sz w:val="16"/>
        <w:szCs w:val="16"/>
      </w:rPr>
      <w:fldChar w:fldCharType="begin"/>
    </w:r>
    <w:r w:rsidRPr="00F01F75">
      <w:rPr>
        <w:rStyle w:val="Nmerodepgina"/>
        <w:rFonts w:ascii="Arial" w:hAnsi="Arial" w:cs="Arial"/>
        <w:sz w:val="16"/>
        <w:szCs w:val="16"/>
      </w:rPr>
      <w:instrText xml:space="preserve"> PAGE </w:instrText>
    </w:r>
    <w:r w:rsidRPr="00F01F75">
      <w:rPr>
        <w:rStyle w:val="Nmerodepgina"/>
        <w:rFonts w:ascii="Arial" w:hAnsi="Arial" w:cs="Arial"/>
        <w:sz w:val="16"/>
        <w:szCs w:val="16"/>
      </w:rPr>
      <w:fldChar w:fldCharType="separate"/>
    </w:r>
    <w:r w:rsidR="00FA2EF7">
      <w:rPr>
        <w:rStyle w:val="Nmerodepgina"/>
        <w:rFonts w:ascii="Arial" w:hAnsi="Arial" w:cs="Arial"/>
        <w:noProof/>
        <w:sz w:val="16"/>
        <w:szCs w:val="16"/>
      </w:rPr>
      <w:t>5</w:t>
    </w:r>
    <w:r w:rsidRPr="00F01F75">
      <w:rPr>
        <w:rStyle w:val="Nmerodepgina"/>
        <w:rFonts w:ascii="Arial" w:hAnsi="Arial" w:cs="Arial"/>
        <w:sz w:val="16"/>
        <w:szCs w:val="16"/>
      </w:rPr>
      <w:fldChar w:fldCharType="end"/>
    </w:r>
    <w:r w:rsidRPr="00F01F75">
      <w:rPr>
        <w:rStyle w:val="Nmerodepgina"/>
        <w:rFonts w:ascii="Arial" w:hAnsi="Arial" w:cs="Arial"/>
        <w:sz w:val="16"/>
        <w:szCs w:val="16"/>
      </w:rPr>
      <w:t xml:space="preserve"> de </w:t>
    </w:r>
    <w:r w:rsidRPr="00F01F75">
      <w:rPr>
        <w:rStyle w:val="Nmerodepgina"/>
        <w:rFonts w:ascii="Arial" w:hAnsi="Arial" w:cs="Arial"/>
        <w:sz w:val="16"/>
        <w:szCs w:val="16"/>
      </w:rPr>
      <w:fldChar w:fldCharType="begin"/>
    </w:r>
    <w:r w:rsidRPr="00F01F75">
      <w:rPr>
        <w:rStyle w:val="Nmerodepgina"/>
        <w:rFonts w:ascii="Arial" w:hAnsi="Arial" w:cs="Arial"/>
        <w:sz w:val="16"/>
        <w:szCs w:val="16"/>
      </w:rPr>
      <w:instrText xml:space="preserve"> NUMPAGES </w:instrText>
    </w:r>
    <w:r w:rsidRPr="00F01F75">
      <w:rPr>
        <w:rStyle w:val="Nmerodepgina"/>
        <w:rFonts w:ascii="Arial" w:hAnsi="Arial" w:cs="Arial"/>
        <w:sz w:val="16"/>
        <w:szCs w:val="16"/>
      </w:rPr>
      <w:fldChar w:fldCharType="separate"/>
    </w:r>
    <w:r w:rsidR="00FA2EF7">
      <w:rPr>
        <w:rStyle w:val="Nmerodepgina"/>
        <w:rFonts w:ascii="Arial" w:hAnsi="Arial" w:cs="Arial"/>
        <w:noProof/>
        <w:sz w:val="16"/>
        <w:szCs w:val="16"/>
      </w:rPr>
      <w:t>9</w:t>
    </w:r>
    <w:r w:rsidRPr="00F01F75">
      <w:rPr>
        <w:rStyle w:val="Nmerodepgina"/>
        <w:rFonts w:ascii="Arial" w:hAnsi="Arial" w:cs="Arial"/>
        <w:sz w:val="16"/>
        <w:szCs w:val="16"/>
      </w:rPr>
      <w:fldChar w:fldCharType="end"/>
    </w:r>
    <w:bookmarkEnd w:id="5"/>
  </w:p>
  <w:p w14:paraId="7CE46300" w14:textId="77777777" w:rsidR="00FC0182" w:rsidRPr="00291100" w:rsidRDefault="00FC0182" w:rsidP="00291100">
    <w:pPr>
      <w:pStyle w:val="Encabezado"/>
      <w:jc w:val="both"/>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F7" w14:textId="478ECDCD" w:rsidR="00A86E09" w:rsidRDefault="002E6F59" w:rsidP="00B43E0B">
    <w:pPr>
      <w:pStyle w:val="Encabezado"/>
      <w:tabs>
        <w:tab w:val="clear" w:pos="4419"/>
        <w:tab w:val="clear" w:pos="8838"/>
        <w:tab w:val="left" w:pos="5970"/>
      </w:tabs>
    </w:pPr>
    <w:r w:rsidRPr="002C0036">
      <w:rPr>
        <w:noProof/>
      </w:rPr>
      <w:drawing>
        <wp:anchor distT="0" distB="0" distL="114300" distR="114300" simplePos="0" relativeHeight="251688960" behindDoc="0" locked="0" layoutInCell="1" allowOverlap="1" wp14:anchorId="4D7619FA" wp14:editId="699CAF75">
          <wp:simplePos x="0" y="0"/>
          <wp:positionH relativeFrom="column">
            <wp:posOffset>2482215</wp:posOffset>
          </wp:positionH>
          <wp:positionV relativeFrom="paragraph">
            <wp:posOffset>191135</wp:posOffset>
          </wp:positionV>
          <wp:extent cx="988060" cy="741045"/>
          <wp:effectExtent l="0" t="0" r="2540" b="1905"/>
          <wp:wrapSquare wrapText="bothSides"/>
          <wp:docPr id="4" name="Picture 2">
            <a:extLst xmlns:a="http://schemas.openxmlformats.org/drawingml/2006/main">
              <a:ext uri="{FF2B5EF4-FFF2-40B4-BE49-F238E27FC236}">
                <a16:creationId xmlns:a16="http://schemas.microsoft.com/office/drawing/2014/main" id="{80767FBE-E212-5896-B344-6C962EF025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a:extLst>
                      <a:ext uri="{FF2B5EF4-FFF2-40B4-BE49-F238E27FC236}">
                        <a16:creationId xmlns:a16="http://schemas.microsoft.com/office/drawing/2014/main" id="{80767FBE-E212-5896-B344-6C962EF0252A}"/>
                      </a:ext>
                    </a:extLst>
                  </pic:cNvPr>
                  <pic:cNvPicPr>
                    <a:picLocks noChangeAspect="1" noChangeArrowheads="1"/>
                  </pic:cNvPicPr>
                </pic:nvPicPr>
                <pic:blipFill rotWithShape="1">
                  <a:blip r:link="rId1">
                    <a:extLst>
                      <a:ext uri="{28A0092B-C50C-407E-A947-70E740481C1C}">
                        <a14:useLocalDpi xmlns:a14="http://schemas.microsoft.com/office/drawing/2010/main" val="0"/>
                      </a:ext>
                    </a:extLst>
                  </a:blip>
                  <a:srcRect l="21494" t="21814" r="24353" b="11458"/>
                  <a:stretch>
                    <a:fillRect/>
                  </a:stretch>
                </pic:blipFill>
                <pic:spPr bwMode="auto">
                  <a:xfrm>
                    <a:off x="0" y="0"/>
                    <a:ext cx="988060" cy="741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r w:rsidR="00B43E0B">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3B019B"/>
    <w:multiLevelType w:val="hybridMultilevel"/>
    <w:tmpl w:val="1FBA6A5A"/>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270402C4"/>
    <w:multiLevelType w:val="multilevel"/>
    <w:tmpl w:val="329E6754"/>
    <w:lvl w:ilvl="0">
      <w:start w:val="1"/>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29C22004"/>
    <w:multiLevelType w:val="hybridMultilevel"/>
    <w:tmpl w:val="C1E02CB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2A2766CA"/>
    <w:multiLevelType w:val="hybridMultilevel"/>
    <w:tmpl w:val="36F60DF4"/>
    <w:lvl w:ilvl="0" w:tplc="240A0001">
      <w:start w:val="1"/>
      <w:numFmt w:val="bullet"/>
      <w:lvlText w:val=""/>
      <w:lvlJc w:val="left"/>
      <w:pPr>
        <w:ind w:left="1004" w:hanging="360"/>
      </w:pPr>
      <w:rPr>
        <w:rFonts w:ascii="Symbol" w:hAnsi="Symbol"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4" w15:restartNumberingAfterBreak="0">
    <w:nsid w:val="2D3879CB"/>
    <w:multiLevelType w:val="hybridMultilevel"/>
    <w:tmpl w:val="3C16A0C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32412CA9"/>
    <w:multiLevelType w:val="hybridMultilevel"/>
    <w:tmpl w:val="1C3C84D2"/>
    <w:lvl w:ilvl="0" w:tplc="C344BDF6">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5A900B7B"/>
    <w:multiLevelType w:val="hybridMultilevel"/>
    <w:tmpl w:val="2E90A8D4"/>
    <w:lvl w:ilvl="0" w:tplc="240A0001">
      <w:start w:val="1"/>
      <w:numFmt w:val="bullet"/>
      <w:lvlText w:val=""/>
      <w:lvlJc w:val="left"/>
      <w:pPr>
        <w:ind w:left="1068" w:hanging="360"/>
      </w:pPr>
      <w:rPr>
        <w:rFonts w:ascii="Symbol" w:hAnsi="Symbol" w:hint="default"/>
      </w:rPr>
    </w:lvl>
    <w:lvl w:ilvl="1" w:tplc="240A0003">
      <w:start w:val="1"/>
      <w:numFmt w:val="bullet"/>
      <w:lvlText w:val="o"/>
      <w:lvlJc w:val="left"/>
      <w:pPr>
        <w:ind w:left="1788" w:hanging="360"/>
      </w:pPr>
      <w:rPr>
        <w:rFonts w:ascii="Courier New" w:hAnsi="Courier New" w:cs="Courier New" w:hint="default"/>
      </w:rPr>
    </w:lvl>
    <w:lvl w:ilvl="2" w:tplc="240A0005">
      <w:start w:val="1"/>
      <w:numFmt w:val="bullet"/>
      <w:lvlText w:val=""/>
      <w:lvlJc w:val="left"/>
      <w:pPr>
        <w:ind w:left="2508" w:hanging="360"/>
      </w:pPr>
      <w:rPr>
        <w:rFonts w:ascii="Wingdings" w:hAnsi="Wingdings" w:hint="default"/>
      </w:rPr>
    </w:lvl>
    <w:lvl w:ilvl="3" w:tplc="240A0001">
      <w:start w:val="1"/>
      <w:numFmt w:val="bullet"/>
      <w:lvlText w:val=""/>
      <w:lvlJc w:val="left"/>
      <w:pPr>
        <w:ind w:left="3228" w:hanging="360"/>
      </w:pPr>
      <w:rPr>
        <w:rFonts w:ascii="Symbol" w:hAnsi="Symbol" w:hint="default"/>
      </w:rPr>
    </w:lvl>
    <w:lvl w:ilvl="4" w:tplc="240A0003">
      <w:start w:val="1"/>
      <w:numFmt w:val="bullet"/>
      <w:lvlText w:val="o"/>
      <w:lvlJc w:val="left"/>
      <w:pPr>
        <w:ind w:left="3948" w:hanging="360"/>
      </w:pPr>
      <w:rPr>
        <w:rFonts w:ascii="Courier New" w:hAnsi="Courier New" w:cs="Courier New" w:hint="default"/>
      </w:rPr>
    </w:lvl>
    <w:lvl w:ilvl="5" w:tplc="240A0005">
      <w:start w:val="1"/>
      <w:numFmt w:val="bullet"/>
      <w:lvlText w:val=""/>
      <w:lvlJc w:val="left"/>
      <w:pPr>
        <w:ind w:left="4668" w:hanging="360"/>
      </w:pPr>
      <w:rPr>
        <w:rFonts w:ascii="Wingdings" w:hAnsi="Wingdings" w:hint="default"/>
      </w:rPr>
    </w:lvl>
    <w:lvl w:ilvl="6" w:tplc="240A0001">
      <w:start w:val="1"/>
      <w:numFmt w:val="bullet"/>
      <w:lvlText w:val=""/>
      <w:lvlJc w:val="left"/>
      <w:pPr>
        <w:ind w:left="5388" w:hanging="360"/>
      </w:pPr>
      <w:rPr>
        <w:rFonts w:ascii="Symbol" w:hAnsi="Symbol" w:hint="default"/>
      </w:rPr>
    </w:lvl>
    <w:lvl w:ilvl="7" w:tplc="240A0003">
      <w:start w:val="1"/>
      <w:numFmt w:val="bullet"/>
      <w:lvlText w:val="o"/>
      <w:lvlJc w:val="left"/>
      <w:pPr>
        <w:ind w:left="6108" w:hanging="360"/>
      </w:pPr>
      <w:rPr>
        <w:rFonts w:ascii="Courier New" w:hAnsi="Courier New" w:cs="Courier New" w:hint="default"/>
      </w:rPr>
    </w:lvl>
    <w:lvl w:ilvl="8" w:tplc="240A0005">
      <w:start w:val="1"/>
      <w:numFmt w:val="bullet"/>
      <w:lvlText w:val=""/>
      <w:lvlJc w:val="left"/>
      <w:pPr>
        <w:ind w:left="6828" w:hanging="360"/>
      </w:pPr>
      <w:rPr>
        <w:rFonts w:ascii="Wingdings" w:hAnsi="Wingdings" w:hint="default"/>
      </w:rPr>
    </w:lvl>
  </w:abstractNum>
  <w:abstractNum w:abstractNumId="7" w15:restartNumberingAfterBreak="0">
    <w:nsid w:val="5ED5497D"/>
    <w:multiLevelType w:val="multilevel"/>
    <w:tmpl w:val="E7BA5D8E"/>
    <w:lvl w:ilvl="0">
      <w:start w:val="1"/>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 w15:restartNumberingAfterBreak="0">
    <w:nsid w:val="72EB78AC"/>
    <w:multiLevelType w:val="hybridMultilevel"/>
    <w:tmpl w:val="D38E92A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7A240663"/>
    <w:multiLevelType w:val="hybridMultilevel"/>
    <w:tmpl w:val="5A36552A"/>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7E5314DB"/>
    <w:multiLevelType w:val="hybridMultilevel"/>
    <w:tmpl w:val="AB5ECF82"/>
    <w:lvl w:ilvl="0" w:tplc="240A0019">
      <w:start w:val="1"/>
      <w:numFmt w:val="lowerLetter"/>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00682463">
    <w:abstractNumId w:val="8"/>
  </w:num>
  <w:num w:numId="2" w16cid:durableId="28489306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743673048">
    <w:abstractNumId w:val="10"/>
  </w:num>
  <w:num w:numId="4" w16cid:durableId="176189707">
    <w:abstractNumId w:val="2"/>
  </w:num>
  <w:num w:numId="5" w16cid:durableId="581379778">
    <w:abstractNumId w:val="4"/>
  </w:num>
  <w:num w:numId="6" w16cid:durableId="955410264">
    <w:abstractNumId w:val="9"/>
  </w:num>
  <w:num w:numId="7" w16cid:durableId="2131436980">
    <w:abstractNumId w:val="0"/>
  </w:num>
  <w:num w:numId="8" w16cid:durableId="863638881">
    <w:abstractNumId w:val="5"/>
  </w:num>
  <w:num w:numId="9" w16cid:durableId="1724672367">
    <w:abstractNumId w:val="3"/>
  </w:num>
  <w:num w:numId="10" w16cid:durableId="367999099">
    <w:abstractNumId w:val="6"/>
  </w:num>
  <w:num w:numId="11" w16cid:durableId="125974999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534537207">
    <w:abstractNumId w:val="7"/>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grammar="clean"/>
  <w:documentProtection w:edit="readOnly" w:enforcement="0"/>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1345"/>
    <w:rsid w:val="0000124C"/>
    <w:rsid w:val="000018C2"/>
    <w:rsid w:val="000038F3"/>
    <w:rsid w:val="00003A2E"/>
    <w:rsid w:val="00004C41"/>
    <w:rsid w:val="00004CBD"/>
    <w:rsid w:val="000072DE"/>
    <w:rsid w:val="000073B0"/>
    <w:rsid w:val="00010924"/>
    <w:rsid w:val="00011409"/>
    <w:rsid w:val="0001196C"/>
    <w:rsid w:val="00011E3B"/>
    <w:rsid w:val="0001210B"/>
    <w:rsid w:val="00013EA2"/>
    <w:rsid w:val="000149C1"/>
    <w:rsid w:val="0001557F"/>
    <w:rsid w:val="00016253"/>
    <w:rsid w:val="00017DCF"/>
    <w:rsid w:val="00021457"/>
    <w:rsid w:val="00021C3A"/>
    <w:rsid w:val="00031181"/>
    <w:rsid w:val="00031721"/>
    <w:rsid w:val="00032AF9"/>
    <w:rsid w:val="00034E8C"/>
    <w:rsid w:val="0003511A"/>
    <w:rsid w:val="00036B95"/>
    <w:rsid w:val="00040A92"/>
    <w:rsid w:val="00050C18"/>
    <w:rsid w:val="000537A1"/>
    <w:rsid w:val="00055616"/>
    <w:rsid w:val="00056C80"/>
    <w:rsid w:val="00063853"/>
    <w:rsid w:val="00071191"/>
    <w:rsid w:val="000712D2"/>
    <w:rsid w:val="000716B9"/>
    <w:rsid w:val="0007293D"/>
    <w:rsid w:val="000729DA"/>
    <w:rsid w:val="00074969"/>
    <w:rsid w:val="0007597F"/>
    <w:rsid w:val="00076271"/>
    <w:rsid w:val="00076434"/>
    <w:rsid w:val="00076592"/>
    <w:rsid w:val="00076EDC"/>
    <w:rsid w:val="000804A6"/>
    <w:rsid w:val="00080AE7"/>
    <w:rsid w:val="0008159B"/>
    <w:rsid w:val="00081919"/>
    <w:rsid w:val="0008431A"/>
    <w:rsid w:val="00084A6B"/>
    <w:rsid w:val="00085D89"/>
    <w:rsid w:val="00086417"/>
    <w:rsid w:val="000877D1"/>
    <w:rsid w:val="00090678"/>
    <w:rsid w:val="00091B41"/>
    <w:rsid w:val="00093212"/>
    <w:rsid w:val="0009656B"/>
    <w:rsid w:val="00097BCF"/>
    <w:rsid w:val="000A17B8"/>
    <w:rsid w:val="000A510C"/>
    <w:rsid w:val="000A627A"/>
    <w:rsid w:val="000B196E"/>
    <w:rsid w:val="000B1DC5"/>
    <w:rsid w:val="000B30FE"/>
    <w:rsid w:val="000B3B37"/>
    <w:rsid w:val="000B48F2"/>
    <w:rsid w:val="000B57D3"/>
    <w:rsid w:val="000B5F75"/>
    <w:rsid w:val="000B76B6"/>
    <w:rsid w:val="000C0D49"/>
    <w:rsid w:val="000C47DA"/>
    <w:rsid w:val="000C47FF"/>
    <w:rsid w:val="000C7802"/>
    <w:rsid w:val="000C7832"/>
    <w:rsid w:val="000D1444"/>
    <w:rsid w:val="000D1FFD"/>
    <w:rsid w:val="000D2081"/>
    <w:rsid w:val="000D245B"/>
    <w:rsid w:val="000D3928"/>
    <w:rsid w:val="000D48D5"/>
    <w:rsid w:val="000D6B4C"/>
    <w:rsid w:val="000D6E1D"/>
    <w:rsid w:val="000E0096"/>
    <w:rsid w:val="000E3BB4"/>
    <w:rsid w:val="000E69F1"/>
    <w:rsid w:val="000F0867"/>
    <w:rsid w:val="000F31F8"/>
    <w:rsid w:val="000F4221"/>
    <w:rsid w:val="00100463"/>
    <w:rsid w:val="001021CC"/>
    <w:rsid w:val="00102D55"/>
    <w:rsid w:val="001037B4"/>
    <w:rsid w:val="00103A7C"/>
    <w:rsid w:val="00105953"/>
    <w:rsid w:val="001112BC"/>
    <w:rsid w:val="00111E4B"/>
    <w:rsid w:val="0011263A"/>
    <w:rsid w:val="00113DA0"/>
    <w:rsid w:val="00113FE4"/>
    <w:rsid w:val="001159EF"/>
    <w:rsid w:val="001160C8"/>
    <w:rsid w:val="001217A4"/>
    <w:rsid w:val="00121A3B"/>
    <w:rsid w:val="00123AC5"/>
    <w:rsid w:val="001253B4"/>
    <w:rsid w:val="001255D2"/>
    <w:rsid w:val="00125704"/>
    <w:rsid w:val="001276E6"/>
    <w:rsid w:val="00127B87"/>
    <w:rsid w:val="00130A47"/>
    <w:rsid w:val="0013472A"/>
    <w:rsid w:val="00135CB7"/>
    <w:rsid w:val="001372E6"/>
    <w:rsid w:val="00144CD2"/>
    <w:rsid w:val="001455FF"/>
    <w:rsid w:val="00145B6D"/>
    <w:rsid w:val="00150B96"/>
    <w:rsid w:val="001526A3"/>
    <w:rsid w:val="001526C4"/>
    <w:rsid w:val="0015304B"/>
    <w:rsid w:val="00153C65"/>
    <w:rsid w:val="00153D5C"/>
    <w:rsid w:val="00162830"/>
    <w:rsid w:val="001629AE"/>
    <w:rsid w:val="00163AF0"/>
    <w:rsid w:val="00163F29"/>
    <w:rsid w:val="001640C7"/>
    <w:rsid w:val="001646C1"/>
    <w:rsid w:val="001667D5"/>
    <w:rsid w:val="00172106"/>
    <w:rsid w:val="001801D9"/>
    <w:rsid w:val="001808AC"/>
    <w:rsid w:val="0018289D"/>
    <w:rsid w:val="00184C38"/>
    <w:rsid w:val="001909BC"/>
    <w:rsid w:val="00191A2A"/>
    <w:rsid w:val="0019290E"/>
    <w:rsid w:val="001A0AA0"/>
    <w:rsid w:val="001A0BFE"/>
    <w:rsid w:val="001A0E87"/>
    <w:rsid w:val="001A170B"/>
    <w:rsid w:val="001A37F9"/>
    <w:rsid w:val="001A71B0"/>
    <w:rsid w:val="001A7525"/>
    <w:rsid w:val="001A7D37"/>
    <w:rsid w:val="001B40D9"/>
    <w:rsid w:val="001B4BAB"/>
    <w:rsid w:val="001B4FC6"/>
    <w:rsid w:val="001C32CA"/>
    <w:rsid w:val="001C34C4"/>
    <w:rsid w:val="001C3517"/>
    <w:rsid w:val="001C4B20"/>
    <w:rsid w:val="001C5130"/>
    <w:rsid w:val="001C6148"/>
    <w:rsid w:val="001C7382"/>
    <w:rsid w:val="001D052F"/>
    <w:rsid w:val="001D2125"/>
    <w:rsid w:val="001D378B"/>
    <w:rsid w:val="001D3D03"/>
    <w:rsid w:val="001D489B"/>
    <w:rsid w:val="001D62AE"/>
    <w:rsid w:val="001D6DA7"/>
    <w:rsid w:val="001E1829"/>
    <w:rsid w:val="001E1850"/>
    <w:rsid w:val="001E409D"/>
    <w:rsid w:val="001E4865"/>
    <w:rsid w:val="001E4942"/>
    <w:rsid w:val="001E5B00"/>
    <w:rsid w:val="001E627A"/>
    <w:rsid w:val="001E650B"/>
    <w:rsid w:val="001F06E6"/>
    <w:rsid w:val="001F2AEC"/>
    <w:rsid w:val="001F31C4"/>
    <w:rsid w:val="001F3F0E"/>
    <w:rsid w:val="001F6C37"/>
    <w:rsid w:val="00202A99"/>
    <w:rsid w:val="002064BD"/>
    <w:rsid w:val="00207760"/>
    <w:rsid w:val="0021072E"/>
    <w:rsid w:val="00210EDD"/>
    <w:rsid w:val="00211AF4"/>
    <w:rsid w:val="002126CB"/>
    <w:rsid w:val="002129A0"/>
    <w:rsid w:val="00214A59"/>
    <w:rsid w:val="00214B99"/>
    <w:rsid w:val="00217E38"/>
    <w:rsid w:val="0022264A"/>
    <w:rsid w:val="002236C0"/>
    <w:rsid w:val="00224561"/>
    <w:rsid w:val="00225671"/>
    <w:rsid w:val="002327E4"/>
    <w:rsid w:val="00233B92"/>
    <w:rsid w:val="002364E6"/>
    <w:rsid w:val="002366CB"/>
    <w:rsid w:val="00236E90"/>
    <w:rsid w:val="00237054"/>
    <w:rsid w:val="00237C17"/>
    <w:rsid w:val="002409E0"/>
    <w:rsid w:val="0024145B"/>
    <w:rsid w:val="00241DF4"/>
    <w:rsid w:val="00242688"/>
    <w:rsid w:val="002440E7"/>
    <w:rsid w:val="00244CFF"/>
    <w:rsid w:val="00252E69"/>
    <w:rsid w:val="0025375E"/>
    <w:rsid w:val="002558F9"/>
    <w:rsid w:val="00255981"/>
    <w:rsid w:val="002578D1"/>
    <w:rsid w:val="00264FB9"/>
    <w:rsid w:val="00267D5F"/>
    <w:rsid w:val="00267EF2"/>
    <w:rsid w:val="0027084B"/>
    <w:rsid w:val="00270DAF"/>
    <w:rsid w:val="00271529"/>
    <w:rsid w:val="00275376"/>
    <w:rsid w:val="0027636C"/>
    <w:rsid w:val="0027786D"/>
    <w:rsid w:val="00277F25"/>
    <w:rsid w:val="00282CF4"/>
    <w:rsid w:val="0028324D"/>
    <w:rsid w:val="002836F2"/>
    <w:rsid w:val="002845D1"/>
    <w:rsid w:val="00286626"/>
    <w:rsid w:val="00286BDA"/>
    <w:rsid w:val="00290C95"/>
    <w:rsid w:val="00291100"/>
    <w:rsid w:val="0029207F"/>
    <w:rsid w:val="00295EB4"/>
    <w:rsid w:val="00297769"/>
    <w:rsid w:val="002A0192"/>
    <w:rsid w:val="002A3AD7"/>
    <w:rsid w:val="002A43E4"/>
    <w:rsid w:val="002A4D2E"/>
    <w:rsid w:val="002A5621"/>
    <w:rsid w:val="002A6351"/>
    <w:rsid w:val="002B0EC0"/>
    <w:rsid w:val="002B1950"/>
    <w:rsid w:val="002B2E03"/>
    <w:rsid w:val="002B3567"/>
    <w:rsid w:val="002B3E4F"/>
    <w:rsid w:val="002B3F5C"/>
    <w:rsid w:val="002B42A2"/>
    <w:rsid w:val="002B6EAA"/>
    <w:rsid w:val="002C04A9"/>
    <w:rsid w:val="002C1866"/>
    <w:rsid w:val="002C274C"/>
    <w:rsid w:val="002C2E97"/>
    <w:rsid w:val="002C54D4"/>
    <w:rsid w:val="002C67BD"/>
    <w:rsid w:val="002C69A0"/>
    <w:rsid w:val="002D0EA6"/>
    <w:rsid w:val="002D24E8"/>
    <w:rsid w:val="002D5C82"/>
    <w:rsid w:val="002D7007"/>
    <w:rsid w:val="002E010D"/>
    <w:rsid w:val="002E0AB9"/>
    <w:rsid w:val="002E1B85"/>
    <w:rsid w:val="002E2A4D"/>
    <w:rsid w:val="002E379F"/>
    <w:rsid w:val="002E5BEB"/>
    <w:rsid w:val="002E6F59"/>
    <w:rsid w:val="002E7872"/>
    <w:rsid w:val="002F01FC"/>
    <w:rsid w:val="002F5AEB"/>
    <w:rsid w:val="002F60B8"/>
    <w:rsid w:val="002F6A03"/>
    <w:rsid w:val="002F72D9"/>
    <w:rsid w:val="002F767A"/>
    <w:rsid w:val="003003E6"/>
    <w:rsid w:val="0030285D"/>
    <w:rsid w:val="00302C8F"/>
    <w:rsid w:val="0030675F"/>
    <w:rsid w:val="00307B9F"/>
    <w:rsid w:val="00307F40"/>
    <w:rsid w:val="00310590"/>
    <w:rsid w:val="00311CE9"/>
    <w:rsid w:val="00312554"/>
    <w:rsid w:val="00314A36"/>
    <w:rsid w:val="00315A80"/>
    <w:rsid w:val="0031689C"/>
    <w:rsid w:val="00316F6D"/>
    <w:rsid w:val="003217BE"/>
    <w:rsid w:val="0032232C"/>
    <w:rsid w:val="003228E2"/>
    <w:rsid w:val="00324253"/>
    <w:rsid w:val="00324771"/>
    <w:rsid w:val="003248F4"/>
    <w:rsid w:val="00325C60"/>
    <w:rsid w:val="00326085"/>
    <w:rsid w:val="00326E5D"/>
    <w:rsid w:val="0033289D"/>
    <w:rsid w:val="00333173"/>
    <w:rsid w:val="00335614"/>
    <w:rsid w:val="0033617A"/>
    <w:rsid w:val="00336372"/>
    <w:rsid w:val="0033758D"/>
    <w:rsid w:val="00337D00"/>
    <w:rsid w:val="0034017D"/>
    <w:rsid w:val="00340818"/>
    <w:rsid w:val="00342FA2"/>
    <w:rsid w:val="0034312A"/>
    <w:rsid w:val="00347DE1"/>
    <w:rsid w:val="003508E0"/>
    <w:rsid w:val="00350FF4"/>
    <w:rsid w:val="00351841"/>
    <w:rsid w:val="00354576"/>
    <w:rsid w:val="003552B1"/>
    <w:rsid w:val="003557D1"/>
    <w:rsid w:val="00357277"/>
    <w:rsid w:val="00357A0D"/>
    <w:rsid w:val="003637CD"/>
    <w:rsid w:val="00363F4D"/>
    <w:rsid w:val="003646D9"/>
    <w:rsid w:val="00365A19"/>
    <w:rsid w:val="00372CB3"/>
    <w:rsid w:val="003746BD"/>
    <w:rsid w:val="00374B6D"/>
    <w:rsid w:val="003755DF"/>
    <w:rsid w:val="003775B9"/>
    <w:rsid w:val="0038014B"/>
    <w:rsid w:val="0038224A"/>
    <w:rsid w:val="00382E6E"/>
    <w:rsid w:val="00383B57"/>
    <w:rsid w:val="003864F8"/>
    <w:rsid w:val="00386C26"/>
    <w:rsid w:val="00387978"/>
    <w:rsid w:val="00391DB0"/>
    <w:rsid w:val="00392011"/>
    <w:rsid w:val="003936F5"/>
    <w:rsid w:val="00395203"/>
    <w:rsid w:val="003957D1"/>
    <w:rsid w:val="00395BB8"/>
    <w:rsid w:val="00396297"/>
    <w:rsid w:val="00396C4F"/>
    <w:rsid w:val="003A06D5"/>
    <w:rsid w:val="003A3E52"/>
    <w:rsid w:val="003A4A8C"/>
    <w:rsid w:val="003A5067"/>
    <w:rsid w:val="003B169F"/>
    <w:rsid w:val="003B180F"/>
    <w:rsid w:val="003B19A5"/>
    <w:rsid w:val="003B246B"/>
    <w:rsid w:val="003B7B32"/>
    <w:rsid w:val="003B7CB0"/>
    <w:rsid w:val="003C1B83"/>
    <w:rsid w:val="003C33A8"/>
    <w:rsid w:val="003C3636"/>
    <w:rsid w:val="003C522A"/>
    <w:rsid w:val="003C62E9"/>
    <w:rsid w:val="003C6D25"/>
    <w:rsid w:val="003C74CA"/>
    <w:rsid w:val="003D18D0"/>
    <w:rsid w:val="003D1BBC"/>
    <w:rsid w:val="003D4C16"/>
    <w:rsid w:val="003D6254"/>
    <w:rsid w:val="003D668E"/>
    <w:rsid w:val="003D6A37"/>
    <w:rsid w:val="003D6F23"/>
    <w:rsid w:val="003D77D7"/>
    <w:rsid w:val="003D7EE5"/>
    <w:rsid w:val="003D7FCC"/>
    <w:rsid w:val="003E0780"/>
    <w:rsid w:val="003E1A0A"/>
    <w:rsid w:val="003E3B8D"/>
    <w:rsid w:val="003E3EE6"/>
    <w:rsid w:val="003E5A28"/>
    <w:rsid w:val="003E7493"/>
    <w:rsid w:val="003E75F1"/>
    <w:rsid w:val="003F0147"/>
    <w:rsid w:val="003F0C29"/>
    <w:rsid w:val="003F30BD"/>
    <w:rsid w:val="003F4746"/>
    <w:rsid w:val="003F496A"/>
    <w:rsid w:val="003F6413"/>
    <w:rsid w:val="004028DD"/>
    <w:rsid w:val="00403252"/>
    <w:rsid w:val="00404831"/>
    <w:rsid w:val="0040538E"/>
    <w:rsid w:val="00405494"/>
    <w:rsid w:val="00410136"/>
    <w:rsid w:val="00410C94"/>
    <w:rsid w:val="00411580"/>
    <w:rsid w:val="00412BD0"/>
    <w:rsid w:val="0041359F"/>
    <w:rsid w:val="00413D25"/>
    <w:rsid w:val="00415F9C"/>
    <w:rsid w:val="00416C4E"/>
    <w:rsid w:val="004207E5"/>
    <w:rsid w:val="00422771"/>
    <w:rsid w:val="00424F53"/>
    <w:rsid w:val="00425252"/>
    <w:rsid w:val="00425BCC"/>
    <w:rsid w:val="004263FE"/>
    <w:rsid w:val="00426FC3"/>
    <w:rsid w:val="004273A1"/>
    <w:rsid w:val="00427843"/>
    <w:rsid w:val="004308B9"/>
    <w:rsid w:val="00432F28"/>
    <w:rsid w:val="00434BA4"/>
    <w:rsid w:val="00435909"/>
    <w:rsid w:val="00435F57"/>
    <w:rsid w:val="004406A2"/>
    <w:rsid w:val="004415FE"/>
    <w:rsid w:val="00442041"/>
    <w:rsid w:val="0044344C"/>
    <w:rsid w:val="00444159"/>
    <w:rsid w:val="0044448B"/>
    <w:rsid w:val="00450469"/>
    <w:rsid w:val="00450F8E"/>
    <w:rsid w:val="00455E64"/>
    <w:rsid w:val="0045632E"/>
    <w:rsid w:val="004568F2"/>
    <w:rsid w:val="00456A3E"/>
    <w:rsid w:val="00460B3D"/>
    <w:rsid w:val="00461617"/>
    <w:rsid w:val="00462A97"/>
    <w:rsid w:val="004636ED"/>
    <w:rsid w:val="0046480D"/>
    <w:rsid w:val="0046486D"/>
    <w:rsid w:val="00465B69"/>
    <w:rsid w:val="004666D9"/>
    <w:rsid w:val="00470908"/>
    <w:rsid w:val="00470ABE"/>
    <w:rsid w:val="004710C6"/>
    <w:rsid w:val="00472DB8"/>
    <w:rsid w:val="00474A1D"/>
    <w:rsid w:val="0047504B"/>
    <w:rsid w:val="00476E22"/>
    <w:rsid w:val="00477A5E"/>
    <w:rsid w:val="00481881"/>
    <w:rsid w:val="00482E5D"/>
    <w:rsid w:val="0048372A"/>
    <w:rsid w:val="00487543"/>
    <w:rsid w:val="00487997"/>
    <w:rsid w:val="00491D2D"/>
    <w:rsid w:val="004920D4"/>
    <w:rsid w:val="00492C6C"/>
    <w:rsid w:val="00492F8E"/>
    <w:rsid w:val="00497383"/>
    <w:rsid w:val="004A0D43"/>
    <w:rsid w:val="004A13F3"/>
    <w:rsid w:val="004A3731"/>
    <w:rsid w:val="004A6121"/>
    <w:rsid w:val="004A64CC"/>
    <w:rsid w:val="004A6DB4"/>
    <w:rsid w:val="004A7973"/>
    <w:rsid w:val="004A7E75"/>
    <w:rsid w:val="004B27D6"/>
    <w:rsid w:val="004B475A"/>
    <w:rsid w:val="004B59CA"/>
    <w:rsid w:val="004B709F"/>
    <w:rsid w:val="004C0D9B"/>
    <w:rsid w:val="004C369E"/>
    <w:rsid w:val="004C6029"/>
    <w:rsid w:val="004C6371"/>
    <w:rsid w:val="004D0419"/>
    <w:rsid w:val="004D352F"/>
    <w:rsid w:val="004D6228"/>
    <w:rsid w:val="004D7827"/>
    <w:rsid w:val="004E0C61"/>
    <w:rsid w:val="004E3443"/>
    <w:rsid w:val="004E3C0A"/>
    <w:rsid w:val="004E6199"/>
    <w:rsid w:val="004E6BAA"/>
    <w:rsid w:val="004E77DB"/>
    <w:rsid w:val="004F0B4D"/>
    <w:rsid w:val="004F1D85"/>
    <w:rsid w:val="004F2F9F"/>
    <w:rsid w:val="004F3F84"/>
    <w:rsid w:val="004F602B"/>
    <w:rsid w:val="004F78AF"/>
    <w:rsid w:val="004F7AAD"/>
    <w:rsid w:val="00501424"/>
    <w:rsid w:val="00501916"/>
    <w:rsid w:val="005021F5"/>
    <w:rsid w:val="00502934"/>
    <w:rsid w:val="00504876"/>
    <w:rsid w:val="0050491E"/>
    <w:rsid w:val="0050550D"/>
    <w:rsid w:val="00506A0B"/>
    <w:rsid w:val="00506A9D"/>
    <w:rsid w:val="00507510"/>
    <w:rsid w:val="00510809"/>
    <w:rsid w:val="00513C30"/>
    <w:rsid w:val="005144B4"/>
    <w:rsid w:val="00515D0E"/>
    <w:rsid w:val="00524FD9"/>
    <w:rsid w:val="00525AEB"/>
    <w:rsid w:val="005268B9"/>
    <w:rsid w:val="00526E8D"/>
    <w:rsid w:val="005301D5"/>
    <w:rsid w:val="00531ADD"/>
    <w:rsid w:val="005347FD"/>
    <w:rsid w:val="00535136"/>
    <w:rsid w:val="005353AC"/>
    <w:rsid w:val="005361CC"/>
    <w:rsid w:val="005374E2"/>
    <w:rsid w:val="00537780"/>
    <w:rsid w:val="00537FB2"/>
    <w:rsid w:val="00540696"/>
    <w:rsid w:val="00545CE1"/>
    <w:rsid w:val="0054732F"/>
    <w:rsid w:val="00551BD3"/>
    <w:rsid w:val="005536E2"/>
    <w:rsid w:val="00554068"/>
    <w:rsid w:val="005549B0"/>
    <w:rsid w:val="0055604E"/>
    <w:rsid w:val="00556141"/>
    <w:rsid w:val="005628CF"/>
    <w:rsid w:val="00565123"/>
    <w:rsid w:val="005665AF"/>
    <w:rsid w:val="00566716"/>
    <w:rsid w:val="005673F7"/>
    <w:rsid w:val="005712CF"/>
    <w:rsid w:val="00571325"/>
    <w:rsid w:val="005760CE"/>
    <w:rsid w:val="00576925"/>
    <w:rsid w:val="005771F4"/>
    <w:rsid w:val="0057721D"/>
    <w:rsid w:val="00577DB6"/>
    <w:rsid w:val="005800D9"/>
    <w:rsid w:val="00581D00"/>
    <w:rsid w:val="005824BA"/>
    <w:rsid w:val="005843B1"/>
    <w:rsid w:val="00584C6B"/>
    <w:rsid w:val="00587C74"/>
    <w:rsid w:val="0059450E"/>
    <w:rsid w:val="00595495"/>
    <w:rsid w:val="00595CED"/>
    <w:rsid w:val="005A0BBD"/>
    <w:rsid w:val="005A2640"/>
    <w:rsid w:val="005A26B4"/>
    <w:rsid w:val="005A550D"/>
    <w:rsid w:val="005A5883"/>
    <w:rsid w:val="005A77F9"/>
    <w:rsid w:val="005B094F"/>
    <w:rsid w:val="005B10F2"/>
    <w:rsid w:val="005B2EDB"/>
    <w:rsid w:val="005B345C"/>
    <w:rsid w:val="005B3CD2"/>
    <w:rsid w:val="005B627D"/>
    <w:rsid w:val="005C19F4"/>
    <w:rsid w:val="005C3644"/>
    <w:rsid w:val="005C4CAE"/>
    <w:rsid w:val="005C6255"/>
    <w:rsid w:val="005C6301"/>
    <w:rsid w:val="005C7349"/>
    <w:rsid w:val="005C7A7F"/>
    <w:rsid w:val="005C7FC2"/>
    <w:rsid w:val="005D041B"/>
    <w:rsid w:val="005D2002"/>
    <w:rsid w:val="005E1133"/>
    <w:rsid w:val="005E1E05"/>
    <w:rsid w:val="005E1F3D"/>
    <w:rsid w:val="005E4279"/>
    <w:rsid w:val="005E6E49"/>
    <w:rsid w:val="005E75B3"/>
    <w:rsid w:val="005E7A2A"/>
    <w:rsid w:val="005F1406"/>
    <w:rsid w:val="005F2F53"/>
    <w:rsid w:val="005F36E0"/>
    <w:rsid w:val="005F3C2E"/>
    <w:rsid w:val="005F594D"/>
    <w:rsid w:val="005F599E"/>
    <w:rsid w:val="005F6F68"/>
    <w:rsid w:val="005F7D17"/>
    <w:rsid w:val="005F7FDC"/>
    <w:rsid w:val="00601B17"/>
    <w:rsid w:val="0060310C"/>
    <w:rsid w:val="00603321"/>
    <w:rsid w:val="00603448"/>
    <w:rsid w:val="00603773"/>
    <w:rsid w:val="00604234"/>
    <w:rsid w:val="00605884"/>
    <w:rsid w:val="00605A40"/>
    <w:rsid w:val="00611E75"/>
    <w:rsid w:val="006136A6"/>
    <w:rsid w:val="00614A42"/>
    <w:rsid w:val="00614EFD"/>
    <w:rsid w:val="00615733"/>
    <w:rsid w:val="00615C78"/>
    <w:rsid w:val="00616438"/>
    <w:rsid w:val="0061645A"/>
    <w:rsid w:val="0061690E"/>
    <w:rsid w:val="0061694A"/>
    <w:rsid w:val="00616AF7"/>
    <w:rsid w:val="00617568"/>
    <w:rsid w:val="00620643"/>
    <w:rsid w:val="0062240E"/>
    <w:rsid w:val="00622C8A"/>
    <w:rsid w:val="0062422E"/>
    <w:rsid w:val="00625034"/>
    <w:rsid w:val="006252FE"/>
    <w:rsid w:val="00625FC7"/>
    <w:rsid w:val="006274F9"/>
    <w:rsid w:val="006311BF"/>
    <w:rsid w:val="0063188F"/>
    <w:rsid w:val="00633E92"/>
    <w:rsid w:val="006350B5"/>
    <w:rsid w:val="00637DE1"/>
    <w:rsid w:val="00642953"/>
    <w:rsid w:val="0064618A"/>
    <w:rsid w:val="006510CC"/>
    <w:rsid w:val="00653F92"/>
    <w:rsid w:val="006544B3"/>
    <w:rsid w:val="00654A03"/>
    <w:rsid w:val="00656221"/>
    <w:rsid w:val="006569A0"/>
    <w:rsid w:val="00657767"/>
    <w:rsid w:val="0066035A"/>
    <w:rsid w:val="0066491C"/>
    <w:rsid w:val="00665FE1"/>
    <w:rsid w:val="00666789"/>
    <w:rsid w:val="00666D61"/>
    <w:rsid w:val="00674404"/>
    <w:rsid w:val="00676D31"/>
    <w:rsid w:val="00680FE1"/>
    <w:rsid w:val="006815B4"/>
    <w:rsid w:val="0068265A"/>
    <w:rsid w:val="00682E2D"/>
    <w:rsid w:val="0068335D"/>
    <w:rsid w:val="006847A4"/>
    <w:rsid w:val="0068583E"/>
    <w:rsid w:val="006868AA"/>
    <w:rsid w:val="00686E3A"/>
    <w:rsid w:val="0068789E"/>
    <w:rsid w:val="00687A9A"/>
    <w:rsid w:val="00687F8E"/>
    <w:rsid w:val="00690DBF"/>
    <w:rsid w:val="00692413"/>
    <w:rsid w:val="00693CB1"/>
    <w:rsid w:val="00697D07"/>
    <w:rsid w:val="006A16D9"/>
    <w:rsid w:val="006A29E0"/>
    <w:rsid w:val="006A2CB3"/>
    <w:rsid w:val="006A3AB3"/>
    <w:rsid w:val="006A3F94"/>
    <w:rsid w:val="006A5F8D"/>
    <w:rsid w:val="006A6B19"/>
    <w:rsid w:val="006A6E19"/>
    <w:rsid w:val="006A7381"/>
    <w:rsid w:val="006A739E"/>
    <w:rsid w:val="006B25F2"/>
    <w:rsid w:val="006B298F"/>
    <w:rsid w:val="006B3FD1"/>
    <w:rsid w:val="006B4B3C"/>
    <w:rsid w:val="006B6057"/>
    <w:rsid w:val="006C2B4A"/>
    <w:rsid w:val="006C36D4"/>
    <w:rsid w:val="006C5A2F"/>
    <w:rsid w:val="006C75A2"/>
    <w:rsid w:val="006D12DB"/>
    <w:rsid w:val="006D4729"/>
    <w:rsid w:val="006D4CFA"/>
    <w:rsid w:val="006D5E78"/>
    <w:rsid w:val="006E08FD"/>
    <w:rsid w:val="006E0FE5"/>
    <w:rsid w:val="006E12A9"/>
    <w:rsid w:val="006E334F"/>
    <w:rsid w:val="006E499D"/>
    <w:rsid w:val="006E621D"/>
    <w:rsid w:val="006E7A5E"/>
    <w:rsid w:val="006F0EA6"/>
    <w:rsid w:val="006F0FD4"/>
    <w:rsid w:val="006F25E6"/>
    <w:rsid w:val="006F3A64"/>
    <w:rsid w:val="006F5959"/>
    <w:rsid w:val="00700740"/>
    <w:rsid w:val="007018E8"/>
    <w:rsid w:val="00705A3B"/>
    <w:rsid w:val="0070667B"/>
    <w:rsid w:val="00706BC6"/>
    <w:rsid w:val="00716EF1"/>
    <w:rsid w:val="007202A3"/>
    <w:rsid w:val="00724790"/>
    <w:rsid w:val="0072505E"/>
    <w:rsid w:val="007252D2"/>
    <w:rsid w:val="007252D9"/>
    <w:rsid w:val="007256AD"/>
    <w:rsid w:val="00725C50"/>
    <w:rsid w:val="00726A1B"/>
    <w:rsid w:val="00730700"/>
    <w:rsid w:val="00730D86"/>
    <w:rsid w:val="00731FA9"/>
    <w:rsid w:val="00732CCD"/>
    <w:rsid w:val="0073647A"/>
    <w:rsid w:val="0074051C"/>
    <w:rsid w:val="00741540"/>
    <w:rsid w:val="007416C5"/>
    <w:rsid w:val="0074179D"/>
    <w:rsid w:val="00742AC0"/>
    <w:rsid w:val="00742ECF"/>
    <w:rsid w:val="00746A7C"/>
    <w:rsid w:val="00746C97"/>
    <w:rsid w:val="00746DAA"/>
    <w:rsid w:val="007518D0"/>
    <w:rsid w:val="00751931"/>
    <w:rsid w:val="0075235A"/>
    <w:rsid w:val="00755197"/>
    <w:rsid w:val="0075573A"/>
    <w:rsid w:val="0076179D"/>
    <w:rsid w:val="0076254F"/>
    <w:rsid w:val="00763B81"/>
    <w:rsid w:val="00764D79"/>
    <w:rsid w:val="007650FE"/>
    <w:rsid w:val="007663C3"/>
    <w:rsid w:val="0077063F"/>
    <w:rsid w:val="00771413"/>
    <w:rsid w:val="00772344"/>
    <w:rsid w:val="0077431B"/>
    <w:rsid w:val="007753F4"/>
    <w:rsid w:val="0077595C"/>
    <w:rsid w:val="007760F2"/>
    <w:rsid w:val="007772A1"/>
    <w:rsid w:val="00777D9A"/>
    <w:rsid w:val="00781224"/>
    <w:rsid w:val="00781CA6"/>
    <w:rsid w:val="00782080"/>
    <w:rsid w:val="00782667"/>
    <w:rsid w:val="00785803"/>
    <w:rsid w:val="007860F0"/>
    <w:rsid w:val="00786A08"/>
    <w:rsid w:val="00786BD2"/>
    <w:rsid w:val="00790560"/>
    <w:rsid w:val="00791B49"/>
    <w:rsid w:val="00791F78"/>
    <w:rsid w:val="00792DA2"/>
    <w:rsid w:val="00794D39"/>
    <w:rsid w:val="007A07A0"/>
    <w:rsid w:val="007A2957"/>
    <w:rsid w:val="007A455D"/>
    <w:rsid w:val="007A5BDD"/>
    <w:rsid w:val="007B2181"/>
    <w:rsid w:val="007B2A81"/>
    <w:rsid w:val="007B2B82"/>
    <w:rsid w:val="007B6B34"/>
    <w:rsid w:val="007B7AA9"/>
    <w:rsid w:val="007B7B20"/>
    <w:rsid w:val="007C0053"/>
    <w:rsid w:val="007C0BB5"/>
    <w:rsid w:val="007C2001"/>
    <w:rsid w:val="007C3DD8"/>
    <w:rsid w:val="007C445B"/>
    <w:rsid w:val="007C51AE"/>
    <w:rsid w:val="007D02BE"/>
    <w:rsid w:val="007D172C"/>
    <w:rsid w:val="007D29B2"/>
    <w:rsid w:val="007D6F23"/>
    <w:rsid w:val="007D74FF"/>
    <w:rsid w:val="007E0D9A"/>
    <w:rsid w:val="007E46DD"/>
    <w:rsid w:val="007E4C3C"/>
    <w:rsid w:val="007E5FAE"/>
    <w:rsid w:val="007E65E5"/>
    <w:rsid w:val="007F12C6"/>
    <w:rsid w:val="007F4A3E"/>
    <w:rsid w:val="007F5198"/>
    <w:rsid w:val="007F6A55"/>
    <w:rsid w:val="007F710B"/>
    <w:rsid w:val="007F769E"/>
    <w:rsid w:val="00802592"/>
    <w:rsid w:val="00802701"/>
    <w:rsid w:val="008029FE"/>
    <w:rsid w:val="0080320C"/>
    <w:rsid w:val="00805EA1"/>
    <w:rsid w:val="0080643C"/>
    <w:rsid w:val="00810917"/>
    <w:rsid w:val="00812336"/>
    <w:rsid w:val="00812AC5"/>
    <w:rsid w:val="00814990"/>
    <w:rsid w:val="00815D48"/>
    <w:rsid w:val="00816B47"/>
    <w:rsid w:val="008220B9"/>
    <w:rsid w:val="00824A5C"/>
    <w:rsid w:val="00824FB8"/>
    <w:rsid w:val="00825032"/>
    <w:rsid w:val="00825EEC"/>
    <w:rsid w:val="0082651B"/>
    <w:rsid w:val="00832315"/>
    <w:rsid w:val="00834561"/>
    <w:rsid w:val="0083545B"/>
    <w:rsid w:val="00837712"/>
    <w:rsid w:val="00841E18"/>
    <w:rsid w:val="008421F7"/>
    <w:rsid w:val="00843E09"/>
    <w:rsid w:val="00844E61"/>
    <w:rsid w:val="00845006"/>
    <w:rsid w:val="0086056F"/>
    <w:rsid w:val="00861CB3"/>
    <w:rsid w:val="00862A45"/>
    <w:rsid w:val="00862C29"/>
    <w:rsid w:val="00862F2C"/>
    <w:rsid w:val="00870693"/>
    <w:rsid w:val="00874424"/>
    <w:rsid w:val="00875DC7"/>
    <w:rsid w:val="0087603F"/>
    <w:rsid w:val="008800C6"/>
    <w:rsid w:val="00881702"/>
    <w:rsid w:val="008817E2"/>
    <w:rsid w:val="00883BFA"/>
    <w:rsid w:val="00884A83"/>
    <w:rsid w:val="00884B8A"/>
    <w:rsid w:val="00885E6C"/>
    <w:rsid w:val="008917D1"/>
    <w:rsid w:val="00895701"/>
    <w:rsid w:val="00895D36"/>
    <w:rsid w:val="008A2D0E"/>
    <w:rsid w:val="008A2D5F"/>
    <w:rsid w:val="008A4132"/>
    <w:rsid w:val="008A6226"/>
    <w:rsid w:val="008A64C4"/>
    <w:rsid w:val="008A6AB0"/>
    <w:rsid w:val="008B58DB"/>
    <w:rsid w:val="008B711C"/>
    <w:rsid w:val="008C18EC"/>
    <w:rsid w:val="008C2D67"/>
    <w:rsid w:val="008C2F8D"/>
    <w:rsid w:val="008C3019"/>
    <w:rsid w:val="008C40F7"/>
    <w:rsid w:val="008C42B5"/>
    <w:rsid w:val="008C705B"/>
    <w:rsid w:val="008D362A"/>
    <w:rsid w:val="008E0ABC"/>
    <w:rsid w:val="008E1108"/>
    <w:rsid w:val="008E4CCA"/>
    <w:rsid w:val="008E51CD"/>
    <w:rsid w:val="008E5413"/>
    <w:rsid w:val="008E5A7B"/>
    <w:rsid w:val="008E6B74"/>
    <w:rsid w:val="008E7F63"/>
    <w:rsid w:val="008F0AB3"/>
    <w:rsid w:val="008F0F8C"/>
    <w:rsid w:val="008F1765"/>
    <w:rsid w:val="008F25D2"/>
    <w:rsid w:val="008F3ADF"/>
    <w:rsid w:val="00902085"/>
    <w:rsid w:val="009028BA"/>
    <w:rsid w:val="00906DF6"/>
    <w:rsid w:val="0090799D"/>
    <w:rsid w:val="009113DB"/>
    <w:rsid w:val="00911D69"/>
    <w:rsid w:val="009129A7"/>
    <w:rsid w:val="00912B21"/>
    <w:rsid w:val="0091320B"/>
    <w:rsid w:val="00913B20"/>
    <w:rsid w:val="00914E05"/>
    <w:rsid w:val="00915051"/>
    <w:rsid w:val="0092009A"/>
    <w:rsid w:val="0092394C"/>
    <w:rsid w:val="00923F74"/>
    <w:rsid w:val="0092415D"/>
    <w:rsid w:val="009276C7"/>
    <w:rsid w:val="009370B4"/>
    <w:rsid w:val="00943215"/>
    <w:rsid w:val="00943633"/>
    <w:rsid w:val="0094458E"/>
    <w:rsid w:val="00945426"/>
    <w:rsid w:val="00947116"/>
    <w:rsid w:val="009522AC"/>
    <w:rsid w:val="009525B0"/>
    <w:rsid w:val="009537BD"/>
    <w:rsid w:val="00953F10"/>
    <w:rsid w:val="0095477C"/>
    <w:rsid w:val="00955248"/>
    <w:rsid w:val="00955B2A"/>
    <w:rsid w:val="0095644A"/>
    <w:rsid w:val="00956658"/>
    <w:rsid w:val="0095665C"/>
    <w:rsid w:val="00957EA5"/>
    <w:rsid w:val="0096069F"/>
    <w:rsid w:val="00962582"/>
    <w:rsid w:val="009626DB"/>
    <w:rsid w:val="0096625D"/>
    <w:rsid w:val="00967C2D"/>
    <w:rsid w:val="00970C83"/>
    <w:rsid w:val="0097160F"/>
    <w:rsid w:val="00971A1F"/>
    <w:rsid w:val="00984B31"/>
    <w:rsid w:val="009851F3"/>
    <w:rsid w:val="00985DF7"/>
    <w:rsid w:val="00986327"/>
    <w:rsid w:val="00987406"/>
    <w:rsid w:val="0098797F"/>
    <w:rsid w:val="009914D3"/>
    <w:rsid w:val="00991E80"/>
    <w:rsid w:val="0099275D"/>
    <w:rsid w:val="00996E4F"/>
    <w:rsid w:val="0099714C"/>
    <w:rsid w:val="0099742E"/>
    <w:rsid w:val="00997C62"/>
    <w:rsid w:val="009A0FD2"/>
    <w:rsid w:val="009A4716"/>
    <w:rsid w:val="009A73EF"/>
    <w:rsid w:val="009B06D8"/>
    <w:rsid w:val="009B116F"/>
    <w:rsid w:val="009B1FEE"/>
    <w:rsid w:val="009B22AF"/>
    <w:rsid w:val="009B274A"/>
    <w:rsid w:val="009B3D2D"/>
    <w:rsid w:val="009B583F"/>
    <w:rsid w:val="009B6702"/>
    <w:rsid w:val="009B6992"/>
    <w:rsid w:val="009C060B"/>
    <w:rsid w:val="009C0E0F"/>
    <w:rsid w:val="009C464A"/>
    <w:rsid w:val="009C4A78"/>
    <w:rsid w:val="009C4DB4"/>
    <w:rsid w:val="009C5A36"/>
    <w:rsid w:val="009C5C63"/>
    <w:rsid w:val="009D3D4F"/>
    <w:rsid w:val="009D46BC"/>
    <w:rsid w:val="009D50E4"/>
    <w:rsid w:val="009D5662"/>
    <w:rsid w:val="009D68AB"/>
    <w:rsid w:val="009D748D"/>
    <w:rsid w:val="009D7973"/>
    <w:rsid w:val="009E14B9"/>
    <w:rsid w:val="009E1808"/>
    <w:rsid w:val="009E38A7"/>
    <w:rsid w:val="009E57FF"/>
    <w:rsid w:val="009E7BB5"/>
    <w:rsid w:val="009E7D38"/>
    <w:rsid w:val="009F349B"/>
    <w:rsid w:val="009F3541"/>
    <w:rsid w:val="009F4732"/>
    <w:rsid w:val="009F4DEE"/>
    <w:rsid w:val="009F5529"/>
    <w:rsid w:val="009F5F98"/>
    <w:rsid w:val="009F7096"/>
    <w:rsid w:val="00A01258"/>
    <w:rsid w:val="00A01327"/>
    <w:rsid w:val="00A030BE"/>
    <w:rsid w:val="00A041F4"/>
    <w:rsid w:val="00A06787"/>
    <w:rsid w:val="00A11BA7"/>
    <w:rsid w:val="00A128D1"/>
    <w:rsid w:val="00A151E2"/>
    <w:rsid w:val="00A17A1F"/>
    <w:rsid w:val="00A20B0D"/>
    <w:rsid w:val="00A210AF"/>
    <w:rsid w:val="00A213FA"/>
    <w:rsid w:val="00A219A5"/>
    <w:rsid w:val="00A221CF"/>
    <w:rsid w:val="00A232AA"/>
    <w:rsid w:val="00A24A1C"/>
    <w:rsid w:val="00A25614"/>
    <w:rsid w:val="00A25B46"/>
    <w:rsid w:val="00A25EE4"/>
    <w:rsid w:val="00A2682F"/>
    <w:rsid w:val="00A275E6"/>
    <w:rsid w:val="00A2789B"/>
    <w:rsid w:val="00A27C20"/>
    <w:rsid w:val="00A31FC6"/>
    <w:rsid w:val="00A320C8"/>
    <w:rsid w:val="00A32109"/>
    <w:rsid w:val="00A33BC5"/>
    <w:rsid w:val="00A40B59"/>
    <w:rsid w:val="00A43CF0"/>
    <w:rsid w:val="00A45637"/>
    <w:rsid w:val="00A45C91"/>
    <w:rsid w:val="00A475F5"/>
    <w:rsid w:val="00A476A6"/>
    <w:rsid w:val="00A47CA3"/>
    <w:rsid w:val="00A51AAD"/>
    <w:rsid w:val="00A5215D"/>
    <w:rsid w:val="00A61928"/>
    <w:rsid w:val="00A62271"/>
    <w:rsid w:val="00A62830"/>
    <w:rsid w:val="00A62E16"/>
    <w:rsid w:val="00A636B1"/>
    <w:rsid w:val="00A647D3"/>
    <w:rsid w:val="00A6486F"/>
    <w:rsid w:val="00A65021"/>
    <w:rsid w:val="00A676B0"/>
    <w:rsid w:val="00A67BD4"/>
    <w:rsid w:val="00A709D9"/>
    <w:rsid w:val="00A70FC8"/>
    <w:rsid w:val="00A715C2"/>
    <w:rsid w:val="00A71B7A"/>
    <w:rsid w:val="00A76393"/>
    <w:rsid w:val="00A76723"/>
    <w:rsid w:val="00A80EC4"/>
    <w:rsid w:val="00A815AA"/>
    <w:rsid w:val="00A81BF3"/>
    <w:rsid w:val="00A83B0B"/>
    <w:rsid w:val="00A86564"/>
    <w:rsid w:val="00A867FA"/>
    <w:rsid w:val="00A8682B"/>
    <w:rsid w:val="00A86D89"/>
    <w:rsid w:val="00A86E09"/>
    <w:rsid w:val="00A90F56"/>
    <w:rsid w:val="00A95947"/>
    <w:rsid w:val="00A97221"/>
    <w:rsid w:val="00A977A7"/>
    <w:rsid w:val="00AA1102"/>
    <w:rsid w:val="00AA187F"/>
    <w:rsid w:val="00AA3212"/>
    <w:rsid w:val="00AA3283"/>
    <w:rsid w:val="00AA3C5B"/>
    <w:rsid w:val="00AA4879"/>
    <w:rsid w:val="00AA6202"/>
    <w:rsid w:val="00AA71E5"/>
    <w:rsid w:val="00AB3D0A"/>
    <w:rsid w:val="00AB6AE0"/>
    <w:rsid w:val="00AB77B2"/>
    <w:rsid w:val="00AC0E67"/>
    <w:rsid w:val="00AC216E"/>
    <w:rsid w:val="00AC310B"/>
    <w:rsid w:val="00AC546A"/>
    <w:rsid w:val="00AD0439"/>
    <w:rsid w:val="00AD0830"/>
    <w:rsid w:val="00AD180E"/>
    <w:rsid w:val="00AD50B7"/>
    <w:rsid w:val="00AD702C"/>
    <w:rsid w:val="00AD7230"/>
    <w:rsid w:val="00AE0D09"/>
    <w:rsid w:val="00AE187D"/>
    <w:rsid w:val="00AE19BD"/>
    <w:rsid w:val="00AE2851"/>
    <w:rsid w:val="00AE30D3"/>
    <w:rsid w:val="00AE410C"/>
    <w:rsid w:val="00AF2FC4"/>
    <w:rsid w:val="00AF4A91"/>
    <w:rsid w:val="00AF4D59"/>
    <w:rsid w:val="00B0093F"/>
    <w:rsid w:val="00B00B11"/>
    <w:rsid w:val="00B014A9"/>
    <w:rsid w:val="00B02311"/>
    <w:rsid w:val="00B045A1"/>
    <w:rsid w:val="00B047DA"/>
    <w:rsid w:val="00B04FFB"/>
    <w:rsid w:val="00B060E4"/>
    <w:rsid w:val="00B07589"/>
    <w:rsid w:val="00B100AB"/>
    <w:rsid w:val="00B109B9"/>
    <w:rsid w:val="00B1118F"/>
    <w:rsid w:val="00B13004"/>
    <w:rsid w:val="00B14361"/>
    <w:rsid w:val="00B15150"/>
    <w:rsid w:val="00B16A4B"/>
    <w:rsid w:val="00B20841"/>
    <w:rsid w:val="00B20F2B"/>
    <w:rsid w:val="00B22F0D"/>
    <w:rsid w:val="00B23BF6"/>
    <w:rsid w:val="00B23F22"/>
    <w:rsid w:val="00B2425D"/>
    <w:rsid w:val="00B242C8"/>
    <w:rsid w:val="00B246B5"/>
    <w:rsid w:val="00B26887"/>
    <w:rsid w:val="00B278C6"/>
    <w:rsid w:val="00B3073F"/>
    <w:rsid w:val="00B30F7D"/>
    <w:rsid w:val="00B31754"/>
    <w:rsid w:val="00B31F83"/>
    <w:rsid w:val="00B321C4"/>
    <w:rsid w:val="00B33903"/>
    <w:rsid w:val="00B342EC"/>
    <w:rsid w:val="00B3560A"/>
    <w:rsid w:val="00B36334"/>
    <w:rsid w:val="00B36397"/>
    <w:rsid w:val="00B36584"/>
    <w:rsid w:val="00B36835"/>
    <w:rsid w:val="00B4018D"/>
    <w:rsid w:val="00B4159A"/>
    <w:rsid w:val="00B4370E"/>
    <w:rsid w:val="00B43E0B"/>
    <w:rsid w:val="00B44184"/>
    <w:rsid w:val="00B443FC"/>
    <w:rsid w:val="00B4641C"/>
    <w:rsid w:val="00B4676E"/>
    <w:rsid w:val="00B475EC"/>
    <w:rsid w:val="00B5069B"/>
    <w:rsid w:val="00B50C5C"/>
    <w:rsid w:val="00B512CC"/>
    <w:rsid w:val="00B512CD"/>
    <w:rsid w:val="00B55133"/>
    <w:rsid w:val="00B55524"/>
    <w:rsid w:val="00B55658"/>
    <w:rsid w:val="00B570BF"/>
    <w:rsid w:val="00B57252"/>
    <w:rsid w:val="00B63B2B"/>
    <w:rsid w:val="00B63F64"/>
    <w:rsid w:val="00B65343"/>
    <w:rsid w:val="00B655A4"/>
    <w:rsid w:val="00B66D48"/>
    <w:rsid w:val="00B723BC"/>
    <w:rsid w:val="00B728F0"/>
    <w:rsid w:val="00B7388B"/>
    <w:rsid w:val="00B74688"/>
    <w:rsid w:val="00B74C4A"/>
    <w:rsid w:val="00B76757"/>
    <w:rsid w:val="00B80638"/>
    <w:rsid w:val="00B80724"/>
    <w:rsid w:val="00B814A0"/>
    <w:rsid w:val="00B814EB"/>
    <w:rsid w:val="00B83F09"/>
    <w:rsid w:val="00B84D95"/>
    <w:rsid w:val="00B85264"/>
    <w:rsid w:val="00B861A6"/>
    <w:rsid w:val="00B86CCF"/>
    <w:rsid w:val="00B87996"/>
    <w:rsid w:val="00B9093E"/>
    <w:rsid w:val="00B93DA6"/>
    <w:rsid w:val="00B951CD"/>
    <w:rsid w:val="00B955E3"/>
    <w:rsid w:val="00B97676"/>
    <w:rsid w:val="00B9789A"/>
    <w:rsid w:val="00BA020F"/>
    <w:rsid w:val="00BA0BE3"/>
    <w:rsid w:val="00BA1310"/>
    <w:rsid w:val="00BA2064"/>
    <w:rsid w:val="00BA33AF"/>
    <w:rsid w:val="00BA4A73"/>
    <w:rsid w:val="00BA64F5"/>
    <w:rsid w:val="00BB0A85"/>
    <w:rsid w:val="00BB275C"/>
    <w:rsid w:val="00BB5205"/>
    <w:rsid w:val="00BB57E8"/>
    <w:rsid w:val="00BB6656"/>
    <w:rsid w:val="00BB7AFF"/>
    <w:rsid w:val="00BC0B1D"/>
    <w:rsid w:val="00BC1762"/>
    <w:rsid w:val="00BC2A7F"/>
    <w:rsid w:val="00BC751D"/>
    <w:rsid w:val="00BD059F"/>
    <w:rsid w:val="00BD0DA2"/>
    <w:rsid w:val="00BD4031"/>
    <w:rsid w:val="00BD4C14"/>
    <w:rsid w:val="00BD4D7C"/>
    <w:rsid w:val="00BD4DA3"/>
    <w:rsid w:val="00BD5B0C"/>
    <w:rsid w:val="00BD665E"/>
    <w:rsid w:val="00BE0596"/>
    <w:rsid w:val="00BE0718"/>
    <w:rsid w:val="00BE10F4"/>
    <w:rsid w:val="00BE4814"/>
    <w:rsid w:val="00BE65E4"/>
    <w:rsid w:val="00C0045A"/>
    <w:rsid w:val="00C00D41"/>
    <w:rsid w:val="00C00F46"/>
    <w:rsid w:val="00C012F8"/>
    <w:rsid w:val="00C0180E"/>
    <w:rsid w:val="00C01B7B"/>
    <w:rsid w:val="00C03053"/>
    <w:rsid w:val="00C03602"/>
    <w:rsid w:val="00C03780"/>
    <w:rsid w:val="00C040BB"/>
    <w:rsid w:val="00C04C84"/>
    <w:rsid w:val="00C06598"/>
    <w:rsid w:val="00C06C44"/>
    <w:rsid w:val="00C07912"/>
    <w:rsid w:val="00C103B0"/>
    <w:rsid w:val="00C12898"/>
    <w:rsid w:val="00C14163"/>
    <w:rsid w:val="00C14E8B"/>
    <w:rsid w:val="00C16E25"/>
    <w:rsid w:val="00C1777E"/>
    <w:rsid w:val="00C17AE6"/>
    <w:rsid w:val="00C216D3"/>
    <w:rsid w:val="00C235FD"/>
    <w:rsid w:val="00C24A88"/>
    <w:rsid w:val="00C24DD8"/>
    <w:rsid w:val="00C25E32"/>
    <w:rsid w:val="00C26A06"/>
    <w:rsid w:val="00C26DCF"/>
    <w:rsid w:val="00C30DF8"/>
    <w:rsid w:val="00C32B75"/>
    <w:rsid w:val="00C34234"/>
    <w:rsid w:val="00C366B4"/>
    <w:rsid w:val="00C375A3"/>
    <w:rsid w:val="00C41346"/>
    <w:rsid w:val="00C4135D"/>
    <w:rsid w:val="00C42E11"/>
    <w:rsid w:val="00C447A9"/>
    <w:rsid w:val="00C44D2B"/>
    <w:rsid w:val="00C451F1"/>
    <w:rsid w:val="00C479E0"/>
    <w:rsid w:val="00C51A65"/>
    <w:rsid w:val="00C53BBD"/>
    <w:rsid w:val="00C53E7E"/>
    <w:rsid w:val="00C5418D"/>
    <w:rsid w:val="00C54B16"/>
    <w:rsid w:val="00C57D87"/>
    <w:rsid w:val="00C60D6F"/>
    <w:rsid w:val="00C6188E"/>
    <w:rsid w:val="00C62F27"/>
    <w:rsid w:val="00C676B2"/>
    <w:rsid w:val="00C70DF3"/>
    <w:rsid w:val="00C75500"/>
    <w:rsid w:val="00C77B1D"/>
    <w:rsid w:val="00C80CC0"/>
    <w:rsid w:val="00C8147F"/>
    <w:rsid w:val="00C81EB4"/>
    <w:rsid w:val="00C82AAC"/>
    <w:rsid w:val="00C84B84"/>
    <w:rsid w:val="00C86D98"/>
    <w:rsid w:val="00C8730F"/>
    <w:rsid w:val="00C92CDA"/>
    <w:rsid w:val="00C94612"/>
    <w:rsid w:val="00C95024"/>
    <w:rsid w:val="00C9507C"/>
    <w:rsid w:val="00CA2F03"/>
    <w:rsid w:val="00CA303A"/>
    <w:rsid w:val="00CA5028"/>
    <w:rsid w:val="00CA5E22"/>
    <w:rsid w:val="00CB1337"/>
    <w:rsid w:val="00CB1922"/>
    <w:rsid w:val="00CB1C00"/>
    <w:rsid w:val="00CB2312"/>
    <w:rsid w:val="00CB48D6"/>
    <w:rsid w:val="00CB620B"/>
    <w:rsid w:val="00CC068E"/>
    <w:rsid w:val="00CC0E14"/>
    <w:rsid w:val="00CC28EA"/>
    <w:rsid w:val="00CC3D58"/>
    <w:rsid w:val="00CC64EF"/>
    <w:rsid w:val="00CC6525"/>
    <w:rsid w:val="00CC751E"/>
    <w:rsid w:val="00CC770C"/>
    <w:rsid w:val="00CC79D3"/>
    <w:rsid w:val="00CD0880"/>
    <w:rsid w:val="00CD0EC5"/>
    <w:rsid w:val="00CD136C"/>
    <w:rsid w:val="00CD4014"/>
    <w:rsid w:val="00CD479E"/>
    <w:rsid w:val="00CD6610"/>
    <w:rsid w:val="00CE0D0D"/>
    <w:rsid w:val="00CE2F1B"/>
    <w:rsid w:val="00CE322D"/>
    <w:rsid w:val="00CE3879"/>
    <w:rsid w:val="00CE4A08"/>
    <w:rsid w:val="00CE7CEE"/>
    <w:rsid w:val="00CF33EC"/>
    <w:rsid w:val="00CF4A98"/>
    <w:rsid w:val="00CF4F9A"/>
    <w:rsid w:val="00CF6D7E"/>
    <w:rsid w:val="00CF7124"/>
    <w:rsid w:val="00CF7A8B"/>
    <w:rsid w:val="00D004D0"/>
    <w:rsid w:val="00D00E28"/>
    <w:rsid w:val="00D058D9"/>
    <w:rsid w:val="00D07593"/>
    <w:rsid w:val="00D11E89"/>
    <w:rsid w:val="00D12090"/>
    <w:rsid w:val="00D12320"/>
    <w:rsid w:val="00D12A6D"/>
    <w:rsid w:val="00D15EA0"/>
    <w:rsid w:val="00D17589"/>
    <w:rsid w:val="00D20C73"/>
    <w:rsid w:val="00D21753"/>
    <w:rsid w:val="00D21D2A"/>
    <w:rsid w:val="00D24624"/>
    <w:rsid w:val="00D25112"/>
    <w:rsid w:val="00D313A9"/>
    <w:rsid w:val="00D31AA6"/>
    <w:rsid w:val="00D33910"/>
    <w:rsid w:val="00D33E2F"/>
    <w:rsid w:val="00D36718"/>
    <w:rsid w:val="00D40413"/>
    <w:rsid w:val="00D4104E"/>
    <w:rsid w:val="00D4235A"/>
    <w:rsid w:val="00D42683"/>
    <w:rsid w:val="00D45F04"/>
    <w:rsid w:val="00D4631F"/>
    <w:rsid w:val="00D46E69"/>
    <w:rsid w:val="00D4731B"/>
    <w:rsid w:val="00D47BEB"/>
    <w:rsid w:val="00D47C9B"/>
    <w:rsid w:val="00D47D19"/>
    <w:rsid w:val="00D502E4"/>
    <w:rsid w:val="00D51825"/>
    <w:rsid w:val="00D51B9D"/>
    <w:rsid w:val="00D55918"/>
    <w:rsid w:val="00D563AE"/>
    <w:rsid w:val="00D60633"/>
    <w:rsid w:val="00D608E0"/>
    <w:rsid w:val="00D6218E"/>
    <w:rsid w:val="00D6223D"/>
    <w:rsid w:val="00D651EF"/>
    <w:rsid w:val="00D658AB"/>
    <w:rsid w:val="00D67632"/>
    <w:rsid w:val="00D709E7"/>
    <w:rsid w:val="00D70D4F"/>
    <w:rsid w:val="00D715C0"/>
    <w:rsid w:val="00D76F3F"/>
    <w:rsid w:val="00D8279A"/>
    <w:rsid w:val="00D82E34"/>
    <w:rsid w:val="00D82E9B"/>
    <w:rsid w:val="00D83A88"/>
    <w:rsid w:val="00D843C3"/>
    <w:rsid w:val="00D8766D"/>
    <w:rsid w:val="00D906DC"/>
    <w:rsid w:val="00D92FFA"/>
    <w:rsid w:val="00D947E8"/>
    <w:rsid w:val="00D95A27"/>
    <w:rsid w:val="00DA5614"/>
    <w:rsid w:val="00DA5E9F"/>
    <w:rsid w:val="00DA7D8C"/>
    <w:rsid w:val="00DB1253"/>
    <w:rsid w:val="00DB3509"/>
    <w:rsid w:val="00DB5643"/>
    <w:rsid w:val="00DB5AE8"/>
    <w:rsid w:val="00DB5E81"/>
    <w:rsid w:val="00DB7365"/>
    <w:rsid w:val="00DC0801"/>
    <w:rsid w:val="00DC5BCC"/>
    <w:rsid w:val="00DC6A96"/>
    <w:rsid w:val="00DC6CD4"/>
    <w:rsid w:val="00DC7691"/>
    <w:rsid w:val="00DD52AB"/>
    <w:rsid w:val="00DD5679"/>
    <w:rsid w:val="00DD5C6E"/>
    <w:rsid w:val="00DD6E1A"/>
    <w:rsid w:val="00DE0BA0"/>
    <w:rsid w:val="00DE0C4F"/>
    <w:rsid w:val="00DE1118"/>
    <w:rsid w:val="00DE1474"/>
    <w:rsid w:val="00DE59C1"/>
    <w:rsid w:val="00DE6D57"/>
    <w:rsid w:val="00DF0AA9"/>
    <w:rsid w:val="00DF1E6C"/>
    <w:rsid w:val="00DF2816"/>
    <w:rsid w:val="00DF3A3F"/>
    <w:rsid w:val="00DF3DE6"/>
    <w:rsid w:val="00DF6188"/>
    <w:rsid w:val="00DF69DD"/>
    <w:rsid w:val="00E00069"/>
    <w:rsid w:val="00E00F4F"/>
    <w:rsid w:val="00E02802"/>
    <w:rsid w:val="00E04F8E"/>
    <w:rsid w:val="00E10753"/>
    <w:rsid w:val="00E1182A"/>
    <w:rsid w:val="00E1194D"/>
    <w:rsid w:val="00E15B7B"/>
    <w:rsid w:val="00E15E81"/>
    <w:rsid w:val="00E16BB4"/>
    <w:rsid w:val="00E17B90"/>
    <w:rsid w:val="00E2185C"/>
    <w:rsid w:val="00E21CB1"/>
    <w:rsid w:val="00E22C68"/>
    <w:rsid w:val="00E23F50"/>
    <w:rsid w:val="00E24641"/>
    <w:rsid w:val="00E26749"/>
    <w:rsid w:val="00E27EEE"/>
    <w:rsid w:val="00E31055"/>
    <w:rsid w:val="00E3368A"/>
    <w:rsid w:val="00E36920"/>
    <w:rsid w:val="00E37429"/>
    <w:rsid w:val="00E3774D"/>
    <w:rsid w:val="00E416BD"/>
    <w:rsid w:val="00E44CE3"/>
    <w:rsid w:val="00E45CC2"/>
    <w:rsid w:val="00E51792"/>
    <w:rsid w:val="00E523F5"/>
    <w:rsid w:val="00E539D9"/>
    <w:rsid w:val="00E541A7"/>
    <w:rsid w:val="00E543C2"/>
    <w:rsid w:val="00E5652A"/>
    <w:rsid w:val="00E56A08"/>
    <w:rsid w:val="00E56D1C"/>
    <w:rsid w:val="00E601A6"/>
    <w:rsid w:val="00E617A1"/>
    <w:rsid w:val="00E617C4"/>
    <w:rsid w:val="00E630AC"/>
    <w:rsid w:val="00E63E07"/>
    <w:rsid w:val="00E657C6"/>
    <w:rsid w:val="00E70598"/>
    <w:rsid w:val="00E71ACA"/>
    <w:rsid w:val="00E72586"/>
    <w:rsid w:val="00E72F9C"/>
    <w:rsid w:val="00E76CF6"/>
    <w:rsid w:val="00E77209"/>
    <w:rsid w:val="00E80148"/>
    <w:rsid w:val="00E80452"/>
    <w:rsid w:val="00E80F63"/>
    <w:rsid w:val="00E8164D"/>
    <w:rsid w:val="00E8256B"/>
    <w:rsid w:val="00E84A3E"/>
    <w:rsid w:val="00E8502A"/>
    <w:rsid w:val="00E85975"/>
    <w:rsid w:val="00E90F13"/>
    <w:rsid w:val="00E911A6"/>
    <w:rsid w:val="00E92E6E"/>
    <w:rsid w:val="00E93C28"/>
    <w:rsid w:val="00E962E9"/>
    <w:rsid w:val="00E9657B"/>
    <w:rsid w:val="00E97BFD"/>
    <w:rsid w:val="00EA03C7"/>
    <w:rsid w:val="00EA165E"/>
    <w:rsid w:val="00EA2072"/>
    <w:rsid w:val="00EA454C"/>
    <w:rsid w:val="00EA4E8E"/>
    <w:rsid w:val="00EA5048"/>
    <w:rsid w:val="00EB01B5"/>
    <w:rsid w:val="00EB1F86"/>
    <w:rsid w:val="00EB439B"/>
    <w:rsid w:val="00EB450F"/>
    <w:rsid w:val="00EB4693"/>
    <w:rsid w:val="00EB4ADB"/>
    <w:rsid w:val="00EB58D7"/>
    <w:rsid w:val="00EB6D1E"/>
    <w:rsid w:val="00EB7799"/>
    <w:rsid w:val="00EB7FF5"/>
    <w:rsid w:val="00EC1F25"/>
    <w:rsid w:val="00EC247F"/>
    <w:rsid w:val="00EC3223"/>
    <w:rsid w:val="00EC39A5"/>
    <w:rsid w:val="00EC41FB"/>
    <w:rsid w:val="00EC6D37"/>
    <w:rsid w:val="00EC6D84"/>
    <w:rsid w:val="00EC7AB4"/>
    <w:rsid w:val="00ED2AEA"/>
    <w:rsid w:val="00ED4DAC"/>
    <w:rsid w:val="00ED7697"/>
    <w:rsid w:val="00EE09A6"/>
    <w:rsid w:val="00EE20CB"/>
    <w:rsid w:val="00EE231F"/>
    <w:rsid w:val="00EE47DE"/>
    <w:rsid w:val="00EE6863"/>
    <w:rsid w:val="00EE6D1A"/>
    <w:rsid w:val="00EE7373"/>
    <w:rsid w:val="00EE7AF3"/>
    <w:rsid w:val="00EF07A0"/>
    <w:rsid w:val="00EF30E7"/>
    <w:rsid w:val="00EF45AB"/>
    <w:rsid w:val="00EF523B"/>
    <w:rsid w:val="00EF724D"/>
    <w:rsid w:val="00F003E8"/>
    <w:rsid w:val="00F008CC"/>
    <w:rsid w:val="00F00D01"/>
    <w:rsid w:val="00F02AD0"/>
    <w:rsid w:val="00F03112"/>
    <w:rsid w:val="00F03BCE"/>
    <w:rsid w:val="00F04D0A"/>
    <w:rsid w:val="00F05698"/>
    <w:rsid w:val="00F076AA"/>
    <w:rsid w:val="00F07D0D"/>
    <w:rsid w:val="00F107F1"/>
    <w:rsid w:val="00F12DAE"/>
    <w:rsid w:val="00F14025"/>
    <w:rsid w:val="00F163E7"/>
    <w:rsid w:val="00F17232"/>
    <w:rsid w:val="00F17BD0"/>
    <w:rsid w:val="00F23384"/>
    <w:rsid w:val="00F246D8"/>
    <w:rsid w:val="00F24BFF"/>
    <w:rsid w:val="00F27798"/>
    <w:rsid w:val="00F30D0F"/>
    <w:rsid w:val="00F327FE"/>
    <w:rsid w:val="00F37AA1"/>
    <w:rsid w:val="00F4049E"/>
    <w:rsid w:val="00F409FE"/>
    <w:rsid w:val="00F41BBB"/>
    <w:rsid w:val="00F4332C"/>
    <w:rsid w:val="00F47C05"/>
    <w:rsid w:val="00F50CE7"/>
    <w:rsid w:val="00F50DBB"/>
    <w:rsid w:val="00F510AD"/>
    <w:rsid w:val="00F52C5F"/>
    <w:rsid w:val="00F5337F"/>
    <w:rsid w:val="00F57208"/>
    <w:rsid w:val="00F57AA5"/>
    <w:rsid w:val="00F60E8B"/>
    <w:rsid w:val="00F619DB"/>
    <w:rsid w:val="00F62543"/>
    <w:rsid w:val="00F639B6"/>
    <w:rsid w:val="00F645CF"/>
    <w:rsid w:val="00F6518F"/>
    <w:rsid w:val="00F65748"/>
    <w:rsid w:val="00F6681A"/>
    <w:rsid w:val="00F71345"/>
    <w:rsid w:val="00F74B28"/>
    <w:rsid w:val="00F80AEE"/>
    <w:rsid w:val="00F80DEC"/>
    <w:rsid w:val="00F80F3C"/>
    <w:rsid w:val="00F8115F"/>
    <w:rsid w:val="00F81AD6"/>
    <w:rsid w:val="00F82A9C"/>
    <w:rsid w:val="00F82FAD"/>
    <w:rsid w:val="00F85DB2"/>
    <w:rsid w:val="00F9176B"/>
    <w:rsid w:val="00F91F00"/>
    <w:rsid w:val="00F92191"/>
    <w:rsid w:val="00F95060"/>
    <w:rsid w:val="00F957A1"/>
    <w:rsid w:val="00F970D0"/>
    <w:rsid w:val="00FA159A"/>
    <w:rsid w:val="00FA1C62"/>
    <w:rsid w:val="00FA25A7"/>
    <w:rsid w:val="00FA2EF7"/>
    <w:rsid w:val="00FA304A"/>
    <w:rsid w:val="00FA470B"/>
    <w:rsid w:val="00FA5BCD"/>
    <w:rsid w:val="00FA6121"/>
    <w:rsid w:val="00FA6BD8"/>
    <w:rsid w:val="00FB0F16"/>
    <w:rsid w:val="00FB3687"/>
    <w:rsid w:val="00FB460D"/>
    <w:rsid w:val="00FB7742"/>
    <w:rsid w:val="00FC0182"/>
    <w:rsid w:val="00FC0251"/>
    <w:rsid w:val="00FC16E6"/>
    <w:rsid w:val="00FC34E5"/>
    <w:rsid w:val="00FC4A32"/>
    <w:rsid w:val="00FC58D9"/>
    <w:rsid w:val="00FC59A3"/>
    <w:rsid w:val="00FC7918"/>
    <w:rsid w:val="00FD0E15"/>
    <w:rsid w:val="00FD0E43"/>
    <w:rsid w:val="00FD12F8"/>
    <w:rsid w:val="00FD51F2"/>
    <w:rsid w:val="00FD6888"/>
    <w:rsid w:val="00FD6FC1"/>
    <w:rsid w:val="00FD789D"/>
    <w:rsid w:val="00FD79E7"/>
    <w:rsid w:val="00FE0B2B"/>
    <w:rsid w:val="00FE337A"/>
    <w:rsid w:val="00FE51DA"/>
    <w:rsid w:val="00FE75E0"/>
    <w:rsid w:val="00FF1BBD"/>
    <w:rsid w:val="00FF1ED8"/>
    <w:rsid w:val="00FF62BA"/>
    <w:rsid w:val="00FF66EB"/>
    <w:rsid w:val="00FF77FF"/>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4CAA57D"/>
  <w15:docId w15:val="{4BE42720-CC28-4374-A865-79C13CC8F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0830"/>
    <w:rPr>
      <w:rFonts w:ascii="Times New Roman" w:eastAsia="MS Mincho" w:hAnsi="Times New Roman"/>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rsid w:val="00F71345"/>
    <w:pPr>
      <w:tabs>
        <w:tab w:val="center" w:pos="4419"/>
        <w:tab w:val="right" w:pos="8838"/>
      </w:tabs>
    </w:pPr>
    <w:rPr>
      <w:rFonts w:ascii="Calibri" w:eastAsia="Calibri" w:hAnsi="Calibri" w:cs="Calibri"/>
      <w:sz w:val="22"/>
      <w:szCs w:val="22"/>
      <w:lang w:val="es-CO" w:eastAsia="en-US"/>
    </w:rPr>
  </w:style>
  <w:style w:type="character" w:customStyle="1" w:styleId="EncabezadoCar">
    <w:name w:val="Encabezado Car"/>
    <w:basedOn w:val="Fuentedeprrafopredeter"/>
    <w:link w:val="Encabezado"/>
    <w:uiPriority w:val="99"/>
    <w:locked/>
    <w:rsid w:val="00F71345"/>
    <w:rPr>
      <w:rFonts w:cs="Times New Roman"/>
    </w:rPr>
  </w:style>
  <w:style w:type="paragraph" w:styleId="Piedepgina">
    <w:name w:val="footer"/>
    <w:basedOn w:val="Normal"/>
    <w:link w:val="PiedepginaCar"/>
    <w:uiPriority w:val="99"/>
    <w:rsid w:val="00F71345"/>
    <w:pPr>
      <w:tabs>
        <w:tab w:val="center" w:pos="4419"/>
        <w:tab w:val="right" w:pos="8838"/>
      </w:tabs>
    </w:pPr>
    <w:rPr>
      <w:rFonts w:ascii="Calibri" w:eastAsia="Calibri" w:hAnsi="Calibri" w:cs="Calibri"/>
      <w:sz w:val="22"/>
      <w:szCs w:val="22"/>
      <w:lang w:val="es-CO" w:eastAsia="en-US"/>
    </w:rPr>
  </w:style>
  <w:style w:type="character" w:customStyle="1" w:styleId="PiedepginaCar">
    <w:name w:val="Pie de página Car"/>
    <w:basedOn w:val="Fuentedeprrafopredeter"/>
    <w:link w:val="Piedepgina"/>
    <w:uiPriority w:val="99"/>
    <w:locked/>
    <w:rsid w:val="00F71345"/>
    <w:rPr>
      <w:rFonts w:cs="Times New Roman"/>
    </w:rPr>
  </w:style>
  <w:style w:type="paragraph" w:styleId="Textodeglobo">
    <w:name w:val="Balloon Text"/>
    <w:basedOn w:val="Normal"/>
    <w:link w:val="TextodegloboCar"/>
    <w:uiPriority w:val="99"/>
    <w:semiHidden/>
    <w:rsid w:val="00F71345"/>
    <w:rPr>
      <w:rFonts w:ascii="Tahoma" w:eastAsia="Calibri" w:hAnsi="Tahoma" w:cs="Tahoma"/>
      <w:sz w:val="16"/>
      <w:szCs w:val="16"/>
      <w:lang w:val="es-CO" w:eastAsia="en-US"/>
    </w:rPr>
  </w:style>
  <w:style w:type="character" w:customStyle="1" w:styleId="TextodegloboCar">
    <w:name w:val="Texto de globo Car"/>
    <w:basedOn w:val="Fuentedeprrafopredeter"/>
    <w:link w:val="Textodeglobo"/>
    <w:uiPriority w:val="99"/>
    <w:semiHidden/>
    <w:locked/>
    <w:rsid w:val="00F71345"/>
    <w:rPr>
      <w:rFonts w:ascii="Tahoma" w:hAnsi="Tahoma" w:cs="Tahoma"/>
      <w:sz w:val="16"/>
      <w:szCs w:val="16"/>
    </w:rPr>
  </w:style>
  <w:style w:type="table" w:styleId="Tablaconcuadrcula">
    <w:name w:val="Table Grid"/>
    <w:basedOn w:val="Tablanormal"/>
    <w:uiPriority w:val="99"/>
    <w:rsid w:val="00F71345"/>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8A2D0E"/>
    <w:rPr>
      <w:rFonts w:cs="Times New Roman"/>
      <w:color w:val="0000FF"/>
      <w:u w:val="single"/>
    </w:rPr>
  </w:style>
  <w:style w:type="character" w:styleId="Nmerodepgina">
    <w:name w:val="page number"/>
    <w:basedOn w:val="Fuentedeprrafopredeter"/>
    <w:uiPriority w:val="99"/>
    <w:rsid w:val="00F65748"/>
    <w:rPr>
      <w:rFonts w:cs="Times New Roman"/>
    </w:rPr>
  </w:style>
  <w:style w:type="paragraph" w:customStyle="1" w:styleId="Body">
    <w:name w:val="Body"/>
    <w:rsid w:val="00B43E0B"/>
    <w:rPr>
      <w:rFonts w:ascii="Helvetica" w:eastAsia="ヒラギノ角ゴ Pro W3" w:hAnsi="Helvetica"/>
      <w:color w:val="000000"/>
      <w:sz w:val="24"/>
      <w:szCs w:val="20"/>
      <w:lang w:val="en-US" w:eastAsia="es-CO"/>
    </w:rPr>
  </w:style>
  <w:style w:type="character" w:styleId="Refdecomentario">
    <w:name w:val="annotation reference"/>
    <w:basedOn w:val="Fuentedeprrafopredeter"/>
    <w:uiPriority w:val="99"/>
    <w:semiHidden/>
    <w:unhideWhenUsed/>
    <w:rsid w:val="004666D9"/>
    <w:rPr>
      <w:sz w:val="16"/>
      <w:szCs w:val="16"/>
    </w:rPr>
  </w:style>
  <w:style w:type="paragraph" w:styleId="Textocomentario">
    <w:name w:val="annotation text"/>
    <w:basedOn w:val="Normal"/>
    <w:link w:val="TextocomentarioCar"/>
    <w:uiPriority w:val="99"/>
    <w:semiHidden/>
    <w:unhideWhenUsed/>
    <w:rsid w:val="004666D9"/>
    <w:rPr>
      <w:sz w:val="20"/>
      <w:szCs w:val="20"/>
    </w:rPr>
  </w:style>
  <w:style w:type="character" w:customStyle="1" w:styleId="TextocomentarioCar">
    <w:name w:val="Texto comentario Car"/>
    <w:basedOn w:val="Fuentedeprrafopredeter"/>
    <w:link w:val="Textocomentario"/>
    <w:uiPriority w:val="99"/>
    <w:semiHidden/>
    <w:rsid w:val="004666D9"/>
    <w:rPr>
      <w:rFonts w:ascii="Times New Roman" w:eastAsia="MS Mincho" w:hAnsi="Times New Roman"/>
      <w:sz w:val="20"/>
      <w:szCs w:val="20"/>
    </w:rPr>
  </w:style>
  <w:style w:type="paragraph" w:styleId="Asuntodelcomentario">
    <w:name w:val="annotation subject"/>
    <w:basedOn w:val="Textocomentario"/>
    <w:next w:val="Textocomentario"/>
    <w:link w:val="AsuntodelcomentarioCar"/>
    <w:uiPriority w:val="99"/>
    <w:semiHidden/>
    <w:unhideWhenUsed/>
    <w:rsid w:val="004666D9"/>
    <w:rPr>
      <w:b/>
      <w:bCs/>
    </w:rPr>
  </w:style>
  <w:style w:type="character" w:customStyle="1" w:styleId="AsuntodelcomentarioCar">
    <w:name w:val="Asunto del comentario Car"/>
    <w:basedOn w:val="TextocomentarioCar"/>
    <w:link w:val="Asuntodelcomentario"/>
    <w:uiPriority w:val="99"/>
    <w:semiHidden/>
    <w:rsid w:val="004666D9"/>
    <w:rPr>
      <w:rFonts w:ascii="Times New Roman" w:eastAsia="MS Mincho" w:hAnsi="Times New Roman"/>
      <w:b/>
      <w:bCs/>
      <w:sz w:val="20"/>
      <w:szCs w:val="20"/>
    </w:rPr>
  </w:style>
  <w:style w:type="paragraph" w:styleId="Prrafodelista">
    <w:name w:val="List Paragraph"/>
    <w:aliases w:val="LISTA,Párrafo de lista11,EY EPM - Lista,Num Bullet 1"/>
    <w:basedOn w:val="Normal"/>
    <w:link w:val="PrrafodelistaCar"/>
    <w:uiPriority w:val="34"/>
    <w:qFormat/>
    <w:rsid w:val="00090678"/>
    <w:pPr>
      <w:ind w:left="720"/>
      <w:contextualSpacing/>
    </w:pPr>
  </w:style>
  <w:style w:type="paragraph" w:customStyle="1" w:styleId="Default">
    <w:name w:val="Default"/>
    <w:rsid w:val="00A25EE4"/>
    <w:pPr>
      <w:autoSpaceDE w:val="0"/>
      <w:autoSpaceDN w:val="0"/>
      <w:adjustRightInd w:val="0"/>
    </w:pPr>
    <w:rPr>
      <w:rFonts w:cs="Calibri"/>
      <w:color w:val="000000"/>
      <w:sz w:val="24"/>
      <w:szCs w:val="24"/>
      <w:lang w:val="es-CO"/>
    </w:rPr>
  </w:style>
  <w:style w:type="paragraph" w:styleId="Textonotapie">
    <w:name w:val="footnote text"/>
    <w:aliases w:val="ft,ft Car Car Car,ft Car,Texto nota pie2,ft1,ft Car Car Car1,Texto nota pie Car2,ft Car Car2,Footnote Text Char Car,Footnote Text Char Char,bibliografía,texto de nota al pie,Texto nota pie Car1,Texto nota pie Car Car,Texto nota pie Car11"/>
    <w:basedOn w:val="Normal"/>
    <w:link w:val="TextonotapieCar"/>
    <w:uiPriority w:val="99"/>
    <w:unhideWhenUsed/>
    <w:rsid w:val="005C7A7F"/>
    <w:rPr>
      <w:sz w:val="20"/>
      <w:szCs w:val="20"/>
    </w:rPr>
  </w:style>
  <w:style w:type="character" w:customStyle="1" w:styleId="TextonotapieCar">
    <w:name w:val="Texto nota pie Car"/>
    <w:aliases w:val="ft Car1,ft Car Car Car Car,ft Car Car,Texto nota pie2 Car,ft1 Car,ft Car Car Car1 Car,Texto nota pie Car2 Car,ft Car Car2 Car,Footnote Text Char Car Car,Footnote Text Char Char Car,bibliografía Car,texto de nota al pie Car"/>
    <w:basedOn w:val="Fuentedeprrafopredeter"/>
    <w:link w:val="Textonotapie"/>
    <w:uiPriority w:val="99"/>
    <w:rsid w:val="005C7A7F"/>
    <w:rPr>
      <w:rFonts w:ascii="Times New Roman" w:eastAsia="MS Mincho" w:hAnsi="Times New Roman"/>
      <w:sz w:val="20"/>
      <w:szCs w:val="20"/>
    </w:rPr>
  </w:style>
  <w:style w:type="character" w:styleId="Refdenotaalpie">
    <w:name w:val="footnote reference"/>
    <w:aliases w:val="Ref,de nota al pie,Texto de nota al pie,Ref. de nota al pie2,referencia nota al pie,Footnote symbol,Footnote,FC,BVI fnr,Nota de pie,Pie de pagina,Texto nota al pie,Appel note de bas de p,Ref1,16 Point,Superscript 6 Point,ftref"/>
    <w:basedOn w:val="Fuentedeprrafopredeter"/>
    <w:uiPriority w:val="99"/>
    <w:unhideWhenUsed/>
    <w:rsid w:val="005C7A7F"/>
    <w:rPr>
      <w:vertAlign w:val="superscript"/>
    </w:rPr>
  </w:style>
  <w:style w:type="character" w:customStyle="1" w:styleId="PrrafodelistaCar">
    <w:name w:val="Párrafo de lista Car"/>
    <w:aliases w:val="LISTA Car,Párrafo de lista11 Car,EY EPM - Lista Car,Num Bullet 1 Car"/>
    <w:link w:val="Prrafodelista"/>
    <w:uiPriority w:val="34"/>
    <w:locked/>
    <w:rsid w:val="00875DC7"/>
    <w:rPr>
      <w:rFonts w:ascii="Times New Roman" w:eastAsia="MS Mincho" w:hAnsi="Times New Roman"/>
      <w:sz w:val="24"/>
      <w:szCs w:val="24"/>
    </w:rPr>
  </w:style>
  <w:style w:type="paragraph" w:customStyle="1" w:styleId="unico">
    <w:name w:val="unico"/>
    <w:basedOn w:val="Normal"/>
    <w:rsid w:val="00875DC7"/>
    <w:pPr>
      <w:spacing w:before="100" w:beforeAutospacing="1" w:after="100" w:afterAutospacing="1"/>
    </w:pPr>
    <w:rPr>
      <w:rFonts w:eastAsia="Times New Roman"/>
      <w:lang w:val="es-CO" w:eastAsia="es-CO"/>
    </w:rPr>
  </w:style>
  <w:style w:type="character" w:customStyle="1" w:styleId="ms-rtefontface-13">
    <w:name w:val="ms-rtefontface-13"/>
    <w:basedOn w:val="Fuentedeprrafopredeter"/>
    <w:rsid w:val="00945426"/>
  </w:style>
  <w:style w:type="paragraph" w:styleId="NormalWeb">
    <w:name w:val="Normal (Web)"/>
    <w:basedOn w:val="Normal"/>
    <w:uiPriority w:val="99"/>
    <w:unhideWhenUsed/>
    <w:rsid w:val="00FA25A7"/>
    <w:pPr>
      <w:spacing w:before="100" w:beforeAutospacing="1" w:after="100" w:afterAutospacing="1"/>
    </w:pPr>
    <w:rPr>
      <w:rFonts w:eastAsiaTheme="minorHAnsi"/>
      <w:lang w:val="es-CO" w:eastAsia="es-CO"/>
    </w:rPr>
  </w:style>
  <w:style w:type="paragraph" w:styleId="Textoindependiente">
    <w:name w:val="Body Text"/>
    <w:basedOn w:val="Normal"/>
    <w:link w:val="TextoindependienteCar"/>
    <w:rsid w:val="000D245B"/>
    <w:pPr>
      <w:jc w:val="both"/>
    </w:pPr>
    <w:rPr>
      <w:rFonts w:ascii="Z@R4B.tmp" w:eastAsia="Z@R4B.tmp" w:hAnsi="Z@R4B.tmp" w:cs="Z@R4B.tmp"/>
      <w:szCs w:val="20"/>
      <w:lang w:val="es-CO"/>
    </w:rPr>
  </w:style>
  <w:style w:type="character" w:customStyle="1" w:styleId="TextoindependienteCar">
    <w:name w:val="Texto independiente Car"/>
    <w:basedOn w:val="Fuentedeprrafopredeter"/>
    <w:link w:val="Textoindependiente"/>
    <w:rsid w:val="000D245B"/>
    <w:rPr>
      <w:rFonts w:ascii="Z@R4B.tmp" w:eastAsia="Z@R4B.tmp" w:hAnsi="Z@R4B.tmp" w:cs="Z@R4B.tmp"/>
      <w:sz w:val="24"/>
      <w:szCs w:val="20"/>
      <w:lang w:val="es-CO"/>
    </w:rPr>
  </w:style>
  <w:style w:type="character" w:styleId="Mencinsinresolver">
    <w:name w:val="Unresolved Mention"/>
    <w:basedOn w:val="Fuentedeprrafopredeter"/>
    <w:uiPriority w:val="99"/>
    <w:semiHidden/>
    <w:unhideWhenUsed/>
    <w:rsid w:val="007F710B"/>
    <w:rPr>
      <w:color w:val="605E5C"/>
      <w:shd w:val="clear" w:color="auto" w:fill="E1DFDD"/>
    </w:rPr>
  </w:style>
  <w:style w:type="character" w:styleId="Hipervnculovisitado">
    <w:name w:val="FollowedHyperlink"/>
    <w:basedOn w:val="Fuentedeprrafopredeter"/>
    <w:uiPriority w:val="99"/>
    <w:semiHidden/>
    <w:unhideWhenUsed/>
    <w:rsid w:val="007F710B"/>
    <w:rPr>
      <w:color w:val="800080" w:themeColor="followedHyperlink"/>
      <w:u w:val="single"/>
    </w:rPr>
  </w:style>
  <w:style w:type="paragraph" w:styleId="Sinespaciado">
    <w:name w:val="No Spacing"/>
    <w:link w:val="SinespaciadoCar"/>
    <w:uiPriority w:val="1"/>
    <w:qFormat/>
    <w:rsid w:val="00D92FFA"/>
    <w:rPr>
      <w:lang w:val="es-CO" w:eastAsia="en-US"/>
    </w:rPr>
  </w:style>
  <w:style w:type="character" w:customStyle="1" w:styleId="SinespaciadoCar">
    <w:name w:val="Sin espaciado Car"/>
    <w:link w:val="Sinespaciado"/>
    <w:uiPriority w:val="1"/>
    <w:rsid w:val="00D92FFA"/>
    <w:rPr>
      <w:lang w:val="es-CO"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857370">
      <w:bodyDiv w:val="1"/>
      <w:marLeft w:val="0"/>
      <w:marRight w:val="0"/>
      <w:marTop w:val="0"/>
      <w:marBottom w:val="0"/>
      <w:divBdr>
        <w:top w:val="none" w:sz="0" w:space="0" w:color="auto"/>
        <w:left w:val="none" w:sz="0" w:space="0" w:color="auto"/>
        <w:bottom w:val="none" w:sz="0" w:space="0" w:color="auto"/>
        <w:right w:val="none" w:sz="0" w:space="0" w:color="auto"/>
      </w:divBdr>
    </w:div>
    <w:div w:id="44918373">
      <w:bodyDiv w:val="1"/>
      <w:marLeft w:val="0"/>
      <w:marRight w:val="0"/>
      <w:marTop w:val="0"/>
      <w:marBottom w:val="0"/>
      <w:divBdr>
        <w:top w:val="none" w:sz="0" w:space="0" w:color="auto"/>
        <w:left w:val="none" w:sz="0" w:space="0" w:color="auto"/>
        <w:bottom w:val="none" w:sz="0" w:space="0" w:color="auto"/>
        <w:right w:val="none" w:sz="0" w:space="0" w:color="auto"/>
      </w:divBdr>
    </w:div>
    <w:div w:id="56125428">
      <w:bodyDiv w:val="1"/>
      <w:marLeft w:val="0"/>
      <w:marRight w:val="0"/>
      <w:marTop w:val="0"/>
      <w:marBottom w:val="0"/>
      <w:divBdr>
        <w:top w:val="none" w:sz="0" w:space="0" w:color="auto"/>
        <w:left w:val="none" w:sz="0" w:space="0" w:color="auto"/>
        <w:bottom w:val="none" w:sz="0" w:space="0" w:color="auto"/>
        <w:right w:val="none" w:sz="0" w:space="0" w:color="auto"/>
      </w:divBdr>
    </w:div>
    <w:div w:id="106238168">
      <w:bodyDiv w:val="1"/>
      <w:marLeft w:val="0"/>
      <w:marRight w:val="0"/>
      <w:marTop w:val="0"/>
      <w:marBottom w:val="0"/>
      <w:divBdr>
        <w:top w:val="none" w:sz="0" w:space="0" w:color="auto"/>
        <w:left w:val="none" w:sz="0" w:space="0" w:color="auto"/>
        <w:bottom w:val="none" w:sz="0" w:space="0" w:color="auto"/>
        <w:right w:val="none" w:sz="0" w:space="0" w:color="auto"/>
      </w:divBdr>
    </w:div>
    <w:div w:id="195656447">
      <w:bodyDiv w:val="1"/>
      <w:marLeft w:val="0"/>
      <w:marRight w:val="0"/>
      <w:marTop w:val="0"/>
      <w:marBottom w:val="0"/>
      <w:divBdr>
        <w:top w:val="none" w:sz="0" w:space="0" w:color="auto"/>
        <w:left w:val="none" w:sz="0" w:space="0" w:color="auto"/>
        <w:bottom w:val="none" w:sz="0" w:space="0" w:color="auto"/>
        <w:right w:val="none" w:sz="0" w:space="0" w:color="auto"/>
      </w:divBdr>
    </w:div>
    <w:div w:id="335153508">
      <w:bodyDiv w:val="1"/>
      <w:marLeft w:val="0"/>
      <w:marRight w:val="0"/>
      <w:marTop w:val="0"/>
      <w:marBottom w:val="0"/>
      <w:divBdr>
        <w:top w:val="none" w:sz="0" w:space="0" w:color="auto"/>
        <w:left w:val="none" w:sz="0" w:space="0" w:color="auto"/>
        <w:bottom w:val="none" w:sz="0" w:space="0" w:color="auto"/>
        <w:right w:val="none" w:sz="0" w:space="0" w:color="auto"/>
      </w:divBdr>
    </w:div>
    <w:div w:id="422458896">
      <w:bodyDiv w:val="1"/>
      <w:marLeft w:val="0"/>
      <w:marRight w:val="0"/>
      <w:marTop w:val="0"/>
      <w:marBottom w:val="0"/>
      <w:divBdr>
        <w:top w:val="none" w:sz="0" w:space="0" w:color="auto"/>
        <w:left w:val="none" w:sz="0" w:space="0" w:color="auto"/>
        <w:bottom w:val="none" w:sz="0" w:space="0" w:color="auto"/>
        <w:right w:val="none" w:sz="0" w:space="0" w:color="auto"/>
      </w:divBdr>
      <w:divsChild>
        <w:div w:id="1255672407">
          <w:marLeft w:val="0"/>
          <w:marRight w:val="0"/>
          <w:marTop w:val="0"/>
          <w:marBottom w:val="0"/>
          <w:divBdr>
            <w:top w:val="none" w:sz="0" w:space="0" w:color="auto"/>
            <w:left w:val="none" w:sz="0" w:space="0" w:color="auto"/>
            <w:bottom w:val="none" w:sz="0" w:space="0" w:color="auto"/>
            <w:right w:val="none" w:sz="0" w:space="0" w:color="auto"/>
          </w:divBdr>
        </w:div>
        <w:div w:id="837038159">
          <w:marLeft w:val="0"/>
          <w:marRight w:val="0"/>
          <w:marTop w:val="0"/>
          <w:marBottom w:val="0"/>
          <w:divBdr>
            <w:top w:val="none" w:sz="0" w:space="0" w:color="auto"/>
            <w:left w:val="none" w:sz="0" w:space="0" w:color="auto"/>
            <w:bottom w:val="none" w:sz="0" w:space="0" w:color="auto"/>
            <w:right w:val="none" w:sz="0" w:space="0" w:color="auto"/>
          </w:divBdr>
        </w:div>
        <w:div w:id="1836142765">
          <w:marLeft w:val="0"/>
          <w:marRight w:val="0"/>
          <w:marTop w:val="0"/>
          <w:marBottom w:val="0"/>
          <w:divBdr>
            <w:top w:val="none" w:sz="0" w:space="0" w:color="auto"/>
            <w:left w:val="none" w:sz="0" w:space="0" w:color="auto"/>
            <w:bottom w:val="none" w:sz="0" w:space="0" w:color="auto"/>
            <w:right w:val="none" w:sz="0" w:space="0" w:color="auto"/>
          </w:divBdr>
        </w:div>
      </w:divsChild>
    </w:div>
    <w:div w:id="564684187">
      <w:bodyDiv w:val="1"/>
      <w:marLeft w:val="0"/>
      <w:marRight w:val="0"/>
      <w:marTop w:val="0"/>
      <w:marBottom w:val="0"/>
      <w:divBdr>
        <w:top w:val="none" w:sz="0" w:space="0" w:color="auto"/>
        <w:left w:val="none" w:sz="0" w:space="0" w:color="auto"/>
        <w:bottom w:val="none" w:sz="0" w:space="0" w:color="auto"/>
        <w:right w:val="none" w:sz="0" w:space="0" w:color="auto"/>
      </w:divBdr>
    </w:div>
    <w:div w:id="649210213">
      <w:bodyDiv w:val="1"/>
      <w:marLeft w:val="0"/>
      <w:marRight w:val="0"/>
      <w:marTop w:val="0"/>
      <w:marBottom w:val="0"/>
      <w:divBdr>
        <w:top w:val="none" w:sz="0" w:space="0" w:color="auto"/>
        <w:left w:val="none" w:sz="0" w:space="0" w:color="auto"/>
        <w:bottom w:val="none" w:sz="0" w:space="0" w:color="auto"/>
        <w:right w:val="none" w:sz="0" w:space="0" w:color="auto"/>
      </w:divBdr>
    </w:div>
    <w:div w:id="737215858">
      <w:bodyDiv w:val="1"/>
      <w:marLeft w:val="0"/>
      <w:marRight w:val="0"/>
      <w:marTop w:val="0"/>
      <w:marBottom w:val="0"/>
      <w:divBdr>
        <w:top w:val="none" w:sz="0" w:space="0" w:color="auto"/>
        <w:left w:val="none" w:sz="0" w:space="0" w:color="auto"/>
        <w:bottom w:val="none" w:sz="0" w:space="0" w:color="auto"/>
        <w:right w:val="none" w:sz="0" w:space="0" w:color="auto"/>
      </w:divBdr>
      <w:divsChild>
        <w:div w:id="1826555419">
          <w:marLeft w:val="0"/>
          <w:marRight w:val="0"/>
          <w:marTop w:val="0"/>
          <w:marBottom w:val="0"/>
          <w:divBdr>
            <w:top w:val="none" w:sz="0" w:space="0" w:color="auto"/>
            <w:left w:val="none" w:sz="0" w:space="0" w:color="auto"/>
            <w:bottom w:val="none" w:sz="0" w:space="0" w:color="auto"/>
            <w:right w:val="none" w:sz="0" w:space="0" w:color="auto"/>
          </w:divBdr>
        </w:div>
        <w:div w:id="1272784041">
          <w:marLeft w:val="0"/>
          <w:marRight w:val="0"/>
          <w:marTop w:val="0"/>
          <w:marBottom w:val="0"/>
          <w:divBdr>
            <w:top w:val="none" w:sz="0" w:space="0" w:color="auto"/>
            <w:left w:val="none" w:sz="0" w:space="0" w:color="auto"/>
            <w:bottom w:val="none" w:sz="0" w:space="0" w:color="auto"/>
            <w:right w:val="none" w:sz="0" w:space="0" w:color="auto"/>
          </w:divBdr>
        </w:div>
        <w:div w:id="1761099181">
          <w:marLeft w:val="0"/>
          <w:marRight w:val="0"/>
          <w:marTop w:val="0"/>
          <w:marBottom w:val="0"/>
          <w:divBdr>
            <w:top w:val="none" w:sz="0" w:space="0" w:color="auto"/>
            <w:left w:val="none" w:sz="0" w:space="0" w:color="auto"/>
            <w:bottom w:val="none" w:sz="0" w:space="0" w:color="auto"/>
            <w:right w:val="none" w:sz="0" w:space="0" w:color="auto"/>
          </w:divBdr>
        </w:div>
      </w:divsChild>
    </w:div>
    <w:div w:id="762920621">
      <w:bodyDiv w:val="1"/>
      <w:marLeft w:val="0"/>
      <w:marRight w:val="0"/>
      <w:marTop w:val="0"/>
      <w:marBottom w:val="0"/>
      <w:divBdr>
        <w:top w:val="none" w:sz="0" w:space="0" w:color="auto"/>
        <w:left w:val="none" w:sz="0" w:space="0" w:color="auto"/>
        <w:bottom w:val="none" w:sz="0" w:space="0" w:color="auto"/>
        <w:right w:val="none" w:sz="0" w:space="0" w:color="auto"/>
      </w:divBdr>
    </w:div>
    <w:div w:id="868302190">
      <w:bodyDiv w:val="1"/>
      <w:marLeft w:val="0"/>
      <w:marRight w:val="0"/>
      <w:marTop w:val="0"/>
      <w:marBottom w:val="0"/>
      <w:divBdr>
        <w:top w:val="none" w:sz="0" w:space="0" w:color="auto"/>
        <w:left w:val="none" w:sz="0" w:space="0" w:color="auto"/>
        <w:bottom w:val="none" w:sz="0" w:space="0" w:color="auto"/>
        <w:right w:val="none" w:sz="0" w:space="0" w:color="auto"/>
      </w:divBdr>
    </w:div>
    <w:div w:id="895580124">
      <w:bodyDiv w:val="1"/>
      <w:marLeft w:val="0"/>
      <w:marRight w:val="0"/>
      <w:marTop w:val="0"/>
      <w:marBottom w:val="0"/>
      <w:divBdr>
        <w:top w:val="none" w:sz="0" w:space="0" w:color="auto"/>
        <w:left w:val="none" w:sz="0" w:space="0" w:color="auto"/>
        <w:bottom w:val="none" w:sz="0" w:space="0" w:color="auto"/>
        <w:right w:val="none" w:sz="0" w:space="0" w:color="auto"/>
      </w:divBdr>
    </w:div>
    <w:div w:id="964308094">
      <w:bodyDiv w:val="1"/>
      <w:marLeft w:val="0"/>
      <w:marRight w:val="0"/>
      <w:marTop w:val="0"/>
      <w:marBottom w:val="0"/>
      <w:divBdr>
        <w:top w:val="none" w:sz="0" w:space="0" w:color="auto"/>
        <w:left w:val="none" w:sz="0" w:space="0" w:color="auto"/>
        <w:bottom w:val="none" w:sz="0" w:space="0" w:color="auto"/>
        <w:right w:val="none" w:sz="0" w:space="0" w:color="auto"/>
      </w:divBdr>
    </w:div>
    <w:div w:id="1001275941">
      <w:bodyDiv w:val="1"/>
      <w:marLeft w:val="0"/>
      <w:marRight w:val="0"/>
      <w:marTop w:val="0"/>
      <w:marBottom w:val="0"/>
      <w:divBdr>
        <w:top w:val="none" w:sz="0" w:space="0" w:color="auto"/>
        <w:left w:val="none" w:sz="0" w:space="0" w:color="auto"/>
        <w:bottom w:val="none" w:sz="0" w:space="0" w:color="auto"/>
        <w:right w:val="none" w:sz="0" w:space="0" w:color="auto"/>
      </w:divBdr>
    </w:div>
    <w:div w:id="1089231784">
      <w:bodyDiv w:val="1"/>
      <w:marLeft w:val="0"/>
      <w:marRight w:val="0"/>
      <w:marTop w:val="0"/>
      <w:marBottom w:val="0"/>
      <w:divBdr>
        <w:top w:val="none" w:sz="0" w:space="0" w:color="auto"/>
        <w:left w:val="none" w:sz="0" w:space="0" w:color="auto"/>
        <w:bottom w:val="none" w:sz="0" w:space="0" w:color="auto"/>
        <w:right w:val="none" w:sz="0" w:space="0" w:color="auto"/>
      </w:divBdr>
    </w:div>
    <w:div w:id="1141918500">
      <w:bodyDiv w:val="1"/>
      <w:marLeft w:val="0"/>
      <w:marRight w:val="0"/>
      <w:marTop w:val="0"/>
      <w:marBottom w:val="0"/>
      <w:divBdr>
        <w:top w:val="none" w:sz="0" w:space="0" w:color="auto"/>
        <w:left w:val="none" w:sz="0" w:space="0" w:color="auto"/>
        <w:bottom w:val="none" w:sz="0" w:space="0" w:color="auto"/>
        <w:right w:val="none" w:sz="0" w:space="0" w:color="auto"/>
      </w:divBdr>
    </w:div>
    <w:div w:id="1273703494">
      <w:bodyDiv w:val="1"/>
      <w:marLeft w:val="0"/>
      <w:marRight w:val="0"/>
      <w:marTop w:val="0"/>
      <w:marBottom w:val="0"/>
      <w:divBdr>
        <w:top w:val="none" w:sz="0" w:space="0" w:color="auto"/>
        <w:left w:val="none" w:sz="0" w:space="0" w:color="auto"/>
        <w:bottom w:val="none" w:sz="0" w:space="0" w:color="auto"/>
        <w:right w:val="none" w:sz="0" w:space="0" w:color="auto"/>
      </w:divBdr>
    </w:div>
    <w:div w:id="1358046202">
      <w:bodyDiv w:val="1"/>
      <w:marLeft w:val="0"/>
      <w:marRight w:val="0"/>
      <w:marTop w:val="0"/>
      <w:marBottom w:val="0"/>
      <w:divBdr>
        <w:top w:val="none" w:sz="0" w:space="0" w:color="auto"/>
        <w:left w:val="none" w:sz="0" w:space="0" w:color="auto"/>
        <w:bottom w:val="none" w:sz="0" w:space="0" w:color="auto"/>
        <w:right w:val="none" w:sz="0" w:space="0" w:color="auto"/>
      </w:divBdr>
    </w:div>
    <w:div w:id="1466384938">
      <w:bodyDiv w:val="1"/>
      <w:marLeft w:val="0"/>
      <w:marRight w:val="0"/>
      <w:marTop w:val="0"/>
      <w:marBottom w:val="0"/>
      <w:divBdr>
        <w:top w:val="none" w:sz="0" w:space="0" w:color="auto"/>
        <w:left w:val="none" w:sz="0" w:space="0" w:color="auto"/>
        <w:bottom w:val="none" w:sz="0" w:space="0" w:color="auto"/>
        <w:right w:val="none" w:sz="0" w:space="0" w:color="auto"/>
      </w:divBdr>
    </w:div>
    <w:div w:id="1600066537">
      <w:bodyDiv w:val="1"/>
      <w:marLeft w:val="0"/>
      <w:marRight w:val="0"/>
      <w:marTop w:val="0"/>
      <w:marBottom w:val="0"/>
      <w:divBdr>
        <w:top w:val="none" w:sz="0" w:space="0" w:color="auto"/>
        <w:left w:val="none" w:sz="0" w:space="0" w:color="auto"/>
        <w:bottom w:val="none" w:sz="0" w:space="0" w:color="auto"/>
        <w:right w:val="none" w:sz="0" w:space="0" w:color="auto"/>
      </w:divBdr>
    </w:div>
    <w:div w:id="1673411129">
      <w:bodyDiv w:val="1"/>
      <w:marLeft w:val="0"/>
      <w:marRight w:val="0"/>
      <w:marTop w:val="0"/>
      <w:marBottom w:val="0"/>
      <w:divBdr>
        <w:top w:val="none" w:sz="0" w:space="0" w:color="auto"/>
        <w:left w:val="none" w:sz="0" w:space="0" w:color="auto"/>
        <w:bottom w:val="none" w:sz="0" w:space="0" w:color="auto"/>
        <w:right w:val="none" w:sz="0" w:space="0" w:color="auto"/>
      </w:divBdr>
    </w:div>
    <w:div w:id="1781483694">
      <w:bodyDiv w:val="1"/>
      <w:marLeft w:val="0"/>
      <w:marRight w:val="0"/>
      <w:marTop w:val="0"/>
      <w:marBottom w:val="0"/>
      <w:divBdr>
        <w:top w:val="none" w:sz="0" w:space="0" w:color="auto"/>
        <w:left w:val="none" w:sz="0" w:space="0" w:color="auto"/>
        <w:bottom w:val="none" w:sz="0" w:space="0" w:color="auto"/>
        <w:right w:val="none" w:sz="0" w:space="0" w:color="auto"/>
      </w:divBdr>
    </w:div>
    <w:div w:id="1858735616">
      <w:bodyDiv w:val="1"/>
      <w:marLeft w:val="0"/>
      <w:marRight w:val="0"/>
      <w:marTop w:val="0"/>
      <w:marBottom w:val="0"/>
      <w:divBdr>
        <w:top w:val="none" w:sz="0" w:space="0" w:color="auto"/>
        <w:left w:val="none" w:sz="0" w:space="0" w:color="auto"/>
        <w:bottom w:val="none" w:sz="0" w:space="0" w:color="auto"/>
        <w:right w:val="none" w:sz="0" w:space="0" w:color="auto"/>
      </w:divBdr>
    </w:div>
    <w:div w:id="1864174202">
      <w:bodyDiv w:val="1"/>
      <w:marLeft w:val="0"/>
      <w:marRight w:val="0"/>
      <w:marTop w:val="0"/>
      <w:marBottom w:val="0"/>
      <w:divBdr>
        <w:top w:val="none" w:sz="0" w:space="0" w:color="auto"/>
        <w:left w:val="none" w:sz="0" w:space="0" w:color="auto"/>
        <w:bottom w:val="none" w:sz="0" w:space="0" w:color="auto"/>
        <w:right w:val="none" w:sz="0" w:space="0" w:color="auto"/>
      </w:divBdr>
    </w:div>
    <w:div w:id="1880195028">
      <w:bodyDiv w:val="1"/>
      <w:marLeft w:val="0"/>
      <w:marRight w:val="0"/>
      <w:marTop w:val="0"/>
      <w:marBottom w:val="0"/>
      <w:divBdr>
        <w:top w:val="none" w:sz="0" w:space="0" w:color="auto"/>
        <w:left w:val="none" w:sz="0" w:space="0" w:color="auto"/>
        <w:bottom w:val="none" w:sz="0" w:space="0" w:color="auto"/>
        <w:right w:val="none" w:sz="0" w:space="0" w:color="auto"/>
      </w:divBdr>
    </w:div>
    <w:div w:id="1968585595">
      <w:bodyDiv w:val="1"/>
      <w:marLeft w:val="0"/>
      <w:marRight w:val="0"/>
      <w:marTop w:val="0"/>
      <w:marBottom w:val="0"/>
      <w:divBdr>
        <w:top w:val="none" w:sz="0" w:space="0" w:color="auto"/>
        <w:left w:val="none" w:sz="0" w:space="0" w:color="auto"/>
        <w:bottom w:val="none" w:sz="0" w:space="0" w:color="auto"/>
        <w:right w:val="none" w:sz="0" w:space="0" w:color="auto"/>
      </w:divBdr>
    </w:div>
    <w:div w:id="2088336975">
      <w:bodyDiv w:val="1"/>
      <w:marLeft w:val="0"/>
      <w:marRight w:val="0"/>
      <w:marTop w:val="0"/>
      <w:marBottom w:val="0"/>
      <w:divBdr>
        <w:top w:val="none" w:sz="0" w:space="0" w:color="auto"/>
        <w:left w:val="none" w:sz="0" w:space="0" w:color="auto"/>
        <w:bottom w:val="none" w:sz="0" w:space="0" w:color="auto"/>
        <w:right w:val="none" w:sz="0" w:space="0" w:color="auto"/>
      </w:divBdr>
    </w:div>
    <w:div w:id="2115518956">
      <w:marLeft w:val="0"/>
      <w:marRight w:val="0"/>
      <w:marTop w:val="0"/>
      <w:marBottom w:val="0"/>
      <w:divBdr>
        <w:top w:val="none" w:sz="0" w:space="0" w:color="auto"/>
        <w:left w:val="none" w:sz="0" w:space="0" w:color="auto"/>
        <w:bottom w:val="none" w:sz="0" w:space="0" w:color="auto"/>
        <w:right w:val="none" w:sz="0" w:space="0" w:color="auto"/>
      </w:divBdr>
    </w:div>
    <w:div w:id="2125731340">
      <w:bodyDiv w:val="1"/>
      <w:marLeft w:val="0"/>
      <w:marRight w:val="0"/>
      <w:marTop w:val="0"/>
      <w:marBottom w:val="0"/>
      <w:divBdr>
        <w:top w:val="none" w:sz="0" w:space="0" w:color="auto"/>
        <w:left w:val="none" w:sz="0" w:space="0" w:color="auto"/>
        <w:bottom w:val="none" w:sz="0" w:space="0" w:color="auto"/>
        <w:right w:val="none" w:sz="0" w:space="0" w:color="auto"/>
      </w:divBdr>
    </w:div>
    <w:div w:id="21302028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minhacienda.gov.co/seguridad-social-dress/fonpet" TargetMode="External"/><Relationship Id="rId2" Type="http://schemas.openxmlformats.org/officeDocument/2006/relationships/customXml" Target="../customXml/item2.xml"/><Relationship Id="rId16" Type="http://schemas.openxmlformats.org/officeDocument/2006/relationships/hyperlink" Target="https://www.minhacienda.gov.co/seguridad-social-dress/fonpet"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minhacienda.gov.co/seguridad-social-dress/fonpet"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minhacienda.gov.co" TargetMode="External"/></Relationships>
</file>

<file path=word/_rels/footer2.xml.rels><?xml version="1.0" encoding="UTF-8" standalone="yes"?>
<Relationships xmlns="http://schemas.openxmlformats.org/package/2006/relationships"><Relationship Id="rId2" Type="http://schemas.openxmlformats.org/officeDocument/2006/relationships/image" Target="cid:image001.png@01D8AB18.C262CF90" TargetMode="External"/><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https://authapp.minhacienda.gov.co/img/logo-minhacienda-web.png" TargetMode="External"/></Relationships>
</file>

<file path=word/_rels/header2.xml.rels><?xml version="1.0" encoding="UTF-8" standalone="yes"?>
<Relationships xmlns="http://schemas.openxmlformats.org/package/2006/relationships"><Relationship Id="rId1" Type="http://schemas.openxmlformats.org/officeDocument/2006/relationships/image" Target="https://authapp.minhacienda.gov.co/img/logo-minhacienda-web.p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4CAF40325C9FA45BE41CDD1FAD4A046" ma:contentTypeVersion="14" ma:contentTypeDescription="Crear nuevo documento." ma:contentTypeScope="" ma:versionID="f86af02015040bff37403c3983fdc75e">
  <xsd:schema xmlns:xsd="http://www.w3.org/2001/XMLSchema" xmlns:xs="http://www.w3.org/2001/XMLSchema" xmlns:p="http://schemas.microsoft.com/office/2006/metadata/properties" xmlns:ns2="ceef501b-354f-44f0-8f02-6f338f4adc86" xmlns:ns3="f443b406-a6ff-4545-ab8c-85f9f4adb3e9" targetNamespace="http://schemas.microsoft.com/office/2006/metadata/properties" ma:root="true" ma:fieldsID="2768a4ab77affcdc7462ff98db5fe446" ns2:_="" ns3:_="">
    <xsd:import namespace="ceef501b-354f-44f0-8f02-6f338f4adc86"/>
    <xsd:import namespace="f443b406-a6ff-4545-ab8c-85f9f4adb3e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ef501b-354f-44f0-8f02-6f338f4adc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Etiquetas de imagen" ma:readOnly="false" ma:fieldId="{5cf76f15-5ced-4ddc-b409-7134ff3c332f}" ma:taxonomyMulti="true" ma:sspId="25bf450d-cec3-4795-b03d-1d61ae30157d"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443b406-a6ff-4545-ab8c-85f9f4adb3e9" elementFormDefault="qualified">
    <xsd:import namespace="http://schemas.microsoft.com/office/2006/documentManagement/types"/>
    <xsd:import namespace="http://schemas.microsoft.com/office/infopath/2007/PartnerControls"/>
    <xsd:element name="SharedWithUsers" ma:index="16"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les de uso compartido" ma:internalName="SharedWithDetails" ma:readOnly="true">
      <xsd:simpleType>
        <xsd:restriction base="dms:Note">
          <xsd:maxLength value="255"/>
        </xsd:restriction>
      </xsd:simpleType>
    </xsd:element>
    <xsd:element name="TaxCatchAll" ma:index="20" nillable="true" ma:displayName="Taxonomy Catch All Column" ma:hidden="true" ma:list="{e22923e7-a290-49e6-9fd6-9c934cbdaf40}" ma:internalName="TaxCatchAll" ma:showField="CatchAllData" ma:web="f443b406-a6ff-4545-ab8c-85f9f4adb3e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f443b406-a6ff-4545-ab8c-85f9f4adb3e9" xsi:nil="true"/>
    <lcf76f155ced4ddcb4097134ff3c332f xmlns="ceef501b-354f-44f0-8f02-6f338f4adc86">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0EC1F8-5AC4-4AA0-9060-E6C2558A864E}">
  <ds:schemaRefs>
    <ds:schemaRef ds:uri="http://schemas.microsoft.com/sharepoint/v3/contenttype/forms"/>
  </ds:schemaRefs>
</ds:datastoreItem>
</file>

<file path=customXml/itemProps2.xml><?xml version="1.0" encoding="utf-8"?>
<ds:datastoreItem xmlns:ds="http://schemas.openxmlformats.org/officeDocument/2006/customXml" ds:itemID="{BA629899-3348-4478-8484-D32B72408863}"/>
</file>

<file path=customXml/itemProps3.xml><?xml version="1.0" encoding="utf-8"?>
<ds:datastoreItem xmlns:ds="http://schemas.openxmlformats.org/officeDocument/2006/customXml" ds:itemID="{C4EE63FF-C83A-48A6-B52D-C754D8D9CA95}">
  <ds:schemaRefs>
    <ds:schemaRef ds:uri="http://schemas.microsoft.com/office/2006/metadata/properties"/>
    <ds:schemaRef ds:uri="http://schemas.microsoft.com/office/infopath/2007/PartnerControls"/>
    <ds:schemaRef ds:uri="2f4274c6-e6e8-4067-8ac1-0aeb4e4a79b8"/>
    <ds:schemaRef ds:uri="0dce4902-86c3-416f-ba2e-4d0fa4d52052"/>
  </ds:schemaRefs>
</ds:datastoreItem>
</file>

<file path=customXml/itemProps4.xml><?xml version="1.0" encoding="utf-8"?>
<ds:datastoreItem xmlns:ds="http://schemas.openxmlformats.org/officeDocument/2006/customXml" ds:itemID="{B6A91991-6438-4BDA-82D3-3761E2654F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315</TotalTime>
  <Pages>11</Pages>
  <Words>2788</Words>
  <Characters>15880</Characters>
  <Application>Microsoft Office Word</Application>
  <DocSecurity>0</DocSecurity>
  <Lines>132</Lines>
  <Paragraphs>37</Paragraphs>
  <ScaleCrop>false</ScaleCrop>
  <HeadingPairs>
    <vt:vector size="2" baseType="variant">
      <vt:variant>
        <vt:lpstr>Título</vt:lpstr>
      </vt:variant>
      <vt:variant>
        <vt:i4>1</vt:i4>
      </vt:variant>
    </vt:vector>
  </HeadingPairs>
  <TitlesOfParts>
    <vt:vector size="1" baseType="lpstr">
      <vt:lpstr/>
    </vt:vector>
  </TitlesOfParts>
  <Company>Ministerio de Hacienda y Crédito Público</Company>
  <LinksUpToDate>false</LinksUpToDate>
  <CharactersWithSpaces>18631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Francisco Encizar Acosta Moreno</dc:creator>
  <cp:lastModifiedBy>Derly Catherine Cifuentes Guerrero</cp:lastModifiedBy>
  <cp:revision>13</cp:revision>
  <cp:lastPrinted>2023-05-08T17:14:00Z</cp:lastPrinted>
  <dcterms:created xsi:type="dcterms:W3CDTF">2025-04-11T13:41:00Z</dcterms:created>
  <dcterms:modified xsi:type="dcterms:W3CDTF">2025-04-14T23:55:00Z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e18b1876-d707-41e5-8a52-1c448bf7e604</vt:lpwstr>
  </property>
  <property fmtid="{D5CDD505-2E9C-101B-9397-08002B2CF9AE}" pid="3" name="ContentTypeId">
    <vt:lpwstr>0x01010044CAF40325C9FA45BE41CDD1FAD4A046</vt:lpwstr>
  </property>
  <property fmtid="{D5CDD505-2E9C-101B-9397-08002B2CF9AE}" pid="4" name="_dlc_DocId">
    <vt:lpwstr>KR33XJ2DTYQK-29-153</vt:lpwstr>
  </property>
  <property fmtid="{D5CDD505-2E9C-101B-9397-08002B2CF9AE}" pid="5" name="_dlc_DocIdUrl">
    <vt:lpwstr>http://mintranet/_layouts/DocIdRedir.aspx?ID=KR33XJ2DTYQK-29-153, KR33XJ2DTYQK-29-153</vt:lpwstr>
  </property>
</Properties>
</file>