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57F2" w14:textId="1C699D8B" w:rsidR="00DB369A" w:rsidRPr="00B056E5" w:rsidRDefault="0092577E" w:rsidP="00D00A33">
      <w:pPr>
        <w:ind w:left="708"/>
        <w:rPr>
          <w:lang w:val="es-ES"/>
        </w:rPr>
      </w:pPr>
      <w:r w:rsidRPr="00B056E5">
        <w:rPr>
          <w:noProof/>
          <w:lang w:val="es-ES"/>
        </w:rPr>
        <w:drawing>
          <wp:anchor distT="0" distB="0" distL="114300" distR="114300" simplePos="0" relativeHeight="251668480" behindDoc="1" locked="0" layoutInCell="1" allowOverlap="1" wp14:anchorId="5DFB751A" wp14:editId="5D227D18">
            <wp:simplePos x="0" y="0"/>
            <wp:positionH relativeFrom="column">
              <wp:posOffset>-1144304</wp:posOffset>
            </wp:positionH>
            <wp:positionV relativeFrom="paragraph">
              <wp:posOffset>-1101424</wp:posOffset>
            </wp:positionV>
            <wp:extent cx="7892715" cy="1021373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5554" cy="10217408"/>
                    </a:xfrm>
                    <a:prstGeom prst="rect">
                      <a:avLst/>
                    </a:prstGeom>
                  </pic:spPr>
                </pic:pic>
              </a:graphicData>
            </a:graphic>
            <wp14:sizeRelH relativeFrom="page">
              <wp14:pctWidth>0</wp14:pctWidth>
            </wp14:sizeRelH>
            <wp14:sizeRelV relativeFrom="page">
              <wp14:pctHeight>0</wp14:pctHeight>
            </wp14:sizeRelV>
          </wp:anchor>
        </w:drawing>
      </w:r>
    </w:p>
    <w:p w14:paraId="25B01132" w14:textId="6B4084E1" w:rsidR="0089045F" w:rsidRPr="00B056E5" w:rsidRDefault="0089045F" w:rsidP="00DB369A">
      <w:pPr>
        <w:ind w:firstLine="708"/>
        <w:rPr>
          <w:lang w:val="es-ES"/>
        </w:rPr>
      </w:pPr>
    </w:p>
    <w:p w14:paraId="37430072" w14:textId="77142B30" w:rsidR="0089045F" w:rsidRPr="00B056E5" w:rsidRDefault="0089045F" w:rsidP="00DB369A">
      <w:pPr>
        <w:ind w:firstLine="708"/>
        <w:rPr>
          <w:lang w:val="es-ES"/>
        </w:rPr>
      </w:pPr>
    </w:p>
    <w:p w14:paraId="3DC9C7CA" w14:textId="66FD67E3" w:rsidR="0089045F" w:rsidRPr="00B056E5" w:rsidRDefault="0089045F" w:rsidP="00DB369A">
      <w:pPr>
        <w:ind w:firstLine="708"/>
        <w:rPr>
          <w:lang w:val="es-ES"/>
        </w:rPr>
      </w:pPr>
    </w:p>
    <w:p w14:paraId="62C2A899" w14:textId="77777777" w:rsidR="0089045F" w:rsidRPr="00B056E5" w:rsidRDefault="0089045F" w:rsidP="00DB369A">
      <w:pPr>
        <w:ind w:firstLine="708"/>
        <w:rPr>
          <w:lang w:val="es-ES"/>
        </w:rPr>
      </w:pPr>
    </w:p>
    <w:p w14:paraId="5347C91A" w14:textId="736CE8FE" w:rsidR="0089045F" w:rsidRPr="00B056E5" w:rsidRDefault="000F6451" w:rsidP="0089045F">
      <w:pPr>
        <w:tabs>
          <w:tab w:val="left" w:pos="7602"/>
        </w:tabs>
        <w:rPr>
          <w:lang w:val="es-ES"/>
        </w:rPr>
        <w:sectPr w:rsidR="0089045F" w:rsidRPr="00B056E5" w:rsidSect="0089045F">
          <w:headerReference w:type="default" r:id="rId12"/>
          <w:footerReference w:type="default" r:id="rId13"/>
          <w:pgSz w:w="12240" w:h="15840"/>
          <w:pgMar w:top="1684" w:right="1701" w:bottom="1417" w:left="1701" w:header="708" w:footer="708" w:gutter="0"/>
          <w:cols w:space="708"/>
          <w:titlePg/>
          <w:docGrid w:linePitch="360"/>
        </w:sectPr>
      </w:pPr>
      <w:r w:rsidRPr="00B056E5">
        <w:rPr>
          <w:rFonts w:ascii="Verdana" w:hAnsi="Verdana"/>
          <w:noProof/>
        </w:rPr>
        <mc:AlternateContent>
          <mc:Choice Requires="wps">
            <w:drawing>
              <wp:anchor distT="45720" distB="45720" distL="114300" distR="114300" simplePos="0" relativeHeight="251661312" behindDoc="0" locked="0" layoutInCell="1" allowOverlap="1" wp14:anchorId="6E429245" wp14:editId="5D52D3F0">
                <wp:simplePos x="0" y="0"/>
                <wp:positionH relativeFrom="column">
                  <wp:posOffset>1964690</wp:posOffset>
                </wp:positionH>
                <wp:positionV relativeFrom="paragraph">
                  <wp:posOffset>4675836</wp:posOffset>
                </wp:positionV>
                <wp:extent cx="4163695" cy="1299210"/>
                <wp:effectExtent l="0" t="0" r="0" b="0"/>
                <wp:wrapNone/>
                <wp:docPr id="10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1299210"/>
                        </a:xfrm>
                        <a:prstGeom prst="rect">
                          <a:avLst/>
                        </a:prstGeom>
                        <a:noFill/>
                        <a:ln w="9525">
                          <a:noFill/>
                          <a:miter lim="800000"/>
                          <a:headEnd/>
                          <a:tailEnd/>
                        </a:ln>
                      </wps:spPr>
                      <wps:txbx>
                        <w:txbxContent>
                          <w:p w14:paraId="21B077BD" w14:textId="220BA601" w:rsidR="0092577E" w:rsidRDefault="00B056E5" w:rsidP="0092577E">
                            <w:pPr>
                              <w:jc w:val="right"/>
                              <w:rPr>
                                <w:rFonts w:ascii="Verdana" w:hAnsi="Verdana" w:cs="Arial"/>
                                <w:b/>
                                <w:sz w:val="32"/>
                                <w:szCs w:val="32"/>
                                <w:lang w:val="es-MX"/>
                              </w:rPr>
                            </w:pPr>
                            <w:r>
                              <w:rPr>
                                <w:rFonts w:ascii="Verdana" w:hAnsi="Verdana" w:cs="Arial"/>
                                <w:b/>
                                <w:sz w:val="32"/>
                                <w:szCs w:val="32"/>
                                <w:lang w:val="es-MX"/>
                              </w:rPr>
                              <w:t>PROGRAMA DE TRANSPARENCIA Y ÉTICA PÚBLICA 2025</w:t>
                            </w:r>
                          </w:p>
                          <w:p w14:paraId="15172008" w14:textId="14D4AECC" w:rsidR="000F6451" w:rsidRDefault="000F6451" w:rsidP="0092577E">
                            <w:pPr>
                              <w:jc w:val="right"/>
                              <w:rPr>
                                <w:rFonts w:ascii="Verdana" w:hAnsi="Verdana" w:cs="Arial"/>
                                <w:b/>
                                <w:sz w:val="32"/>
                                <w:szCs w:val="32"/>
                                <w:lang w:val="es-MX"/>
                              </w:rPr>
                            </w:pPr>
                            <w:r>
                              <w:rPr>
                                <w:rFonts w:ascii="Verdana" w:hAnsi="Verdana" w:cs="Arial"/>
                                <w:b/>
                                <w:sz w:val="32"/>
                                <w:szCs w:val="32"/>
                                <w:lang w:val="es-MX"/>
                              </w:rPr>
                              <w:t>Documento Descriptivo</w:t>
                            </w:r>
                          </w:p>
                          <w:p w14:paraId="21232F35" w14:textId="77777777" w:rsidR="000F6451" w:rsidRDefault="000F6451" w:rsidP="0092577E">
                            <w:pPr>
                              <w:jc w:val="right"/>
                              <w:rPr>
                                <w:rFonts w:ascii="Verdana" w:hAnsi="Verdana" w:cs="Arial"/>
                                <w:b/>
                                <w:sz w:val="32"/>
                                <w:szCs w:val="32"/>
                                <w:lang w:val="es-MX"/>
                              </w:rPr>
                            </w:pPr>
                          </w:p>
                          <w:p w14:paraId="1258E6D7" w14:textId="77777777" w:rsidR="000F6451" w:rsidRPr="00B056E5" w:rsidRDefault="000F6451" w:rsidP="0092577E">
                            <w:pPr>
                              <w:jc w:val="right"/>
                              <w:rPr>
                                <w:rFonts w:ascii="Verdana" w:hAnsi="Verdana"/>
                                <w:bCs/>
                                <w:sz w:val="32"/>
                                <w:szCs w:val="32"/>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429245" id="_x0000_t202" coordsize="21600,21600" o:spt="202" path="m,l,21600r21600,l21600,xe">
                <v:stroke joinstyle="miter"/>
                <v:path gradientshapeok="t" o:connecttype="rect"/>
              </v:shapetype>
              <v:shape id="Cuadro de texto 2" o:spid="_x0000_s1026" type="#_x0000_t202" style="position:absolute;margin-left:154.7pt;margin-top:368.2pt;width:327.85pt;height:102.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" filled="f" stroked="f">
                <v:textbox>
                  <w:txbxContent>
                    <w:p w14:paraId="21B077BD" w14:textId="220BA601" w:rsidR="0092577E" w:rsidRDefault="00B056E5" w:rsidP="0092577E">
                      <w:pPr>
                        <w:jc w:val="right"/>
                        <w:rPr>
                          <w:rFonts w:ascii="Verdana" w:hAnsi="Verdana" w:cs="Arial"/>
                          <w:b/>
                          <w:sz w:val="32"/>
                          <w:szCs w:val="32"/>
                          <w:lang w:val="es-MX"/>
                        </w:rPr>
                      </w:pPr>
                      <w:r>
                        <w:rPr>
                          <w:rFonts w:ascii="Verdana" w:hAnsi="Verdana" w:cs="Arial"/>
                          <w:b/>
                          <w:sz w:val="32"/>
                          <w:szCs w:val="32"/>
                          <w:lang w:val="es-MX"/>
                        </w:rPr>
                        <w:t>PROGRAMA DE TRANSPARENCIA Y ÉTICA PÚBLICA 2025</w:t>
                      </w:r>
                    </w:p>
                    <w:p w14:paraId="15172008" w14:textId="14D4AECC" w:rsidR="000F6451" w:rsidRDefault="000F6451" w:rsidP="0092577E">
                      <w:pPr>
                        <w:jc w:val="right"/>
                        <w:rPr>
                          <w:rFonts w:ascii="Verdana" w:hAnsi="Verdana" w:cs="Arial"/>
                          <w:b/>
                          <w:sz w:val="32"/>
                          <w:szCs w:val="32"/>
                          <w:lang w:val="es-MX"/>
                        </w:rPr>
                      </w:pPr>
                      <w:r>
                        <w:rPr>
                          <w:rFonts w:ascii="Verdana" w:hAnsi="Verdana" w:cs="Arial"/>
                          <w:b/>
                          <w:sz w:val="32"/>
                          <w:szCs w:val="32"/>
                          <w:lang w:val="es-MX"/>
                        </w:rPr>
                        <w:t>Documento Descriptivo</w:t>
                      </w:r>
                    </w:p>
                    <w:p w14:paraId="21232F35" w14:textId="77777777" w:rsidR="000F6451" w:rsidRDefault="000F6451" w:rsidP="0092577E">
                      <w:pPr>
                        <w:jc w:val="right"/>
                        <w:rPr>
                          <w:rFonts w:ascii="Verdana" w:hAnsi="Verdana" w:cs="Arial"/>
                          <w:b/>
                          <w:sz w:val="32"/>
                          <w:szCs w:val="32"/>
                          <w:lang w:val="es-MX"/>
                        </w:rPr>
                      </w:pPr>
                    </w:p>
                    <w:p w14:paraId="1258E6D7" w14:textId="77777777" w:rsidR="000F6451" w:rsidRPr="00B056E5" w:rsidRDefault="000F6451" w:rsidP="0092577E">
                      <w:pPr>
                        <w:jc w:val="right"/>
                        <w:rPr>
                          <w:rFonts w:ascii="Verdana" w:hAnsi="Verdana"/>
                          <w:bCs/>
                          <w:sz w:val="32"/>
                          <w:szCs w:val="32"/>
                          <w:lang w:val="es-MX"/>
                        </w:rPr>
                      </w:pPr>
                    </w:p>
                  </w:txbxContent>
                </v:textbox>
              </v:shape>
            </w:pict>
          </mc:Fallback>
        </mc:AlternateContent>
      </w:r>
      <w:r w:rsidRPr="00B056E5">
        <w:rPr>
          <w:rFonts w:ascii="Verdana" w:hAnsi="Verdana"/>
          <w:noProof/>
        </w:rPr>
        <mc:AlternateContent>
          <mc:Choice Requires="wps">
            <w:drawing>
              <wp:anchor distT="45720" distB="45720" distL="114300" distR="114300" simplePos="0" relativeHeight="251663360" behindDoc="0" locked="0" layoutInCell="1" allowOverlap="1" wp14:anchorId="0CE9E993" wp14:editId="34335195">
                <wp:simplePos x="0" y="0"/>
                <wp:positionH relativeFrom="column">
                  <wp:posOffset>2395220</wp:posOffset>
                </wp:positionH>
                <wp:positionV relativeFrom="paragraph">
                  <wp:posOffset>5764226</wp:posOffset>
                </wp:positionV>
                <wp:extent cx="3731895" cy="368935"/>
                <wp:effectExtent l="0" t="0" r="0" b="0"/>
                <wp:wrapNone/>
                <wp:docPr id="10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368935"/>
                        </a:xfrm>
                        <a:prstGeom prst="rect">
                          <a:avLst/>
                        </a:prstGeom>
                        <a:noFill/>
                        <a:ln w="9525">
                          <a:noFill/>
                          <a:miter lim="800000"/>
                          <a:headEnd/>
                          <a:tailEnd/>
                        </a:ln>
                      </wps:spPr>
                      <wps:txbx>
                        <w:txbxContent>
                          <w:p w14:paraId="7E865DD8" w14:textId="07F49B6F" w:rsidR="0089045F" w:rsidRPr="0092577E" w:rsidRDefault="0089045F" w:rsidP="0092577E">
                            <w:pPr>
                              <w:jc w:val="right"/>
                              <w:rPr>
                                <w:rFonts w:ascii="Verdana" w:hAnsi="Verdana"/>
                                <w:sz w:val="24"/>
                                <w:szCs w:val="24"/>
                              </w:rPr>
                            </w:pPr>
                            <w:r w:rsidRPr="0092577E">
                              <w:rPr>
                                <w:rFonts w:ascii="Verdana" w:hAnsi="Verdana" w:cs="Arial"/>
                                <w:b/>
                                <w:sz w:val="24"/>
                                <w:szCs w:val="24"/>
                              </w:rPr>
                              <w:t xml:space="preserve">Versión </w:t>
                            </w:r>
                            <w:r w:rsidR="00B056E5">
                              <w:rPr>
                                <w:rFonts w:ascii="Verdana" w:hAnsi="Verdana" w:cs="Arial"/>
                                <w:b/>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9E993" id="_x0000_s1027" type="#_x0000_t202" style="position:absolute;margin-left:188.6pt;margin-top:453.9pt;width:293.85pt;height:29.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" filled="f" stroked="f">
                <v:textbox>
                  <w:txbxContent>
                    <w:p w14:paraId="7E865DD8" w14:textId="07F49B6F" w:rsidR="0089045F" w:rsidRPr="0092577E" w:rsidRDefault="0089045F" w:rsidP="0092577E">
                      <w:pPr>
                        <w:jc w:val="right"/>
                        <w:rPr>
                          <w:rFonts w:ascii="Verdana" w:hAnsi="Verdana"/>
                          <w:sz w:val="24"/>
                          <w:szCs w:val="24"/>
                        </w:rPr>
                      </w:pPr>
                      <w:r w:rsidRPr="0092577E">
                        <w:rPr>
                          <w:rFonts w:ascii="Verdana" w:hAnsi="Verdana" w:cs="Arial"/>
                          <w:b/>
                          <w:sz w:val="24"/>
                          <w:szCs w:val="24"/>
                        </w:rPr>
                        <w:t xml:space="preserve">Versión </w:t>
                      </w:r>
                      <w:r w:rsidR="00B056E5">
                        <w:rPr>
                          <w:rFonts w:ascii="Verdana" w:hAnsi="Verdana" w:cs="Arial"/>
                          <w:b/>
                          <w:sz w:val="24"/>
                          <w:szCs w:val="24"/>
                        </w:rPr>
                        <w:t>1</w:t>
                      </w:r>
                    </w:p>
                  </w:txbxContent>
                </v:textbox>
              </v:shape>
            </w:pict>
          </mc:Fallback>
        </mc:AlternateContent>
      </w:r>
      <w:r w:rsidR="009464B6" w:rsidRPr="00B056E5">
        <w:rPr>
          <w:rFonts w:ascii="Verdana" w:hAnsi="Verdana"/>
          <w:noProof/>
        </w:rPr>
        <mc:AlternateContent>
          <mc:Choice Requires="wps">
            <w:drawing>
              <wp:anchor distT="45720" distB="45720" distL="114300" distR="114300" simplePos="0" relativeHeight="251671552" behindDoc="0" locked="0" layoutInCell="1" allowOverlap="1" wp14:anchorId="53EE170C" wp14:editId="29355B6D">
                <wp:simplePos x="0" y="0"/>
                <wp:positionH relativeFrom="column">
                  <wp:posOffset>2408956</wp:posOffset>
                </wp:positionH>
                <wp:positionV relativeFrom="paragraph">
                  <wp:posOffset>6177915</wp:posOffset>
                </wp:positionV>
                <wp:extent cx="3731895" cy="368935"/>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368935"/>
                        </a:xfrm>
                        <a:prstGeom prst="rect">
                          <a:avLst/>
                        </a:prstGeom>
                        <a:noFill/>
                        <a:ln w="9525">
                          <a:noFill/>
                          <a:miter lim="800000"/>
                          <a:headEnd/>
                          <a:tailEnd/>
                        </a:ln>
                      </wps:spPr>
                      <wps:txbx>
                        <w:txbxContent>
                          <w:p w14:paraId="70A215F3" w14:textId="540AEA2C" w:rsidR="009464B6" w:rsidRPr="009464B6" w:rsidRDefault="00B056E5" w:rsidP="009464B6">
                            <w:pPr>
                              <w:jc w:val="right"/>
                              <w:rPr>
                                <w:rFonts w:ascii="Verdana" w:hAnsi="Verdana"/>
                                <w:bCs/>
                                <w:sz w:val="24"/>
                                <w:szCs w:val="24"/>
                                <w:lang w:val="es-ES"/>
                              </w:rPr>
                            </w:pPr>
                            <w:r>
                              <w:rPr>
                                <w:rFonts w:ascii="Verdana" w:hAnsi="Verdana" w:cs="Arial"/>
                                <w:bCs/>
                                <w:sz w:val="24"/>
                                <w:szCs w:val="24"/>
                                <w:lang w:val="es-ES"/>
                              </w:rPr>
                              <w:t>Ju</w:t>
                            </w:r>
                            <w:r w:rsidR="0001717A">
                              <w:rPr>
                                <w:rFonts w:ascii="Verdana" w:hAnsi="Verdana" w:cs="Arial"/>
                                <w:bCs/>
                                <w:sz w:val="24"/>
                                <w:szCs w:val="24"/>
                                <w:lang w:val="es-ES"/>
                              </w:rPr>
                              <w:t>l</w:t>
                            </w:r>
                            <w:r>
                              <w:rPr>
                                <w:rFonts w:ascii="Verdana" w:hAnsi="Verdana" w:cs="Arial"/>
                                <w:bCs/>
                                <w:sz w:val="24"/>
                                <w:szCs w:val="24"/>
                                <w:lang w:val="es-ES"/>
                              </w:rPr>
                              <w:t>io de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E170C" id="_x0000_s1028" type="#_x0000_t202" style="position:absolute;margin-left:189.7pt;margin-top:486.45pt;width:293.85pt;height:29.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" filled="f" stroked="f">
                <v:textbox>
                  <w:txbxContent>
                    <w:p w14:paraId="70A215F3" w14:textId="540AEA2C" w:rsidR="009464B6" w:rsidRPr="009464B6" w:rsidRDefault="00B056E5" w:rsidP="009464B6">
                      <w:pPr>
                        <w:jc w:val="right"/>
                        <w:rPr>
                          <w:rFonts w:ascii="Verdana" w:hAnsi="Verdana"/>
                          <w:bCs/>
                          <w:sz w:val="24"/>
                          <w:szCs w:val="24"/>
                          <w:lang w:val="es-ES"/>
                        </w:rPr>
                      </w:pPr>
                      <w:r>
                        <w:rPr>
                          <w:rFonts w:ascii="Verdana" w:hAnsi="Verdana" w:cs="Arial"/>
                          <w:bCs/>
                          <w:sz w:val="24"/>
                          <w:szCs w:val="24"/>
                          <w:lang w:val="es-ES"/>
                        </w:rPr>
                        <w:t>Ju</w:t>
                      </w:r>
                      <w:r w:rsidR="0001717A">
                        <w:rPr>
                          <w:rFonts w:ascii="Verdana" w:hAnsi="Verdana" w:cs="Arial"/>
                          <w:bCs/>
                          <w:sz w:val="24"/>
                          <w:szCs w:val="24"/>
                          <w:lang w:val="es-ES"/>
                        </w:rPr>
                        <w:t>l</w:t>
                      </w:r>
                      <w:r>
                        <w:rPr>
                          <w:rFonts w:ascii="Verdana" w:hAnsi="Verdana" w:cs="Arial"/>
                          <w:bCs/>
                          <w:sz w:val="24"/>
                          <w:szCs w:val="24"/>
                          <w:lang w:val="es-ES"/>
                        </w:rPr>
                        <w:t>io de 2025</w:t>
                      </w:r>
                    </w:p>
                  </w:txbxContent>
                </v:textbox>
              </v:shape>
            </w:pict>
          </mc:Fallback>
        </mc:AlternateContent>
      </w:r>
    </w:p>
    <w:p w14:paraId="7902642A" w14:textId="77777777" w:rsidR="00740182" w:rsidRPr="00B056E5" w:rsidRDefault="00740182" w:rsidP="00740182">
      <w:pPr>
        <w:jc w:val="both"/>
        <w:rPr>
          <w:rFonts w:ascii="Arial Narrow" w:hAnsi="Arial Narrow" w:cs="Arial"/>
          <w:i/>
          <w:color w:val="C00000"/>
        </w:rPr>
      </w:pPr>
    </w:p>
    <w:p w14:paraId="32D448E6" w14:textId="53705453" w:rsidR="00740182" w:rsidRDefault="00740182" w:rsidP="00B056E5">
      <w:pPr>
        <w:jc w:val="center"/>
        <w:rPr>
          <w:rFonts w:ascii="Verdana" w:hAnsi="Verdana"/>
          <w:b/>
        </w:rPr>
      </w:pPr>
      <w:r w:rsidRPr="00B056E5">
        <w:rPr>
          <w:rFonts w:ascii="Verdana" w:hAnsi="Verdana"/>
          <w:b/>
        </w:rPr>
        <w:t>TABLA DE CONTENIDO</w:t>
      </w:r>
    </w:p>
    <w:sdt>
      <w:sdtPr>
        <w:rPr>
          <w:rFonts w:asciiTheme="minorHAnsi" w:eastAsiaTheme="minorHAnsi" w:hAnsiTheme="minorHAnsi" w:cstheme="minorBidi"/>
          <w:color w:val="auto"/>
          <w:sz w:val="22"/>
          <w:szCs w:val="22"/>
          <w:lang w:val="es-ES" w:eastAsia="en-US"/>
        </w:rPr>
        <w:id w:val="1785838028"/>
        <w:docPartObj>
          <w:docPartGallery w:val="Table of Contents"/>
          <w:docPartUnique/>
        </w:docPartObj>
      </w:sdtPr>
      <w:sdtEndPr>
        <w:rPr>
          <w:b/>
          <w:bCs/>
        </w:rPr>
      </w:sdtEndPr>
      <w:sdtContent>
        <w:p w14:paraId="211A6D7F" w14:textId="55F87B11" w:rsidR="00B056E5" w:rsidRDefault="00B056E5">
          <w:pPr>
            <w:pStyle w:val="TtuloTDC"/>
          </w:pPr>
        </w:p>
        <w:p w14:paraId="3FF4F899" w14:textId="02F04C50" w:rsidR="00180302" w:rsidRPr="003D7BB6" w:rsidRDefault="00B056E5">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r w:rsidRPr="003D7BB6">
            <w:rPr>
              <w:sz w:val="22"/>
              <w:szCs w:val="22"/>
            </w:rPr>
            <w:fldChar w:fldCharType="begin"/>
          </w:r>
          <w:r w:rsidRPr="003D7BB6">
            <w:rPr>
              <w:sz w:val="22"/>
              <w:szCs w:val="22"/>
            </w:rPr>
            <w:instrText xml:space="preserve"> TOC \o "1-3" \h \z \u </w:instrText>
          </w:r>
          <w:r w:rsidRPr="003D7BB6">
            <w:rPr>
              <w:sz w:val="22"/>
              <w:szCs w:val="22"/>
            </w:rPr>
            <w:fldChar w:fldCharType="separate"/>
          </w:r>
          <w:hyperlink w:anchor="_Toc201308069" w:history="1">
            <w:r w:rsidR="00180302" w:rsidRPr="003D7BB6">
              <w:rPr>
                <w:rStyle w:val="Hipervnculo"/>
                <w:rFonts w:ascii="Verdana" w:hAnsi="Verdana"/>
                <w:noProof/>
                <w:sz w:val="22"/>
                <w:szCs w:val="22"/>
              </w:rPr>
              <w:t>1.</w:t>
            </w:r>
            <w:r w:rsidR="00180302" w:rsidRPr="003D7BB6">
              <w:rPr>
                <w:rFonts w:ascii="Verdana" w:eastAsiaTheme="minorEastAsia" w:hAnsi="Verdana" w:cstheme="minorBidi"/>
                <w:noProof/>
                <w:kern w:val="2"/>
                <w:sz w:val="22"/>
                <w:szCs w:val="22"/>
                <w:lang w:val="es-CO" w:eastAsia="es-CO"/>
                <w14:ligatures w14:val="standardContextual"/>
              </w:rPr>
              <w:tab/>
            </w:r>
            <w:r w:rsidR="00180302" w:rsidRPr="003D7BB6">
              <w:rPr>
                <w:rStyle w:val="Hipervnculo"/>
                <w:rFonts w:ascii="Verdana" w:hAnsi="Verdana"/>
                <w:noProof/>
                <w:sz w:val="22"/>
                <w:szCs w:val="22"/>
              </w:rPr>
              <w:t>INTRODUCCIÓN</w:t>
            </w:r>
            <w:r w:rsidR="00180302" w:rsidRPr="003D7BB6">
              <w:rPr>
                <w:rFonts w:ascii="Verdana" w:hAnsi="Verdana"/>
                <w:noProof/>
                <w:webHidden/>
                <w:sz w:val="22"/>
                <w:szCs w:val="22"/>
              </w:rPr>
              <w:tab/>
            </w:r>
            <w:r w:rsidR="00180302" w:rsidRPr="003D7BB6">
              <w:rPr>
                <w:rFonts w:ascii="Verdana" w:hAnsi="Verdana"/>
                <w:noProof/>
                <w:webHidden/>
                <w:sz w:val="22"/>
                <w:szCs w:val="22"/>
              </w:rPr>
              <w:fldChar w:fldCharType="begin"/>
            </w:r>
            <w:r w:rsidR="00180302" w:rsidRPr="003D7BB6">
              <w:rPr>
                <w:rFonts w:ascii="Verdana" w:hAnsi="Verdana"/>
                <w:noProof/>
                <w:webHidden/>
                <w:sz w:val="22"/>
                <w:szCs w:val="22"/>
              </w:rPr>
              <w:instrText xml:space="preserve"> PAGEREF _Toc201308069 \h </w:instrText>
            </w:r>
            <w:r w:rsidR="00180302" w:rsidRPr="003D7BB6">
              <w:rPr>
                <w:rFonts w:ascii="Verdana" w:hAnsi="Verdana"/>
                <w:noProof/>
                <w:webHidden/>
                <w:sz w:val="22"/>
                <w:szCs w:val="22"/>
              </w:rPr>
            </w:r>
            <w:r w:rsidR="00180302" w:rsidRPr="003D7BB6">
              <w:rPr>
                <w:rFonts w:ascii="Verdana" w:hAnsi="Verdana"/>
                <w:noProof/>
                <w:webHidden/>
                <w:sz w:val="22"/>
                <w:szCs w:val="22"/>
              </w:rPr>
              <w:fldChar w:fldCharType="separate"/>
            </w:r>
            <w:r w:rsidR="00180302" w:rsidRPr="003D7BB6">
              <w:rPr>
                <w:rFonts w:ascii="Verdana" w:hAnsi="Verdana"/>
                <w:noProof/>
                <w:webHidden/>
                <w:sz w:val="22"/>
                <w:szCs w:val="22"/>
              </w:rPr>
              <w:t>4</w:t>
            </w:r>
            <w:r w:rsidR="00180302" w:rsidRPr="003D7BB6">
              <w:rPr>
                <w:rFonts w:ascii="Verdana" w:hAnsi="Verdana"/>
                <w:noProof/>
                <w:webHidden/>
                <w:sz w:val="22"/>
                <w:szCs w:val="22"/>
              </w:rPr>
              <w:fldChar w:fldCharType="end"/>
            </w:r>
          </w:hyperlink>
        </w:p>
        <w:p w14:paraId="33F1E079" w14:textId="085757EE"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70" w:history="1">
            <w:r w:rsidRPr="003D7BB6">
              <w:rPr>
                <w:rStyle w:val="Hipervnculo"/>
                <w:rFonts w:ascii="Verdana" w:hAnsi="Verdana"/>
                <w:noProof/>
                <w:sz w:val="22"/>
                <w:szCs w:val="22"/>
              </w:rPr>
              <w:t>2.</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OBJETIVO</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_Toc201308070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4</w:t>
            </w:r>
            <w:r w:rsidRPr="003D7BB6">
              <w:rPr>
                <w:rFonts w:ascii="Verdana" w:hAnsi="Verdana"/>
                <w:noProof/>
                <w:webHidden/>
                <w:sz w:val="22"/>
                <w:szCs w:val="22"/>
              </w:rPr>
              <w:fldChar w:fldCharType="end"/>
            </w:r>
          </w:hyperlink>
        </w:p>
        <w:p w14:paraId="613D4218" w14:textId="1C7868AE" w:rsidR="00180302" w:rsidRPr="003D7BB6" w:rsidRDefault="00180302">
          <w:pPr>
            <w:pStyle w:val="TDC2"/>
            <w:tabs>
              <w:tab w:val="left" w:pos="960"/>
              <w:tab w:val="right" w:leader="dot" w:pos="8828"/>
            </w:tabs>
            <w:rPr>
              <w:rFonts w:ascii="Verdana" w:eastAsiaTheme="minorEastAsia" w:hAnsi="Verdana"/>
              <w:noProof/>
              <w:kern w:val="2"/>
              <w:lang w:eastAsia="es-CO"/>
              <w14:ligatures w14:val="standardContextual"/>
            </w:rPr>
          </w:pPr>
          <w:hyperlink w:anchor="_Toc201308071" w:history="1">
            <w:r w:rsidRPr="003D7BB6">
              <w:rPr>
                <w:rStyle w:val="Hipervnculo"/>
                <w:rFonts w:ascii="Verdana" w:hAnsi="Verdana"/>
                <w:noProof/>
              </w:rPr>
              <w:t>2.1.</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Objetivos Específicos</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_Toc201308071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5</w:t>
            </w:r>
            <w:r w:rsidRPr="003D7BB6">
              <w:rPr>
                <w:rFonts w:ascii="Verdana" w:hAnsi="Verdana"/>
                <w:noProof/>
                <w:webHidden/>
              </w:rPr>
              <w:fldChar w:fldCharType="end"/>
            </w:r>
          </w:hyperlink>
        </w:p>
        <w:p w14:paraId="061D7F25" w14:textId="10602E35"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72" w:history="1">
            <w:r w:rsidRPr="003D7BB6">
              <w:rPr>
                <w:rStyle w:val="Hipervnculo"/>
                <w:rFonts w:ascii="Verdana" w:hAnsi="Verdana"/>
                <w:noProof/>
                <w:sz w:val="22"/>
                <w:szCs w:val="22"/>
              </w:rPr>
              <w:t>3.</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ALCANCE</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_Toc201308072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5</w:t>
            </w:r>
            <w:r w:rsidRPr="003D7BB6">
              <w:rPr>
                <w:rFonts w:ascii="Verdana" w:hAnsi="Verdana"/>
                <w:noProof/>
                <w:webHidden/>
                <w:sz w:val="22"/>
                <w:szCs w:val="22"/>
              </w:rPr>
              <w:fldChar w:fldCharType="end"/>
            </w:r>
          </w:hyperlink>
        </w:p>
        <w:p w14:paraId="34A35B8D" w14:textId="34298AB3"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73" w:history="1">
            <w:r w:rsidRPr="003D7BB6">
              <w:rPr>
                <w:rStyle w:val="Hipervnculo"/>
                <w:rFonts w:ascii="Verdana" w:hAnsi="Verdana"/>
                <w:noProof/>
                <w:sz w:val="22"/>
                <w:szCs w:val="22"/>
              </w:rPr>
              <w:t>4.</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INSUMOS DEL PROGRAMA DE TRANSPARENCIA Y ÉTICA PÚBLICA</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_Toc201308073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5</w:t>
            </w:r>
            <w:r w:rsidRPr="003D7BB6">
              <w:rPr>
                <w:rFonts w:ascii="Verdana" w:hAnsi="Verdana"/>
                <w:noProof/>
                <w:webHidden/>
                <w:sz w:val="22"/>
                <w:szCs w:val="22"/>
              </w:rPr>
              <w:fldChar w:fldCharType="end"/>
            </w:r>
          </w:hyperlink>
        </w:p>
        <w:p w14:paraId="79FBF108" w14:textId="6DADF9B6"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74" w:history="1">
            <w:r w:rsidRPr="003D7BB6">
              <w:rPr>
                <w:rStyle w:val="Hipervnculo"/>
                <w:rFonts w:ascii="Verdana" w:hAnsi="Verdana"/>
                <w:noProof/>
                <w:sz w:val="22"/>
                <w:szCs w:val="22"/>
              </w:rPr>
              <w:t>5.</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TÉRMINOS Y DEFINICIONES</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_Toc201308074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5</w:t>
            </w:r>
            <w:r w:rsidRPr="003D7BB6">
              <w:rPr>
                <w:rFonts w:ascii="Verdana" w:hAnsi="Verdana"/>
                <w:noProof/>
                <w:webHidden/>
                <w:sz w:val="22"/>
                <w:szCs w:val="22"/>
              </w:rPr>
              <w:fldChar w:fldCharType="end"/>
            </w:r>
          </w:hyperlink>
        </w:p>
        <w:p w14:paraId="515AC4AE" w14:textId="46C8BEEA"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75" w:history="1">
            <w:r w:rsidRPr="003D7BB6">
              <w:rPr>
                <w:rStyle w:val="Hipervnculo"/>
                <w:rFonts w:ascii="Verdana" w:hAnsi="Verdana"/>
                <w:noProof/>
                <w:sz w:val="22"/>
                <w:szCs w:val="22"/>
              </w:rPr>
              <w:t>6.</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COMPONENTES DEL PROGRAMA DE TRANSPARENCIA Y ÉTICA PÚBLICA</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_Toc201308075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6</w:t>
            </w:r>
            <w:r w:rsidRPr="003D7BB6">
              <w:rPr>
                <w:rFonts w:ascii="Verdana" w:hAnsi="Verdana"/>
                <w:noProof/>
                <w:webHidden/>
                <w:sz w:val="22"/>
                <w:szCs w:val="22"/>
              </w:rPr>
              <w:fldChar w:fldCharType="end"/>
            </w:r>
          </w:hyperlink>
        </w:p>
        <w:p w14:paraId="22381BF5" w14:textId="23739827" w:rsidR="00180302" w:rsidRPr="003D7BB6" w:rsidRDefault="00180302">
          <w:pPr>
            <w:pStyle w:val="TDC2"/>
            <w:tabs>
              <w:tab w:val="left" w:pos="960"/>
              <w:tab w:val="right" w:leader="dot" w:pos="8828"/>
            </w:tabs>
            <w:rPr>
              <w:rFonts w:ascii="Verdana" w:eastAsiaTheme="minorEastAsia" w:hAnsi="Verdana"/>
              <w:noProof/>
              <w:kern w:val="2"/>
              <w:lang w:eastAsia="es-CO"/>
              <w14:ligatures w14:val="standardContextual"/>
            </w:rPr>
          </w:pPr>
          <w:hyperlink w:anchor="_Toc201308076" w:history="1">
            <w:r w:rsidRPr="003D7BB6">
              <w:rPr>
                <w:rStyle w:val="Hipervnculo"/>
                <w:rFonts w:ascii="Verdana" w:hAnsi="Verdana"/>
                <w:noProof/>
              </w:rPr>
              <w:t>6.1.</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Gestión del Riesgo</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_Toc201308076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5D954A30" w14:textId="46DD3E58"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77" w:history="1">
            <w:r w:rsidRPr="003D7BB6">
              <w:rPr>
                <w:rStyle w:val="Hipervnculo"/>
                <w:rFonts w:ascii="Verdana" w:hAnsi="Verdana"/>
                <w:noProof/>
              </w:rPr>
              <w:t>6.1.1.</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Riesgo para la integridad pública</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_Toc201308077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434BF884" w14:textId="0FFF4C84"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78" w:history="1">
            <w:r w:rsidRPr="003D7BB6">
              <w:rPr>
                <w:rStyle w:val="Hipervnculo"/>
                <w:rFonts w:ascii="Verdana" w:hAnsi="Verdana"/>
                <w:noProof/>
              </w:rPr>
              <w:t>6.1.2.</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Canales de denuncia</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_Toc201308078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5489BB11" w14:textId="0A32E0AD"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79" w:history="1">
            <w:r w:rsidRPr="003D7BB6">
              <w:rPr>
                <w:rStyle w:val="Hipervnculo"/>
                <w:rFonts w:ascii="Verdana" w:hAnsi="Verdana"/>
                <w:noProof/>
              </w:rPr>
              <w:t>6.1.3.</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Debida diligencia</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_Toc201308079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42DA5038" w14:textId="64056F67" w:rsidR="00180302" w:rsidRPr="003D7BB6" w:rsidRDefault="00180302">
          <w:pPr>
            <w:pStyle w:val="TDC2"/>
            <w:tabs>
              <w:tab w:val="left" w:pos="960"/>
              <w:tab w:val="right" w:leader="dot" w:pos="8828"/>
            </w:tabs>
            <w:rPr>
              <w:rFonts w:ascii="Verdana" w:eastAsiaTheme="minorEastAsia" w:hAnsi="Verdana"/>
              <w:noProof/>
              <w:kern w:val="2"/>
              <w:lang w:eastAsia="es-CO"/>
              <w14:ligatures w14:val="standardContextual"/>
            </w:rPr>
          </w:pPr>
          <w:hyperlink w:anchor="_Toc201308080" w:history="1">
            <w:r w:rsidRPr="003D7BB6">
              <w:rPr>
                <w:rStyle w:val="Hipervnculo"/>
                <w:rFonts w:ascii="Verdana" w:hAnsi="Verdana"/>
                <w:noProof/>
              </w:rPr>
              <w:t>6.2.</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Redes y Articulación</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_Toc201308080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4C445467" w14:textId="04F42FEF"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81" w:history="1">
            <w:r w:rsidRPr="003D7BB6">
              <w:rPr>
                <w:rStyle w:val="Hipervnculo"/>
                <w:rFonts w:ascii="Verdana" w:hAnsi="Verdana"/>
                <w:noProof/>
              </w:rPr>
              <w:t>6.2.1.</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Redes Internas</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_Toc201308081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7466C802" w14:textId="6C4BC4AA"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82" w:history="1">
            <w:r w:rsidRPr="003D7BB6">
              <w:rPr>
                <w:rStyle w:val="Hipervnculo"/>
                <w:rFonts w:ascii="Verdana" w:hAnsi="Verdana"/>
                <w:noProof/>
              </w:rPr>
              <w:t>6.2.2.</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Redes Externas</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_Toc201308082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2613F7B4" w14:textId="61A5E449" w:rsidR="00180302" w:rsidRPr="003D7BB6" w:rsidRDefault="00180302">
          <w:pPr>
            <w:pStyle w:val="TDC2"/>
            <w:tabs>
              <w:tab w:val="left" w:pos="960"/>
              <w:tab w:val="right" w:leader="dot" w:pos="8828"/>
            </w:tabs>
            <w:rPr>
              <w:rFonts w:ascii="Verdana" w:eastAsiaTheme="minorEastAsia" w:hAnsi="Verdana"/>
              <w:noProof/>
              <w:kern w:val="2"/>
              <w:lang w:eastAsia="es-CO"/>
              <w14:ligatures w14:val="standardContextual"/>
            </w:rPr>
          </w:pPr>
          <w:hyperlink w:anchor="_Toc201308083" w:history="1">
            <w:r w:rsidRPr="003D7BB6">
              <w:rPr>
                <w:rStyle w:val="Hipervnculo"/>
                <w:rFonts w:ascii="Verdana" w:hAnsi="Verdana"/>
                <w:noProof/>
              </w:rPr>
              <w:t>6.3.</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Cultura de la legalidad y el estado abierto</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_Toc201308083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67127B58" w14:textId="4053E749"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84" w:history="1">
            <w:r w:rsidRPr="003D7BB6">
              <w:rPr>
                <w:rStyle w:val="Hipervnculo"/>
                <w:rFonts w:ascii="Verdana" w:hAnsi="Verdana"/>
                <w:noProof/>
              </w:rPr>
              <w:t>6.3.1.</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Acceso a la información pública y transparencia</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_Toc201308084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4B12DFB2" w14:textId="46FB3E09"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85" w:history="1">
            <w:r w:rsidRPr="003D7BB6">
              <w:rPr>
                <w:rStyle w:val="Hipervnculo"/>
                <w:rFonts w:ascii="Verdana" w:hAnsi="Verdana"/>
                <w:noProof/>
              </w:rPr>
              <w:t>6.3.2.</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Participación ciudadana y rendición de cuentas</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_Toc201308085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2E1C8BC1" w14:textId="028AD33B" w:rsidR="00180302" w:rsidRPr="003D7BB6" w:rsidRDefault="00180302">
          <w:pPr>
            <w:pStyle w:val="TDC3"/>
            <w:tabs>
              <w:tab w:val="left" w:pos="1440"/>
              <w:tab w:val="right" w:leader="dot" w:pos="8828"/>
            </w:tabs>
            <w:rPr>
              <w:rFonts w:ascii="Verdana" w:eastAsiaTheme="minorEastAsia" w:hAnsi="Verdana"/>
              <w:noProof/>
              <w:kern w:val="2"/>
              <w:lang w:eastAsia="es-CO"/>
              <w14:ligatures w14:val="standardContextual"/>
            </w:rPr>
          </w:pPr>
          <w:hyperlink w:anchor="_Toc201308086" w:history="1">
            <w:r w:rsidRPr="003D7BB6">
              <w:rPr>
                <w:rStyle w:val="Hipervnculo"/>
                <w:rFonts w:ascii="Verdana" w:hAnsi="Verdana"/>
                <w:noProof/>
              </w:rPr>
              <w:t>6.3.3.</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Integridad en el servicio público</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_Toc201308086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6</w:t>
            </w:r>
            <w:r w:rsidRPr="003D7BB6">
              <w:rPr>
                <w:rFonts w:ascii="Verdana" w:hAnsi="Verdana"/>
                <w:noProof/>
                <w:webHidden/>
              </w:rPr>
              <w:fldChar w:fldCharType="end"/>
            </w:r>
          </w:hyperlink>
        </w:p>
        <w:p w14:paraId="182A27A8" w14:textId="0DB5CFCA" w:rsidR="00180302" w:rsidRPr="003D7BB6" w:rsidRDefault="00180302">
          <w:pPr>
            <w:pStyle w:val="TDC2"/>
            <w:tabs>
              <w:tab w:val="left" w:pos="960"/>
              <w:tab w:val="right" w:leader="dot" w:pos="8828"/>
            </w:tabs>
            <w:rPr>
              <w:rFonts w:ascii="Verdana" w:eastAsiaTheme="minorEastAsia" w:hAnsi="Verdana"/>
              <w:noProof/>
              <w:kern w:val="2"/>
              <w:lang w:eastAsia="es-CO"/>
              <w14:ligatures w14:val="standardContextual"/>
            </w:rPr>
          </w:pPr>
          <w:hyperlink w:anchor="_Toc201308087" w:history="1">
            <w:r w:rsidRPr="003D7BB6">
              <w:rPr>
                <w:rStyle w:val="Hipervnculo"/>
                <w:rFonts w:ascii="Verdana" w:hAnsi="Verdana"/>
                <w:noProof/>
              </w:rPr>
              <w:t>6.4.</w:t>
            </w:r>
            <w:r w:rsidRPr="003D7BB6">
              <w:rPr>
                <w:rFonts w:ascii="Verdana" w:eastAsiaTheme="minorEastAsia" w:hAnsi="Verdana"/>
                <w:noProof/>
                <w:kern w:val="2"/>
                <w:lang w:eastAsia="es-CO"/>
                <w14:ligatures w14:val="standardContextual"/>
              </w:rPr>
              <w:tab/>
            </w:r>
            <w:r w:rsidRPr="003D7BB6">
              <w:rPr>
                <w:rStyle w:val="Hipervnculo"/>
                <w:rFonts w:ascii="Verdana" w:hAnsi="Verdana"/>
                <w:noProof/>
              </w:rPr>
              <w:t>Iniciativas adicionales</w:t>
            </w:r>
            <w:r w:rsidRPr="003D7BB6">
              <w:rPr>
                <w:rFonts w:ascii="Verdana" w:hAnsi="Verdana"/>
                <w:noProof/>
                <w:webHidden/>
              </w:rPr>
              <w:tab/>
            </w:r>
            <w:r w:rsidRPr="003D7BB6">
              <w:rPr>
                <w:rFonts w:ascii="Verdana" w:hAnsi="Verdana"/>
                <w:noProof/>
                <w:webHidden/>
              </w:rPr>
              <w:fldChar w:fldCharType="begin"/>
            </w:r>
            <w:r w:rsidRPr="003D7BB6">
              <w:rPr>
                <w:rFonts w:ascii="Verdana" w:hAnsi="Verdana"/>
                <w:noProof/>
                <w:webHidden/>
              </w:rPr>
              <w:instrText xml:space="preserve"> PAGEREF _Toc201308087 \h </w:instrText>
            </w:r>
            <w:r w:rsidRPr="003D7BB6">
              <w:rPr>
                <w:rFonts w:ascii="Verdana" w:hAnsi="Verdana"/>
                <w:noProof/>
                <w:webHidden/>
              </w:rPr>
            </w:r>
            <w:r w:rsidRPr="003D7BB6">
              <w:rPr>
                <w:rFonts w:ascii="Verdana" w:hAnsi="Verdana"/>
                <w:noProof/>
                <w:webHidden/>
              </w:rPr>
              <w:fldChar w:fldCharType="separate"/>
            </w:r>
            <w:r w:rsidRPr="003D7BB6">
              <w:rPr>
                <w:rFonts w:ascii="Verdana" w:hAnsi="Verdana"/>
                <w:noProof/>
                <w:webHidden/>
              </w:rPr>
              <w:t>7</w:t>
            </w:r>
            <w:r w:rsidRPr="003D7BB6">
              <w:rPr>
                <w:rFonts w:ascii="Verdana" w:hAnsi="Verdana"/>
                <w:noProof/>
                <w:webHidden/>
              </w:rPr>
              <w:fldChar w:fldCharType="end"/>
            </w:r>
          </w:hyperlink>
        </w:p>
        <w:p w14:paraId="244028E2" w14:textId="48F00B4F"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88" w:history="1">
            <w:r w:rsidRPr="003D7BB6">
              <w:rPr>
                <w:rStyle w:val="Hipervnculo"/>
                <w:rFonts w:ascii="Verdana" w:hAnsi="Verdana"/>
                <w:noProof/>
                <w:sz w:val="22"/>
                <w:szCs w:val="22"/>
              </w:rPr>
              <w:t>7.</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MATRIZ OPERATIVA</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_Toc201308088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7</w:t>
            </w:r>
            <w:r w:rsidRPr="003D7BB6">
              <w:rPr>
                <w:rFonts w:ascii="Verdana" w:hAnsi="Verdana"/>
                <w:noProof/>
                <w:webHidden/>
                <w:sz w:val="22"/>
                <w:szCs w:val="22"/>
              </w:rPr>
              <w:fldChar w:fldCharType="end"/>
            </w:r>
          </w:hyperlink>
        </w:p>
        <w:p w14:paraId="4C6D1934" w14:textId="503862A3" w:rsidR="00180302" w:rsidRPr="003D7BB6" w:rsidRDefault="00180302">
          <w:pPr>
            <w:pStyle w:val="TDC1"/>
            <w:tabs>
              <w:tab w:val="left" w:pos="720"/>
              <w:tab w:val="right" w:leader="dot" w:pos="8828"/>
            </w:tabs>
            <w:rPr>
              <w:rFonts w:ascii="Verdana" w:eastAsiaTheme="minorEastAsia" w:hAnsi="Verdana" w:cstheme="minorBidi"/>
              <w:noProof/>
              <w:kern w:val="2"/>
              <w:sz w:val="22"/>
              <w:szCs w:val="22"/>
              <w:lang w:val="es-CO" w:eastAsia="es-CO"/>
              <w14:ligatures w14:val="standardContextual"/>
            </w:rPr>
          </w:pPr>
          <w:hyperlink w:anchor="_Toc201308089" w:history="1">
            <w:r w:rsidRPr="003D7BB6">
              <w:rPr>
                <w:rStyle w:val="Hipervnculo"/>
                <w:rFonts w:ascii="Verdana" w:hAnsi="Verdana"/>
                <w:noProof/>
                <w:sz w:val="22"/>
                <w:szCs w:val="22"/>
              </w:rPr>
              <w:t>8.</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HISTORIAL DE CAMBIOS</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_Toc201308089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7</w:t>
            </w:r>
            <w:r w:rsidRPr="003D7BB6">
              <w:rPr>
                <w:rFonts w:ascii="Verdana" w:hAnsi="Verdana"/>
                <w:noProof/>
                <w:webHidden/>
                <w:sz w:val="22"/>
                <w:szCs w:val="22"/>
              </w:rPr>
              <w:fldChar w:fldCharType="end"/>
            </w:r>
          </w:hyperlink>
        </w:p>
        <w:p w14:paraId="106CB516" w14:textId="3DFBA2A4" w:rsidR="00180302" w:rsidRPr="003D7BB6" w:rsidRDefault="00180302">
          <w:pPr>
            <w:pStyle w:val="TDC1"/>
            <w:tabs>
              <w:tab w:val="left" w:pos="720"/>
              <w:tab w:val="right" w:leader="dot" w:pos="8828"/>
            </w:tabs>
            <w:rPr>
              <w:rFonts w:asciiTheme="minorHAnsi" w:eastAsiaTheme="minorEastAsia" w:hAnsiTheme="minorHAnsi" w:cstheme="minorBidi"/>
              <w:noProof/>
              <w:kern w:val="2"/>
              <w:sz w:val="22"/>
              <w:szCs w:val="22"/>
              <w:lang w:val="es-CO" w:eastAsia="es-CO"/>
              <w14:ligatures w14:val="standardContextual"/>
            </w:rPr>
          </w:pPr>
          <w:hyperlink w:anchor="_Toc201308090" w:history="1">
            <w:r w:rsidRPr="003D7BB6">
              <w:rPr>
                <w:rStyle w:val="Hipervnculo"/>
                <w:rFonts w:ascii="Verdana" w:hAnsi="Verdana"/>
                <w:noProof/>
                <w:sz w:val="22"/>
                <w:szCs w:val="22"/>
              </w:rPr>
              <w:t>9.</w:t>
            </w:r>
            <w:r w:rsidRPr="003D7BB6">
              <w:rPr>
                <w:rFonts w:ascii="Verdana" w:eastAsiaTheme="minorEastAsia" w:hAnsi="Verdana" w:cstheme="minorBidi"/>
                <w:noProof/>
                <w:kern w:val="2"/>
                <w:sz w:val="22"/>
                <w:szCs w:val="22"/>
                <w:lang w:val="es-CO" w:eastAsia="es-CO"/>
                <w14:ligatures w14:val="standardContextual"/>
              </w:rPr>
              <w:tab/>
            </w:r>
            <w:r w:rsidRPr="003D7BB6">
              <w:rPr>
                <w:rStyle w:val="Hipervnculo"/>
                <w:rFonts w:ascii="Verdana" w:hAnsi="Verdana"/>
                <w:noProof/>
                <w:sz w:val="22"/>
                <w:szCs w:val="22"/>
              </w:rPr>
              <w:t>APROBACIÓN</w:t>
            </w:r>
            <w:r w:rsidRPr="003D7BB6">
              <w:rPr>
                <w:rFonts w:ascii="Verdana" w:hAnsi="Verdana"/>
                <w:noProof/>
                <w:webHidden/>
                <w:sz w:val="22"/>
                <w:szCs w:val="22"/>
              </w:rPr>
              <w:tab/>
            </w:r>
            <w:r w:rsidRPr="003D7BB6">
              <w:rPr>
                <w:rFonts w:ascii="Verdana" w:hAnsi="Verdana"/>
                <w:noProof/>
                <w:webHidden/>
                <w:sz w:val="22"/>
                <w:szCs w:val="22"/>
              </w:rPr>
              <w:fldChar w:fldCharType="begin"/>
            </w:r>
            <w:r w:rsidRPr="003D7BB6">
              <w:rPr>
                <w:rFonts w:ascii="Verdana" w:hAnsi="Verdana"/>
                <w:noProof/>
                <w:webHidden/>
                <w:sz w:val="22"/>
                <w:szCs w:val="22"/>
              </w:rPr>
              <w:instrText xml:space="preserve"> PAGEREF _Toc201308090 \h </w:instrText>
            </w:r>
            <w:r w:rsidRPr="003D7BB6">
              <w:rPr>
                <w:rFonts w:ascii="Verdana" w:hAnsi="Verdana"/>
                <w:noProof/>
                <w:webHidden/>
                <w:sz w:val="22"/>
                <w:szCs w:val="22"/>
              </w:rPr>
            </w:r>
            <w:r w:rsidRPr="003D7BB6">
              <w:rPr>
                <w:rFonts w:ascii="Verdana" w:hAnsi="Verdana"/>
                <w:noProof/>
                <w:webHidden/>
                <w:sz w:val="22"/>
                <w:szCs w:val="22"/>
              </w:rPr>
              <w:fldChar w:fldCharType="separate"/>
            </w:r>
            <w:r w:rsidRPr="003D7BB6">
              <w:rPr>
                <w:rFonts w:ascii="Verdana" w:hAnsi="Verdana"/>
                <w:noProof/>
                <w:webHidden/>
                <w:sz w:val="22"/>
                <w:szCs w:val="22"/>
              </w:rPr>
              <w:t>8</w:t>
            </w:r>
            <w:r w:rsidRPr="003D7BB6">
              <w:rPr>
                <w:rFonts w:ascii="Verdana" w:hAnsi="Verdana"/>
                <w:noProof/>
                <w:webHidden/>
                <w:sz w:val="22"/>
                <w:szCs w:val="22"/>
              </w:rPr>
              <w:fldChar w:fldCharType="end"/>
            </w:r>
          </w:hyperlink>
        </w:p>
        <w:p w14:paraId="0DE7616E" w14:textId="356BD4A0" w:rsidR="00B056E5" w:rsidRPr="003D7BB6" w:rsidRDefault="00B056E5">
          <w:r w:rsidRPr="003D7BB6">
            <w:rPr>
              <w:b/>
              <w:bCs/>
              <w:lang w:val="es-ES"/>
            </w:rPr>
            <w:fldChar w:fldCharType="end"/>
          </w:r>
        </w:p>
      </w:sdtContent>
    </w:sdt>
    <w:p w14:paraId="1B64E2CC" w14:textId="77777777" w:rsidR="00740182" w:rsidRPr="003D7BB6" w:rsidRDefault="00740182" w:rsidP="00CC0522">
      <w:pPr>
        <w:jc w:val="both"/>
        <w:rPr>
          <w:rFonts w:ascii="Verdana" w:hAnsi="Verdana" w:cs="Arial"/>
          <w:b/>
          <w:i/>
          <w:color w:val="C00000"/>
        </w:rPr>
      </w:pPr>
    </w:p>
    <w:p w14:paraId="01C246F7" w14:textId="77777777" w:rsidR="00CC0522" w:rsidRPr="003D7BB6" w:rsidRDefault="00CC0522" w:rsidP="00CC0522">
      <w:pPr>
        <w:jc w:val="both"/>
        <w:rPr>
          <w:rFonts w:ascii="Verdana" w:hAnsi="Verdana" w:cs="Arial"/>
          <w:b/>
          <w:i/>
          <w:color w:val="C00000"/>
        </w:rPr>
      </w:pPr>
    </w:p>
    <w:p w14:paraId="66D2D06F" w14:textId="77777777" w:rsidR="00CC0522" w:rsidRPr="003D7BB6" w:rsidRDefault="00CC0522" w:rsidP="00CC0522">
      <w:pPr>
        <w:jc w:val="both"/>
        <w:rPr>
          <w:rFonts w:ascii="Verdana" w:hAnsi="Verdana" w:cs="Arial"/>
          <w:b/>
          <w:i/>
          <w:color w:val="C00000"/>
        </w:rPr>
      </w:pPr>
    </w:p>
    <w:p w14:paraId="683A4B68" w14:textId="77777777" w:rsidR="00CC0522" w:rsidRDefault="00CC0522" w:rsidP="00CC0522">
      <w:pPr>
        <w:jc w:val="both"/>
        <w:rPr>
          <w:rFonts w:ascii="Verdana" w:hAnsi="Verdana" w:cs="Arial"/>
          <w:b/>
        </w:rPr>
      </w:pPr>
    </w:p>
    <w:p w14:paraId="5ECF3009" w14:textId="77777777" w:rsidR="003D7BB6" w:rsidRPr="003D7BB6" w:rsidRDefault="003D7BB6" w:rsidP="00CC0522">
      <w:pPr>
        <w:jc w:val="both"/>
        <w:rPr>
          <w:rFonts w:ascii="Verdana" w:hAnsi="Verdana" w:cs="Arial"/>
          <w:b/>
        </w:rPr>
      </w:pPr>
    </w:p>
    <w:p w14:paraId="085D7F49" w14:textId="77777777" w:rsidR="00740182" w:rsidRPr="003D7BB6" w:rsidRDefault="00740182" w:rsidP="00740182">
      <w:pPr>
        <w:pStyle w:val="Ttulo1"/>
        <w:numPr>
          <w:ilvl w:val="0"/>
          <w:numId w:val="13"/>
        </w:numPr>
        <w:tabs>
          <w:tab w:val="num" w:pos="360"/>
        </w:tabs>
        <w:ind w:left="0" w:firstLine="0"/>
        <w:rPr>
          <w:rFonts w:ascii="Verdana" w:hAnsi="Verdana"/>
          <w:sz w:val="22"/>
          <w:szCs w:val="22"/>
        </w:rPr>
      </w:pPr>
      <w:r w:rsidRPr="003D7BB6">
        <w:rPr>
          <w:rFonts w:ascii="Verdana" w:hAnsi="Verdana"/>
          <w:sz w:val="22"/>
          <w:szCs w:val="22"/>
        </w:rPr>
        <w:lastRenderedPageBreak/>
        <w:t xml:space="preserve"> </w:t>
      </w:r>
      <w:bookmarkStart w:id="1" w:name="_Toc528661803"/>
      <w:bookmarkStart w:id="2" w:name="_Toc201308069"/>
      <w:bookmarkStart w:id="3" w:name="_Toc181004292"/>
      <w:r w:rsidRPr="003D7BB6">
        <w:rPr>
          <w:rFonts w:ascii="Verdana" w:hAnsi="Verdana"/>
          <w:sz w:val="22"/>
          <w:szCs w:val="22"/>
        </w:rPr>
        <w:t>INTRODUCCIÓN</w:t>
      </w:r>
      <w:bookmarkEnd w:id="1"/>
      <w:bookmarkEnd w:id="2"/>
      <w:r w:rsidRPr="003D7BB6">
        <w:rPr>
          <w:rFonts w:ascii="Verdana" w:hAnsi="Verdana"/>
          <w:sz w:val="22"/>
          <w:szCs w:val="22"/>
        </w:rPr>
        <w:t xml:space="preserve"> </w:t>
      </w:r>
    </w:p>
    <w:p w14:paraId="02198FCC" w14:textId="77777777" w:rsidR="00CC0522" w:rsidRPr="003D7BB6" w:rsidRDefault="00CC0522" w:rsidP="00CC0522">
      <w:pPr>
        <w:rPr>
          <w:lang w:val="es-ES" w:eastAsia="es-ES"/>
        </w:rPr>
      </w:pPr>
    </w:p>
    <w:p w14:paraId="60AFAE94" w14:textId="77777777" w:rsidR="00797E53" w:rsidRPr="003D7BB6" w:rsidRDefault="00797E53" w:rsidP="00797E53">
      <w:pPr>
        <w:jc w:val="both"/>
        <w:rPr>
          <w:rFonts w:ascii="Verdana" w:hAnsi="Verdana"/>
          <w:lang w:eastAsia="es-ES"/>
        </w:rPr>
      </w:pPr>
      <w:r w:rsidRPr="00797E53">
        <w:rPr>
          <w:rFonts w:ascii="Verdana" w:hAnsi="Verdana"/>
          <w:lang w:eastAsia="es-ES"/>
        </w:rPr>
        <w:t>El Programa de Transparencia y Ética Pública (PTEP) 2025 del Ministerio de Hacienda y Crédito Público se constituye como una herramienta estratégica para promover la transparencia institucional, el acceso a la información pública y el fortalecimiento de una cultura de lo público basada en la transparencia y la lucha contra la corrupción. Su construcción se fundamenta en los lineamientos metodológicos de la Secretaría de Transparencia de la Presidencia de la República y en las disposiciones de la Política de Transparencia, Acceso a la Información Pública y Lucha contra la Corrupción, en concordancia con el Modelo Integrado de Planeación y Gestión (MIPG).</w:t>
      </w:r>
    </w:p>
    <w:p w14:paraId="53195449" w14:textId="31877CB6" w:rsidR="00797E53" w:rsidRPr="00797E53" w:rsidRDefault="00797E53" w:rsidP="00797E53">
      <w:pPr>
        <w:jc w:val="both"/>
        <w:rPr>
          <w:rFonts w:ascii="Verdana" w:hAnsi="Verdana"/>
          <w:lang w:eastAsia="es-ES"/>
        </w:rPr>
      </w:pPr>
      <w:r w:rsidRPr="00797E53">
        <w:rPr>
          <w:rFonts w:ascii="Verdana" w:hAnsi="Verdana"/>
          <w:lang w:eastAsia="es-ES"/>
        </w:rPr>
        <w:t>En el marco de los lineamientos metodológicos de la Secretaría de Transparencia de la Presidencia de la República</w:t>
      </w:r>
      <w:r w:rsidR="00A84FA1">
        <w:rPr>
          <w:rStyle w:val="Refdenotaalpie"/>
          <w:rFonts w:ascii="Verdana" w:hAnsi="Verdana"/>
          <w:lang w:eastAsia="es-ES"/>
        </w:rPr>
        <w:footnoteReference w:id="1"/>
      </w:r>
      <w:r w:rsidRPr="00797E53">
        <w:rPr>
          <w:rFonts w:ascii="Verdana" w:hAnsi="Verdana"/>
          <w:lang w:eastAsia="es-ES"/>
        </w:rPr>
        <w:t>, este programa se desarrolla en consonancia con la Política de Transparencia, Acceso a la Información Pública y Lucha contra la Corrupción y con el Modelo Integrado de Planeación y Gestión (MIPG), aportando a la consolidación de una administración abierta, ética y orientada a resultados.</w:t>
      </w:r>
    </w:p>
    <w:p w14:paraId="0DC35EEC" w14:textId="1D7A4B77" w:rsidR="00797E53" w:rsidRPr="00797E53" w:rsidRDefault="00797E53" w:rsidP="00797E53">
      <w:pPr>
        <w:jc w:val="both"/>
        <w:rPr>
          <w:rFonts w:ascii="Verdana" w:hAnsi="Verdana"/>
          <w:lang w:eastAsia="es-ES"/>
        </w:rPr>
      </w:pPr>
      <w:r w:rsidRPr="00797E53">
        <w:rPr>
          <w:rFonts w:ascii="Verdana" w:hAnsi="Verdana"/>
          <w:lang w:eastAsia="es-ES"/>
        </w:rPr>
        <w:t>El Ministerio de Hacienda y Crédito Público, como entidad responsable del direccionamiento macroeconómico</w:t>
      </w:r>
      <w:r w:rsidR="00A84FA1">
        <w:rPr>
          <w:rFonts w:ascii="Verdana" w:hAnsi="Verdana"/>
          <w:lang w:eastAsia="es-ES"/>
        </w:rPr>
        <w:t xml:space="preserve"> y </w:t>
      </w:r>
      <w:r w:rsidRPr="00797E53">
        <w:rPr>
          <w:rFonts w:ascii="Verdana" w:hAnsi="Verdana"/>
          <w:lang w:eastAsia="es-ES"/>
        </w:rPr>
        <w:t xml:space="preserve">fiscal del país, reconoce que la transparencia institucional no solo fortalece la rendición de cuentas y la participación ciudadana, sino que también contribuye a generar valor público en sus políticas, programas y </w:t>
      </w:r>
      <w:r w:rsidR="00285F8A">
        <w:rPr>
          <w:rFonts w:ascii="Verdana" w:hAnsi="Verdana"/>
          <w:lang w:eastAsia="es-ES"/>
        </w:rPr>
        <w:t>proyectos</w:t>
      </w:r>
      <w:r w:rsidRPr="00797E53">
        <w:rPr>
          <w:rFonts w:ascii="Verdana" w:hAnsi="Verdana"/>
          <w:lang w:eastAsia="es-ES"/>
        </w:rPr>
        <w:t>.</w:t>
      </w:r>
    </w:p>
    <w:p w14:paraId="2FD8760D" w14:textId="4015E2B3" w:rsidR="00797E53" w:rsidRPr="003D7BB6" w:rsidRDefault="00797E53" w:rsidP="00797E53">
      <w:pPr>
        <w:jc w:val="both"/>
        <w:rPr>
          <w:rFonts w:ascii="Verdana" w:hAnsi="Verdana"/>
          <w:lang w:eastAsia="es-ES"/>
        </w:rPr>
      </w:pPr>
      <w:r w:rsidRPr="004F7DEE">
        <w:rPr>
          <w:rFonts w:ascii="Verdana" w:hAnsi="Verdana"/>
          <w:lang w:eastAsia="es-ES"/>
        </w:rPr>
        <w:t>El presente documento fue formulado a partir de un ejercicio de análisis técnico liderado por la Oficina Asesora de Planeación, con la participación de diferentes dependencias del Ministerio, integr</w:t>
      </w:r>
      <w:r w:rsidRPr="003D7BB6">
        <w:rPr>
          <w:rFonts w:ascii="Verdana" w:hAnsi="Verdana"/>
          <w:lang w:eastAsia="es-ES"/>
        </w:rPr>
        <w:t>ando insumos derivados del análisis de resultados del FURAG, del anteriormente nombrado Plan Anticorrupción y de Atención al Ciudadano (PAAC), del Plan de Participación Ciudadana, de la Política de Gobierno Digital, de la Estrategia de Datos Abiertos y de ejercicios previos de seguimiento por parte del equipo de transparencia de la oficina. También se consideró el Anexo Técnico expedido por la Secretaría de Transparencia como insumo metodológico.</w:t>
      </w:r>
    </w:p>
    <w:p w14:paraId="05E8B877" w14:textId="3DC97498" w:rsidR="00740182" w:rsidRDefault="00797E53" w:rsidP="00797E53">
      <w:pPr>
        <w:jc w:val="both"/>
        <w:rPr>
          <w:rFonts w:ascii="Verdana" w:hAnsi="Verdana"/>
          <w:lang w:eastAsia="es-ES"/>
        </w:rPr>
      </w:pPr>
      <w:r w:rsidRPr="00797E53">
        <w:rPr>
          <w:rFonts w:ascii="Verdana" w:hAnsi="Verdana"/>
          <w:lang w:eastAsia="es-ES"/>
        </w:rPr>
        <w:t xml:space="preserve">Este programa se organiza en torno a cuatro componentes estratégicos: (1) Gestión del riesgo; (2) Redes y articulación; (3) Cultura de la legalidad y estado </w:t>
      </w:r>
      <w:r w:rsidRPr="00797E53">
        <w:rPr>
          <w:rFonts w:ascii="Verdana" w:hAnsi="Verdana"/>
          <w:lang w:eastAsia="es-ES"/>
        </w:rPr>
        <w:lastRenderedPageBreak/>
        <w:t>abierto; y (4) Iniciativas adicionales</w:t>
      </w:r>
      <w:r w:rsidR="009B5BDF">
        <w:rPr>
          <w:rStyle w:val="Refdenotaalpie"/>
          <w:rFonts w:ascii="Verdana" w:hAnsi="Verdana"/>
          <w:lang w:eastAsia="es-ES"/>
        </w:rPr>
        <w:footnoteReference w:id="2"/>
      </w:r>
      <w:r w:rsidRPr="00797E53">
        <w:rPr>
          <w:rFonts w:ascii="Verdana" w:hAnsi="Verdana"/>
          <w:lang w:eastAsia="es-ES"/>
        </w:rPr>
        <w:t>. Cada componente estructura acciones específicas para fortalecer la capacidad institucional del Ministerio frente a los riesgos de corrupción, mejorar sus mecanismos de articulación interna y externa, facilitar el acceso a la información, y promover una cultura organizacional fundamentada en los principios de integridad, legalidad y servicio a la ciudadanía.</w:t>
      </w:r>
    </w:p>
    <w:p w14:paraId="359CBB27" w14:textId="253FFF9B" w:rsidR="0001717A" w:rsidRPr="003D7BB6" w:rsidRDefault="004F7DEE" w:rsidP="00797E53">
      <w:pPr>
        <w:jc w:val="both"/>
        <w:rPr>
          <w:rFonts w:ascii="Verdana" w:hAnsi="Verdana"/>
          <w:lang w:eastAsia="es-ES"/>
        </w:rPr>
      </w:pPr>
      <w:r>
        <w:rPr>
          <w:rFonts w:ascii="Verdana" w:hAnsi="Verdana"/>
          <w:lang w:eastAsia="es-ES"/>
        </w:rPr>
        <w:t>Finalmente, el</w:t>
      </w:r>
      <w:r w:rsidRPr="004F7DEE">
        <w:rPr>
          <w:rFonts w:ascii="Verdana" w:hAnsi="Verdana"/>
          <w:lang w:eastAsia="es-ES"/>
        </w:rPr>
        <w:t xml:space="preserve"> presente documento se constituye como una iniciativa de la Oficina Asesora de Planeación </w:t>
      </w:r>
      <w:r>
        <w:rPr>
          <w:rFonts w:ascii="Verdana" w:hAnsi="Verdana"/>
          <w:lang w:eastAsia="es-ES"/>
        </w:rPr>
        <w:t>como complemento</w:t>
      </w:r>
      <w:r w:rsidRPr="004F7DEE">
        <w:rPr>
          <w:rFonts w:ascii="Verdana" w:hAnsi="Verdana"/>
          <w:lang w:eastAsia="es-ES"/>
        </w:rPr>
        <w:t xml:space="preserve"> </w:t>
      </w:r>
      <w:r>
        <w:rPr>
          <w:rFonts w:ascii="Verdana" w:hAnsi="Verdana"/>
          <w:lang w:eastAsia="es-ES"/>
        </w:rPr>
        <w:t>a</w:t>
      </w:r>
      <w:r w:rsidRPr="004F7DEE">
        <w:rPr>
          <w:rFonts w:ascii="Verdana" w:hAnsi="Verdana"/>
          <w:lang w:eastAsia="es-ES"/>
        </w:rPr>
        <w:t xml:space="preserve">l Programa de Transparencia y Ética Pública aprobado en la sesión del Comité Institucional de Gestión y Desempeño del pasado 31 de enero de 2025. En tal sentido, busca detallar sus fundamentos técnicos, estructura, </w:t>
      </w:r>
      <w:r>
        <w:rPr>
          <w:rFonts w:ascii="Verdana" w:hAnsi="Verdana"/>
          <w:lang w:eastAsia="es-ES"/>
        </w:rPr>
        <w:t>alcance, insumos y responsables</w:t>
      </w:r>
      <w:r w:rsidRPr="004F7DEE">
        <w:rPr>
          <w:rFonts w:ascii="Verdana" w:hAnsi="Verdana"/>
          <w:lang w:eastAsia="es-ES"/>
        </w:rPr>
        <w:t xml:space="preserve"> para la </w:t>
      </w:r>
      <w:r w:rsidR="002C0467">
        <w:rPr>
          <w:rFonts w:ascii="Verdana" w:hAnsi="Verdana"/>
          <w:lang w:eastAsia="es-ES"/>
        </w:rPr>
        <w:t>presente vigencia</w:t>
      </w:r>
      <w:r w:rsidRPr="004F7DEE">
        <w:rPr>
          <w:rFonts w:ascii="Verdana" w:hAnsi="Verdana"/>
          <w:lang w:eastAsia="es-ES"/>
        </w:rPr>
        <w:t>.</w:t>
      </w:r>
    </w:p>
    <w:p w14:paraId="7CCBD36F" w14:textId="77777777" w:rsidR="00740182" w:rsidRPr="003D7BB6" w:rsidRDefault="00740182" w:rsidP="00740182">
      <w:pPr>
        <w:pStyle w:val="Ttulo1"/>
        <w:numPr>
          <w:ilvl w:val="0"/>
          <w:numId w:val="13"/>
        </w:numPr>
        <w:tabs>
          <w:tab w:val="num" w:pos="360"/>
        </w:tabs>
        <w:ind w:left="0" w:firstLine="0"/>
        <w:rPr>
          <w:rFonts w:ascii="Verdana" w:hAnsi="Verdana"/>
          <w:sz w:val="22"/>
          <w:szCs w:val="22"/>
        </w:rPr>
      </w:pPr>
      <w:bookmarkStart w:id="4" w:name="_Toc528661804"/>
      <w:bookmarkStart w:id="5" w:name="_Toc201308070"/>
      <w:r w:rsidRPr="003D7BB6">
        <w:rPr>
          <w:rFonts w:ascii="Verdana" w:hAnsi="Verdana"/>
          <w:sz w:val="22"/>
          <w:szCs w:val="22"/>
        </w:rPr>
        <w:t>OBJETIVO</w:t>
      </w:r>
      <w:bookmarkEnd w:id="3"/>
      <w:bookmarkEnd w:id="4"/>
      <w:bookmarkEnd w:id="5"/>
      <w:r w:rsidRPr="003D7BB6">
        <w:rPr>
          <w:rFonts w:ascii="Verdana" w:hAnsi="Verdana"/>
          <w:sz w:val="22"/>
          <w:szCs w:val="22"/>
        </w:rPr>
        <w:t xml:space="preserve"> </w:t>
      </w:r>
    </w:p>
    <w:p w14:paraId="3CEAB1A3" w14:textId="77777777" w:rsidR="00AA22F0" w:rsidRPr="003D7BB6" w:rsidRDefault="00AA22F0" w:rsidP="00AA22F0">
      <w:pPr>
        <w:spacing w:after="0" w:line="240" w:lineRule="auto"/>
        <w:rPr>
          <w:lang w:val="es-ES" w:eastAsia="es-ES"/>
        </w:rPr>
      </w:pPr>
    </w:p>
    <w:p w14:paraId="2749006A" w14:textId="4D72BB63" w:rsidR="00292507" w:rsidRPr="003D7BB6" w:rsidRDefault="00292507" w:rsidP="00AA22F0">
      <w:pPr>
        <w:jc w:val="both"/>
        <w:rPr>
          <w:rFonts w:ascii="Verdana" w:hAnsi="Verdana"/>
          <w:lang w:eastAsia="es-ES"/>
        </w:rPr>
      </w:pPr>
      <w:r w:rsidRPr="00292507">
        <w:rPr>
          <w:rFonts w:ascii="Verdana" w:hAnsi="Verdana"/>
          <w:lang w:eastAsia="es-ES"/>
        </w:rPr>
        <w:t xml:space="preserve">Promover una cultura de transparencia y ética pública en el Ministerio de Hacienda y Crédito Público a través de la implementación efectiva del Programa de Transparencia y Ética Pública con la finalidad de propender por el fortalecimiento de la transparencia, promoción de la integridad y lucha contra la corrupción, en el marco del MIPG, bajo un enfoque de Estado Abierto e innovación. </w:t>
      </w:r>
    </w:p>
    <w:p w14:paraId="6580D4AF" w14:textId="373E8F77" w:rsidR="00AA22F0" w:rsidRPr="003D7BB6" w:rsidRDefault="00740182" w:rsidP="00AA22F0">
      <w:pPr>
        <w:pStyle w:val="Ttulo2"/>
        <w:numPr>
          <w:ilvl w:val="1"/>
          <w:numId w:val="13"/>
        </w:numPr>
        <w:tabs>
          <w:tab w:val="num" w:pos="360"/>
        </w:tabs>
        <w:ind w:left="0" w:firstLine="0"/>
        <w:rPr>
          <w:rFonts w:ascii="Verdana" w:hAnsi="Verdana"/>
          <w:b/>
          <w:bCs/>
          <w:color w:val="auto"/>
          <w:sz w:val="22"/>
          <w:szCs w:val="22"/>
        </w:rPr>
      </w:pPr>
      <w:bookmarkStart w:id="6" w:name="_Toc528661805"/>
      <w:bookmarkStart w:id="7" w:name="_Toc201308071"/>
      <w:r w:rsidRPr="003D7BB6">
        <w:rPr>
          <w:rFonts w:ascii="Verdana" w:hAnsi="Verdana"/>
          <w:b/>
          <w:bCs/>
          <w:color w:val="auto"/>
          <w:sz w:val="22"/>
          <w:szCs w:val="22"/>
        </w:rPr>
        <w:t>Objetivos Específicos</w:t>
      </w:r>
      <w:bookmarkEnd w:id="6"/>
      <w:bookmarkEnd w:id="7"/>
      <w:r w:rsidRPr="003D7BB6">
        <w:rPr>
          <w:rFonts w:ascii="Verdana" w:hAnsi="Verdana"/>
          <w:b/>
          <w:bCs/>
          <w:color w:val="auto"/>
          <w:sz w:val="22"/>
          <w:szCs w:val="22"/>
        </w:rPr>
        <w:t xml:space="preserve"> </w:t>
      </w:r>
    </w:p>
    <w:p w14:paraId="419318B9" w14:textId="77777777" w:rsidR="00AA22F0" w:rsidRPr="003D7BB6" w:rsidRDefault="00AA22F0" w:rsidP="00AA22F0">
      <w:pPr>
        <w:spacing w:after="0" w:line="240" w:lineRule="auto"/>
      </w:pPr>
    </w:p>
    <w:p w14:paraId="2C7E09E5" w14:textId="77777777" w:rsidR="004F7DEE" w:rsidRDefault="004F7DEE" w:rsidP="00AA22F0">
      <w:pPr>
        <w:pStyle w:val="Prrafodelista"/>
        <w:numPr>
          <w:ilvl w:val="0"/>
          <w:numId w:val="19"/>
        </w:numPr>
        <w:jc w:val="both"/>
        <w:rPr>
          <w:rFonts w:ascii="Verdana" w:hAnsi="Verdana" w:cs="Arial"/>
        </w:rPr>
      </w:pPr>
      <w:r w:rsidRPr="004F7DEE">
        <w:rPr>
          <w:rFonts w:ascii="Verdana" w:hAnsi="Verdana" w:cs="Arial"/>
        </w:rPr>
        <w:t>Consolidar una cultura organizacional basada en la integridad, con énfasis en la apropiación de los valores institucionales y la prevención de prácticas contrarias a la ética pública.</w:t>
      </w:r>
    </w:p>
    <w:p w14:paraId="37C9C49C" w14:textId="0DC07CBD" w:rsidR="00AA22F0" w:rsidRPr="003D7BB6" w:rsidRDefault="00AA22F0" w:rsidP="00AA22F0">
      <w:pPr>
        <w:pStyle w:val="Prrafodelista"/>
        <w:numPr>
          <w:ilvl w:val="0"/>
          <w:numId w:val="19"/>
        </w:numPr>
        <w:jc w:val="both"/>
        <w:rPr>
          <w:rFonts w:ascii="Verdana" w:hAnsi="Verdana" w:cs="Arial"/>
        </w:rPr>
      </w:pPr>
      <w:r w:rsidRPr="003D7BB6">
        <w:rPr>
          <w:rFonts w:ascii="Verdana" w:hAnsi="Verdana" w:cs="Arial"/>
        </w:rPr>
        <w:t>Fomentar procesos pedagógicos y de gestión del conocimiento que impulsen la transparencia, la innovación y la lucha contra la corrupción.</w:t>
      </w:r>
    </w:p>
    <w:p w14:paraId="517B0D3D" w14:textId="4E733933" w:rsidR="004F7DEE" w:rsidRDefault="00AA22F0" w:rsidP="00474C7F">
      <w:pPr>
        <w:pStyle w:val="Prrafodelista"/>
        <w:numPr>
          <w:ilvl w:val="0"/>
          <w:numId w:val="19"/>
        </w:numPr>
        <w:jc w:val="both"/>
        <w:rPr>
          <w:rFonts w:ascii="Verdana" w:hAnsi="Verdana" w:cs="Arial"/>
        </w:rPr>
      </w:pPr>
      <w:r w:rsidRPr="003D7BB6">
        <w:rPr>
          <w:rFonts w:ascii="Verdana" w:hAnsi="Verdana" w:cs="Arial"/>
        </w:rPr>
        <w:t>Garantizar la toma de decisiones basada en datos, promoviendo la publicación y uso estratégico de información pública relevante para la ciudadanía y los grupos de valor.</w:t>
      </w:r>
    </w:p>
    <w:p w14:paraId="2B82DDB2" w14:textId="77777777" w:rsidR="00474C7F" w:rsidRPr="00474C7F" w:rsidRDefault="00474C7F" w:rsidP="00474C7F">
      <w:pPr>
        <w:jc w:val="both"/>
        <w:rPr>
          <w:rFonts w:ascii="Verdana" w:hAnsi="Verdana" w:cs="Arial"/>
        </w:rPr>
      </w:pPr>
    </w:p>
    <w:p w14:paraId="3BC3435C" w14:textId="77777777" w:rsidR="004F7DEE" w:rsidRPr="003D7BB6" w:rsidRDefault="004F7DEE" w:rsidP="008543B8">
      <w:pPr>
        <w:pStyle w:val="Prrafodelista"/>
        <w:jc w:val="both"/>
        <w:rPr>
          <w:rFonts w:ascii="Verdana" w:hAnsi="Verdana" w:cs="Arial"/>
        </w:rPr>
      </w:pPr>
    </w:p>
    <w:p w14:paraId="4BD8E2B6" w14:textId="08D410C9" w:rsidR="00740182" w:rsidRPr="003D7BB6" w:rsidRDefault="00740182" w:rsidP="00344C58">
      <w:pPr>
        <w:pStyle w:val="Ttulo1"/>
        <w:numPr>
          <w:ilvl w:val="0"/>
          <w:numId w:val="13"/>
        </w:numPr>
        <w:tabs>
          <w:tab w:val="num" w:pos="360"/>
        </w:tabs>
        <w:ind w:left="0" w:firstLine="0"/>
        <w:rPr>
          <w:rFonts w:ascii="Verdana" w:hAnsi="Verdana"/>
          <w:sz w:val="22"/>
          <w:szCs w:val="22"/>
        </w:rPr>
      </w:pPr>
      <w:bookmarkStart w:id="8" w:name="_Toc528661806"/>
      <w:bookmarkStart w:id="9" w:name="_Toc201308072"/>
      <w:r w:rsidRPr="003D7BB6">
        <w:rPr>
          <w:rFonts w:ascii="Verdana" w:hAnsi="Verdana"/>
          <w:sz w:val="22"/>
          <w:szCs w:val="22"/>
        </w:rPr>
        <w:lastRenderedPageBreak/>
        <w:t>ALCANCE</w:t>
      </w:r>
      <w:bookmarkEnd w:id="8"/>
      <w:bookmarkEnd w:id="9"/>
    </w:p>
    <w:p w14:paraId="4386AFAC" w14:textId="77777777" w:rsidR="00344C58" w:rsidRPr="003D7BB6" w:rsidRDefault="00344C58" w:rsidP="00344C58">
      <w:pPr>
        <w:spacing w:after="0" w:line="240" w:lineRule="auto"/>
        <w:rPr>
          <w:lang w:val="es-ES" w:eastAsia="es-ES"/>
        </w:rPr>
      </w:pPr>
    </w:p>
    <w:p w14:paraId="1FB6FCD0" w14:textId="209AEFD1" w:rsidR="00344C58" w:rsidRPr="00344C58" w:rsidRDefault="00344C58" w:rsidP="00344C58">
      <w:pPr>
        <w:jc w:val="both"/>
        <w:rPr>
          <w:rFonts w:ascii="Verdana" w:hAnsi="Verdana" w:cs="Arial"/>
          <w:bCs/>
        </w:rPr>
      </w:pPr>
      <w:r w:rsidRPr="00344C58">
        <w:rPr>
          <w:rFonts w:ascii="Verdana" w:hAnsi="Verdana" w:cs="Arial"/>
          <w:bCs/>
        </w:rPr>
        <w:t>El Programa de Transparencia y Ética Pública 2025 aplica a todas las dependencias del Ministerio de Hacienda y Crédito Público, particularmente a aquellas que han definido acciones relacionadas con la Política de Transparencia</w:t>
      </w:r>
      <w:r w:rsidRPr="003D7BB6">
        <w:rPr>
          <w:rFonts w:ascii="Verdana" w:hAnsi="Verdana" w:cs="Arial"/>
          <w:bCs/>
        </w:rPr>
        <w:t>, Acceso a la Información Pública y Lucha contra la Corrupción</w:t>
      </w:r>
      <w:r w:rsidRPr="00344C58">
        <w:rPr>
          <w:rFonts w:ascii="Verdana" w:hAnsi="Verdana" w:cs="Arial"/>
          <w:bCs/>
        </w:rPr>
        <w:t xml:space="preserve"> en el marco del Plan Estratégico Institucional</w:t>
      </w:r>
      <w:r w:rsidRPr="003D7BB6">
        <w:rPr>
          <w:rFonts w:ascii="Verdana" w:hAnsi="Verdana" w:cs="Arial"/>
          <w:bCs/>
        </w:rPr>
        <w:t xml:space="preserve"> - </w:t>
      </w:r>
      <w:r w:rsidRPr="003D7BB6">
        <w:rPr>
          <w:rFonts w:ascii="Verdana" w:hAnsi="Verdana" w:cs="Arial"/>
          <w:b/>
        </w:rPr>
        <w:t>PEI</w:t>
      </w:r>
      <w:r w:rsidRPr="00344C58">
        <w:rPr>
          <w:rFonts w:ascii="Verdana" w:hAnsi="Verdana" w:cs="Arial"/>
          <w:bCs/>
        </w:rPr>
        <w:t>. Estas dependencias desarrollan funciones y procesos vinculados con la formulación e implementación de estrategias de transparencia, el fortalecimiento de canales de comunicación interna y externa, la promoción de espacios de participación ciudadana, la gestión del riesgo de corrupción, la producción y divulgación de información pública, y la consolidación de acciones institucionales orientadas a fomentar la integridad y la cultura de lo público.</w:t>
      </w:r>
    </w:p>
    <w:p w14:paraId="4A0D7394" w14:textId="04F539CD" w:rsidR="00344C58" w:rsidRPr="00344C58" w:rsidRDefault="00344C58" w:rsidP="00344C58">
      <w:pPr>
        <w:jc w:val="both"/>
        <w:rPr>
          <w:rFonts w:ascii="Verdana" w:hAnsi="Verdana" w:cs="Arial"/>
          <w:bCs/>
        </w:rPr>
      </w:pPr>
      <w:r w:rsidRPr="00344C58">
        <w:rPr>
          <w:rFonts w:ascii="Verdana" w:hAnsi="Verdana" w:cs="Arial"/>
          <w:bCs/>
        </w:rPr>
        <w:t>El PTEP busca articular las acciones de las distintas dependencias en torno a una estrategia institucional de fortalecimiento de la transparencia, el acceso a la información pública y la participación ciudadana como elementos fundamentales para la generación de valor público. Así mismo, contribuye a la articulación y coherencia de los diferentes instrumentos de planeación, con énfasis en el Plan Estratégico Institucional y los compromisos derivados del FURAG</w:t>
      </w:r>
      <w:r w:rsidR="009B5BDF">
        <w:rPr>
          <w:rStyle w:val="Refdenotaalpie"/>
          <w:rFonts w:ascii="Verdana" w:hAnsi="Verdana" w:cs="Arial"/>
          <w:bCs/>
        </w:rPr>
        <w:footnoteReference w:id="3"/>
      </w:r>
      <w:r w:rsidRPr="00344C58">
        <w:rPr>
          <w:rFonts w:ascii="Verdana" w:hAnsi="Verdana" w:cs="Arial"/>
          <w:bCs/>
        </w:rPr>
        <w:t>.</w:t>
      </w:r>
    </w:p>
    <w:p w14:paraId="516C5CDD" w14:textId="72EEFB17" w:rsidR="00344C58" w:rsidRPr="003D7BB6" w:rsidRDefault="00344C58" w:rsidP="00740182">
      <w:pPr>
        <w:jc w:val="both"/>
        <w:rPr>
          <w:rFonts w:ascii="Verdana" w:hAnsi="Verdana" w:cs="Arial"/>
          <w:bCs/>
        </w:rPr>
      </w:pPr>
      <w:r w:rsidRPr="00344C58">
        <w:rPr>
          <w:rFonts w:ascii="Verdana" w:hAnsi="Verdana" w:cs="Arial"/>
          <w:bCs/>
        </w:rPr>
        <w:t>Asimismo, establece compromisos que deben ser asumidos por cada dependencia desde sus competencias, con el acompañamiento técnico de la Oficina Asesora de Planeación y en articulación con los líderes de cada una de las dimensiones del MIPG.</w:t>
      </w:r>
    </w:p>
    <w:p w14:paraId="08B81E7F" w14:textId="1E966C22" w:rsidR="00740182" w:rsidRPr="003D7BB6" w:rsidRDefault="00C359D9" w:rsidP="00740182">
      <w:pPr>
        <w:pStyle w:val="Ttulo1"/>
        <w:numPr>
          <w:ilvl w:val="0"/>
          <w:numId w:val="13"/>
        </w:numPr>
        <w:tabs>
          <w:tab w:val="num" w:pos="360"/>
        </w:tabs>
        <w:ind w:left="0" w:firstLine="0"/>
        <w:rPr>
          <w:rFonts w:ascii="Verdana" w:hAnsi="Verdana"/>
          <w:sz w:val="22"/>
          <w:szCs w:val="22"/>
        </w:rPr>
      </w:pPr>
      <w:bookmarkStart w:id="10" w:name="_Toc201308073"/>
      <w:r w:rsidRPr="003D7BB6">
        <w:rPr>
          <w:rFonts w:ascii="Verdana" w:hAnsi="Verdana"/>
          <w:sz w:val="22"/>
          <w:szCs w:val="22"/>
        </w:rPr>
        <w:t>INSUMOS DEL PROGRAMA DE TRANSPARENCIA Y ÉTICA PÚBLICA</w:t>
      </w:r>
      <w:bookmarkEnd w:id="10"/>
    </w:p>
    <w:p w14:paraId="1D91F9A6" w14:textId="77777777" w:rsidR="003D75F3" w:rsidRPr="003D7BB6" w:rsidRDefault="003D75F3" w:rsidP="008543B8">
      <w:pPr>
        <w:spacing w:after="0" w:line="240" w:lineRule="auto"/>
        <w:rPr>
          <w:rFonts w:ascii="Verdana" w:hAnsi="Verdana"/>
        </w:rPr>
      </w:pPr>
    </w:p>
    <w:p w14:paraId="7DA7F7BC" w14:textId="77777777" w:rsidR="003D75F3" w:rsidRPr="003D7BB6" w:rsidRDefault="003D75F3" w:rsidP="003D75F3">
      <w:pPr>
        <w:jc w:val="both"/>
        <w:rPr>
          <w:rFonts w:ascii="Verdana" w:hAnsi="Verdana"/>
        </w:rPr>
      </w:pPr>
      <w:r w:rsidRPr="003D75F3">
        <w:rPr>
          <w:rFonts w:ascii="Verdana" w:hAnsi="Verdana"/>
        </w:rPr>
        <w:t xml:space="preserve">La construcción del Programa de Transparencia y Ética Pública 2025 del Ministerio de Hacienda y Crédito Público se fundamentó en diversos insumos técnicos, estratégicos y participativos, que permitieron identificar oportunidades de mejora institucional, </w:t>
      </w:r>
      <w:r w:rsidRPr="003D7BB6">
        <w:rPr>
          <w:rFonts w:ascii="Verdana" w:hAnsi="Verdana"/>
        </w:rPr>
        <w:t>fortalecer la estructura del programa y orientar la priorización de líneas de acción en cada uno de sus componentes. A continuación, se describen los principales referentes considerados:</w:t>
      </w:r>
    </w:p>
    <w:p w14:paraId="626FF617" w14:textId="5581CCD8" w:rsidR="003D75F3" w:rsidRPr="009B5BDF" w:rsidRDefault="003D75F3" w:rsidP="009B5BDF">
      <w:pPr>
        <w:pStyle w:val="Prrafodelista"/>
        <w:numPr>
          <w:ilvl w:val="0"/>
          <w:numId w:val="31"/>
        </w:numPr>
        <w:jc w:val="both"/>
        <w:rPr>
          <w:rFonts w:ascii="Verdana" w:hAnsi="Verdana"/>
        </w:rPr>
      </w:pPr>
      <w:r w:rsidRPr="009B5BDF">
        <w:rPr>
          <w:rFonts w:ascii="Verdana" w:hAnsi="Verdana"/>
          <w:b/>
          <w:bCs/>
        </w:rPr>
        <w:t>Resultados del Formulario Único de Reporte de Avances de Gestión (FURAG)</w:t>
      </w:r>
      <w:r w:rsidRPr="009B5BDF">
        <w:rPr>
          <w:rFonts w:ascii="Verdana" w:hAnsi="Verdana"/>
        </w:rPr>
        <w:t xml:space="preserve">, en los cuales se identificaron aspectos susceptibles </w:t>
      </w:r>
      <w:r w:rsidRPr="009B5BDF">
        <w:rPr>
          <w:rFonts w:ascii="Verdana" w:hAnsi="Verdana"/>
        </w:rPr>
        <w:lastRenderedPageBreak/>
        <w:t>de mejora en la implementación de la Política de Transparencia, con énfasis en accesibilidad, divulgación de información pública y mitigación de riesgos de corrupción.</w:t>
      </w:r>
    </w:p>
    <w:p w14:paraId="743337E2" w14:textId="7B40A21F" w:rsidR="009B5BDF" w:rsidRDefault="003D75F3" w:rsidP="003D75F3">
      <w:pPr>
        <w:pStyle w:val="Prrafodelista"/>
        <w:numPr>
          <w:ilvl w:val="0"/>
          <w:numId w:val="31"/>
        </w:numPr>
        <w:jc w:val="both"/>
        <w:rPr>
          <w:rFonts w:ascii="Verdana" w:hAnsi="Verdana"/>
        </w:rPr>
      </w:pPr>
      <w:r w:rsidRPr="009B5BDF">
        <w:rPr>
          <w:rFonts w:ascii="Verdana" w:hAnsi="Verdana"/>
          <w:b/>
          <w:bCs/>
        </w:rPr>
        <w:t xml:space="preserve">Sesiones de </w:t>
      </w:r>
      <w:r w:rsidR="0001717A">
        <w:rPr>
          <w:rFonts w:ascii="Verdana" w:hAnsi="Verdana"/>
          <w:b/>
          <w:bCs/>
        </w:rPr>
        <w:t>formulación de la p</w:t>
      </w:r>
      <w:r w:rsidRPr="009B5BDF">
        <w:rPr>
          <w:rFonts w:ascii="Verdana" w:hAnsi="Verdana"/>
          <w:b/>
          <w:bCs/>
        </w:rPr>
        <w:t xml:space="preserve">laneación </w:t>
      </w:r>
      <w:r w:rsidR="0001717A">
        <w:rPr>
          <w:rFonts w:ascii="Verdana" w:hAnsi="Verdana"/>
          <w:b/>
          <w:bCs/>
        </w:rPr>
        <w:t>e</w:t>
      </w:r>
      <w:r w:rsidRPr="009B5BDF">
        <w:rPr>
          <w:rFonts w:ascii="Verdana" w:hAnsi="Verdana"/>
          <w:b/>
          <w:bCs/>
        </w:rPr>
        <w:t>stratégica 2025</w:t>
      </w:r>
      <w:r w:rsidRPr="009B5BDF">
        <w:rPr>
          <w:rFonts w:ascii="Verdana" w:hAnsi="Verdana"/>
        </w:rPr>
        <w:t xml:space="preserve">, lideradas por la Oficina Asesora de Planeación, en las que participaron las diferentes dependencias del Ministerio. Estas sesiones permitieron identificar retos estratégicos, formular tareas institucionales y generar insumos que se integraron al Plan de Acción 2025, garantizando coherencia con el Mapa Estratégico Institucional 2023–2026. </w:t>
      </w:r>
    </w:p>
    <w:p w14:paraId="1EE2BC67" w14:textId="77777777" w:rsidR="009B5BDF" w:rsidRDefault="003D75F3" w:rsidP="003D75F3">
      <w:pPr>
        <w:pStyle w:val="Prrafodelista"/>
        <w:numPr>
          <w:ilvl w:val="0"/>
          <w:numId w:val="31"/>
        </w:numPr>
        <w:jc w:val="both"/>
        <w:rPr>
          <w:rFonts w:ascii="Verdana" w:hAnsi="Verdana"/>
        </w:rPr>
      </w:pPr>
      <w:r w:rsidRPr="009B5BDF">
        <w:rPr>
          <w:rFonts w:ascii="Verdana" w:hAnsi="Verdana"/>
          <w:b/>
          <w:bCs/>
        </w:rPr>
        <w:t>Informe consolidado de acciones para el cierre de brechas FURAG</w:t>
      </w:r>
      <w:r w:rsidRPr="009B5BDF">
        <w:rPr>
          <w:rFonts w:ascii="Verdana" w:hAnsi="Verdana"/>
        </w:rPr>
        <w:t>, que recoge hallazgos, recomendaciones y líneas de acción específicas para mejorar el desempeño institucional frente a las 19 políticas del Modelo Integrado de Planeación y Gestión (MIPG), entre ellas, la de Transparencia y Ética Pública.</w:t>
      </w:r>
    </w:p>
    <w:p w14:paraId="1641E089" w14:textId="11D9828C" w:rsidR="003D75F3" w:rsidRPr="009B5BDF" w:rsidRDefault="003D75F3" w:rsidP="003D75F3">
      <w:pPr>
        <w:pStyle w:val="Prrafodelista"/>
        <w:numPr>
          <w:ilvl w:val="0"/>
          <w:numId w:val="31"/>
        </w:numPr>
        <w:jc w:val="both"/>
        <w:rPr>
          <w:rFonts w:ascii="Verdana" w:hAnsi="Verdana"/>
        </w:rPr>
      </w:pPr>
      <w:r w:rsidRPr="009B5BDF">
        <w:rPr>
          <w:rFonts w:ascii="Verdana" w:hAnsi="Verdana"/>
          <w:b/>
          <w:bCs/>
        </w:rPr>
        <w:t xml:space="preserve">Resultados de </w:t>
      </w:r>
      <w:r w:rsidR="0031707C">
        <w:rPr>
          <w:rFonts w:ascii="Verdana" w:hAnsi="Verdana"/>
          <w:b/>
          <w:bCs/>
        </w:rPr>
        <w:t>la estrategia de participación ciudadana Open Hacienda</w:t>
      </w:r>
      <w:r w:rsidRPr="009B5BDF">
        <w:rPr>
          <w:rFonts w:ascii="Verdana" w:hAnsi="Verdana"/>
        </w:rPr>
        <w:t>, especialmente las preguntas formuladas por la ciudadanía frente al acceso a la información pública, mecanismos de participación y acciones institucionales para prevenir la corrupción.</w:t>
      </w:r>
    </w:p>
    <w:p w14:paraId="193C5BD0" w14:textId="3C702B27" w:rsidR="00740182" w:rsidRPr="003D7BB6" w:rsidRDefault="003D75F3" w:rsidP="003D75F3">
      <w:pPr>
        <w:jc w:val="both"/>
        <w:rPr>
          <w:rFonts w:ascii="Verdana" w:hAnsi="Verdana"/>
        </w:rPr>
      </w:pPr>
      <w:r w:rsidRPr="003D75F3">
        <w:rPr>
          <w:rFonts w:ascii="Verdana" w:hAnsi="Verdana"/>
        </w:rPr>
        <w:t>Estos insumos permitieron construir un programa contextualizado, participativo y alineado con las prioridades institucionales, asegurando su coherencia con el Plan Estratégico Institucional y los lineamientos emitidos por la Secretaría de Transparencia de la Presidencia de la República.</w:t>
      </w:r>
    </w:p>
    <w:p w14:paraId="41449251" w14:textId="77777777" w:rsidR="00740182" w:rsidRPr="003D7BB6" w:rsidRDefault="00740182" w:rsidP="00740182">
      <w:pPr>
        <w:pStyle w:val="Ttulo1"/>
        <w:numPr>
          <w:ilvl w:val="0"/>
          <w:numId w:val="13"/>
        </w:numPr>
        <w:tabs>
          <w:tab w:val="num" w:pos="360"/>
        </w:tabs>
        <w:ind w:left="0" w:firstLine="0"/>
        <w:rPr>
          <w:rFonts w:ascii="Verdana" w:hAnsi="Verdana"/>
          <w:sz w:val="22"/>
          <w:szCs w:val="22"/>
        </w:rPr>
      </w:pPr>
      <w:bookmarkStart w:id="11" w:name="_Toc528661808"/>
      <w:bookmarkStart w:id="12" w:name="_Toc201308074"/>
      <w:r w:rsidRPr="003D7BB6">
        <w:rPr>
          <w:rFonts w:ascii="Verdana" w:hAnsi="Verdana"/>
          <w:sz w:val="22"/>
          <w:szCs w:val="22"/>
        </w:rPr>
        <w:t>TÉRMINOS Y DEFINICIONES</w:t>
      </w:r>
      <w:bookmarkEnd w:id="11"/>
      <w:bookmarkEnd w:id="12"/>
    </w:p>
    <w:p w14:paraId="0139A25B" w14:textId="77777777" w:rsidR="00740182" w:rsidRPr="003D7BB6" w:rsidRDefault="00740182" w:rsidP="00427F6C">
      <w:pPr>
        <w:spacing w:after="0" w:line="240" w:lineRule="auto"/>
        <w:jc w:val="both"/>
        <w:rPr>
          <w:rFonts w:ascii="Verdana" w:hAnsi="Verdana" w:cs="Arial"/>
          <w:b/>
        </w:rPr>
      </w:pPr>
    </w:p>
    <w:p w14:paraId="03B37D99" w14:textId="589E70D5" w:rsidR="003D75F3" w:rsidRPr="003D75F3" w:rsidRDefault="003D75F3" w:rsidP="003D75F3">
      <w:pPr>
        <w:jc w:val="both"/>
        <w:rPr>
          <w:rFonts w:ascii="Verdana" w:hAnsi="Verdana" w:cs="Arial"/>
        </w:rPr>
      </w:pPr>
      <w:r w:rsidRPr="003D75F3">
        <w:rPr>
          <w:rFonts w:ascii="Verdana" w:hAnsi="Verdana" w:cs="Arial"/>
          <w:b/>
          <w:bCs/>
        </w:rPr>
        <w:t>Acceso a la información pública:</w:t>
      </w:r>
      <w:r w:rsidRPr="003D75F3">
        <w:rPr>
          <w:rFonts w:ascii="Verdana" w:hAnsi="Verdana" w:cs="Arial"/>
        </w:rPr>
        <w:t xml:space="preserve"> Derecho fundamental de todas las personas a conocer, actualizar y rectificar la información que repose en entidades públicas, conforme a los principios de publicidad, transparencia y responsabilidad. Se rige principalmente por la Ley 1712 de 2014</w:t>
      </w:r>
      <w:r w:rsidR="00E563B7">
        <w:rPr>
          <w:rStyle w:val="Refdenotaalpie"/>
          <w:rFonts w:ascii="Verdana" w:hAnsi="Verdana" w:cs="Arial"/>
        </w:rPr>
        <w:footnoteReference w:id="4"/>
      </w:r>
      <w:r w:rsidRPr="003D75F3">
        <w:rPr>
          <w:rFonts w:ascii="Verdana" w:hAnsi="Verdana" w:cs="Arial"/>
        </w:rPr>
        <w:t>.</w:t>
      </w:r>
    </w:p>
    <w:p w14:paraId="17E6129A" w14:textId="760A58DF" w:rsidR="003D75F3" w:rsidRPr="003D75F3" w:rsidRDefault="003D75F3" w:rsidP="003D75F3">
      <w:pPr>
        <w:jc w:val="both"/>
        <w:rPr>
          <w:rFonts w:ascii="Verdana" w:hAnsi="Verdana" w:cs="Arial"/>
        </w:rPr>
      </w:pPr>
      <w:r w:rsidRPr="003D75F3">
        <w:rPr>
          <w:rFonts w:ascii="Verdana" w:hAnsi="Verdana" w:cs="Arial"/>
          <w:b/>
          <w:bCs/>
        </w:rPr>
        <w:t>Control social:</w:t>
      </w:r>
      <w:r w:rsidRPr="003D75F3">
        <w:rPr>
          <w:rFonts w:ascii="Verdana" w:hAnsi="Verdana" w:cs="Arial"/>
        </w:rPr>
        <w:t xml:space="preserve"> Conjunto de mecanismos mediante los cuales la ciudadanía ejerce vigilancia sobre la gestión pública, con el fin de garantizar el uso adecuado de los recursos, la calidad de los servicios y el cumplimiento de los fines del Estado.</w:t>
      </w:r>
    </w:p>
    <w:p w14:paraId="70646460" w14:textId="639318CA" w:rsidR="003D75F3" w:rsidRPr="003D75F3" w:rsidRDefault="003D75F3" w:rsidP="003D75F3">
      <w:pPr>
        <w:jc w:val="both"/>
        <w:rPr>
          <w:rFonts w:ascii="Verdana" w:hAnsi="Verdana" w:cs="Arial"/>
        </w:rPr>
      </w:pPr>
      <w:r w:rsidRPr="003D75F3">
        <w:rPr>
          <w:rFonts w:ascii="Verdana" w:hAnsi="Verdana" w:cs="Arial"/>
          <w:b/>
          <w:bCs/>
        </w:rPr>
        <w:lastRenderedPageBreak/>
        <w:t>Corrupción</w:t>
      </w:r>
      <w:r w:rsidR="00E563B7">
        <w:rPr>
          <w:rStyle w:val="Refdenotaalpie"/>
          <w:rFonts w:ascii="Verdana" w:hAnsi="Verdana" w:cs="Arial"/>
          <w:b/>
          <w:bCs/>
        </w:rPr>
        <w:footnoteReference w:id="5"/>
      </w:r>
      <w:r w:rsidRPr="003D75F3">
        <w:rPr>
          <w:rFonts w:ascii="Verdana" w:hAnsi="Verdana" w:cs="Arial"/>
          <w:b/>
          <w:bCs/>
        </w:rPr>
        <w:t>:</w:t>
      </w:r>
      <w:r w:rsidRPr="003D75F3">
        <w:rPr>
          <w:rFonts w:ascii="Verdana" w:hAnsi="Verdana" w:cs="Arial"/>
        </w:rPr>
        <w:t xml:space="preserve"> Comportamiento de servidores públicos o particulares que, mediante el uso indebido del poder o los recursos públicos, buscan beneficios personales o para terceros, contraviniendo la ley y afectando el interés general.</w:t>
      </w:r>
    </w:p>
    <w:p w14:paraId="566BAD30" w14:textId="5AE0BAE9" w:rsidR="003D75F3" w:rsidRPr="003D75F3" w:rsidRDefault="003D75F3" w:rsidP="003D75F3">
      <w:pPr>
        <w:jc w:val="both"/>
        <w:rPr>
          <w:rFonts w:ascii="Verdana" w:hAnsi="Verdana" w:cs="Arial"/>
        </w:rPr>
      </w:pPr>
      <w:r w:rsidRPr="003D75F3">
        <w:rPr>
          <w:rFonts w:ascii="Verdana" w:hAnsi="Verdana" w:cs="Arial"/>
          <w:b/>
          <w:bCs/>
        </w:rPr>
        <w:t>Dimensiones MIPG:</w:t>
      </w:r>
      <w:r w:rsidRPr="003D75F3">
        <w:rPr>
          <w:rFonts w:ascii="Verdana" w:hAnsi="Verdana" w:cs="Arial"/>
        </w:rPr>
        <w:t xml:space="preserve"> Ejes estructurantes del Modelo Integrado de Planeación y Gestión que agrupan políticas de gestión y desempeño institucional. Cada dimensión articula acciones orientadas a fortalecer la capacidad institucional y generar valor público.</w:t>
      </w:r>
    </w:p>
    <w:p w14:paraId="7BDFDD15" w14:textId="7A5C6608" w:rsidR="003D75F3" w:rsidRPr="003D75F3" w:rsidRDefault="003D75F3" w:rsidP="003D75F3">
      <w:pPr>
        <w:jc w:val="both"/>
        <w:rPr>
          <w:rFonts w:ascii="Verdana" w:hAnsi="Verdana" w:cs="Arial"/>
        </w:rPr>
      </w:pPr>
      <w:r w:rsidRPr="003D75F3">
        <w:rPr>
          <w:rFonts w:ascii="Verdana" w:hAnsi="Verdana" w:cs="Arial"/>
          <w:b/>
          <w:bCs/>
        </w:rPr>
        <w:t>FURAG (Formulario Único de Reporte de Avance de la Gestión)</w:t>
      </w:r>
      <w:r w:rsidR="00E563B7">
        <w:rPr>
          <w:rStyle w:val="Refdenotaalpie"/>
          <w:rFonts w:ascii="Verdana" w:hAnsi="Verdana" w:cs="Arial"/>
          <w:b/>
          <w:bCs/>
        </w:rPr>
        <w:footnoteReference w:id="6"/>
      </w:r>
      <w:r w:rsidRPr="003D75F3">
        <w:rPr>
          <w:rFonts w:ascii="Verdana" w:hAnsi="Verdana" w:cs="Arial"/>
          <w:b/>
          <w:bCs/>
        </w:rPr>
        <w:t>:</w:t>
      </w:r>
      <w:r w:rsidRPr="003D75F3">
        <w:rPr>
          <w:rFonts w:ascii="Verdana" w:hAnsi="Verdana" w:cs="Arial"/>
        </w:rPr>
        <w:t xml:space="preserve"> Herramienta del Departamento Administrativo de la Función Pública que permite medir el avance de las entidades públicas en la implementación de las políticas del MIPG.</w:t>
      </w:r>
    </w:p>
    <w:p w14:paraId="563155E1" w14:textId="44D27C13" w:rsidR="003D75F3" w:rsidRPr="003D75F3" w:rsidRDefault="003D75F3" w:rsidP="003D75F3">
      <w:pPr>
        <w:jc w:val="both"/>
        <w:rPr>
          <w:rFonts w:ascii="Verdana" w:hAnsi="Verdana" w:cs="Arial"/>
        </w:rPr>
      </w:pPr>
      <w:r w:rsidRPr="003D75F3">
        <w:rPr>
          <w:rFonts w:ascii="Verdana" w:hAnsi="Verdana" w:cs="Arial"/>
          <w:b/>
          <w:bCs/>
        </w:rPr>
        <w:t>Integridad pública:</w:t>
      </w:r>
      <w:r w:rsidRPr="003D75F3">
        <w:rPr>
          <w:rFonts w:ascii="Verdana" w:hAnsi="Verdana" w:cs="Arial"/>
        </w:rPr>
        <w:t xml:space="preserve"> Conjunto de valores, principios y normas éticas que orientan la actuación de los servidores públicos hacia el interés general, garantizando comportamientos coherentes con la legalidad, la honestidad y el respeto por lo público.</w:t>
      </w:r>
    </w:p>
    <w:p w14:paraId="3DB87E44" w14:textId="452F6763" w:rsidR="003D75F3" w:rsidRPr="003D75F3" w:rsidRDefault="003D75F3" w:rsidP="003D75F3">
      <w:pPr>
        <w:jc w:val="both"/>
        <w:rPr>
          <w:rFonts w:ascii="Verdana" w:hAnsi="Verdana" w:cs="Arial"/>
        </w:rPr>
      </w:pPr>
      <w:r w:rsidRPr="003D75F3">
        <w:rPr>
          <w:rFonts w:ascii="Verdana" w:hAnsi="Verdana" w:cs="Arial"/>
          <w:b/>
          <w:bCs/>
        </w:rPr>
        <w:t>Modelo Integrado de Planeación y Gestión (MIPG)</w:t>
      </w:r>
      <w:r w:rsidR="00936C41">
        <w:rPr>
          <w:rStyle w:val="Refdenotaalpie"/>
          <w:rFonts w:ascii="Verdana" w:hAnsi="Verdana" w:cs="Arial"/>
          <w:b/>
          <w:bCs/>
        </w:rPr>
        <w:footnoteReference w:id="7"/>
      </w:r>
      <w:r w:rsidRPr="003D75F3">
        <w:rPr>
          <w:rFonts w:ascii="Verdana" w:hAnsi="Verdana" w:cs="Arial"/>
          <w:b/>
          <w:bCs/>
        </w:rPr>
        <w:t>:</w:t>
      </w:r>
      <w:r w:rsidRPr="003D75F3">
        <w:rPr>
          <w:rFonts w:ascii="Verdana" w:hAnsi="Verdana" w:cs="Arial"/>
        </w:rPr>
        <w:t xml:space="preserve"> Marco de referencia para dirigir, planear, ejecutar, hacer seguimiento y evaluar la gestión de las entidades públicas, promoviendo la eficiencia administrativa, la transparencia y la mejora continua.</w:t>
      </w:r>
    </w:p>
    <w:p w14:paraId="69D0D543" w14:textId="79FE5378" w:rsidR="003D75F3" w:rsidRPr="003D75F3" w:rsidRDefault="003D75F3" w:rsidP="003D75F3">
      <w:pPr>
        <w:jc w:val="both"/>
        <w:rPr>
          <w:rFonts w:ascii="Verdana" w:hAnsi="Verdana" w:cs="Arial"/>
        </w:rPr>
      </w:pPr>
      <w:r w:rsidRPr="003D75F3">
        <w:rPr>
          <w:rFonts w:ascii="Verdana" w:hAnsi="Verdana" w:cs="Arial"/>
          <w:b/>
          <w:bCs/>
        </w:rPr>
        <w:t>Participación ciudadana</w:t>
      </w:r>
      <w:r w:rsidR="00936C41">
        <w:rPr>
          <w:rStyle w:val="Refdenotaalpie"/>
          <w:rFonts w:ascii="Verdana" w:hAnsi="Verdana" w:cs="Arial"/>
          <w:b/>
          <w:bCs/>
        </w:rPr>
        <w:footnoteReference w:id="8"/>
      </w:r>
      <w:r w:rsidRPr="003D75F3">
        <w:rPr>
          <w:rFonts w:ascii="Verdana" w:hAnsi="Verdana" w:cs="Arial"/>
          <w:b/>
          <w:bCs/>
        </w:rPr>
        <w:t>:</w:t>
      </w:r>
      <w:r w:rsidRPr="003D75F3">
        <w:rPr>
          <w:rFonts w:ascii="Verdana" w:hAnsi="Verdana" w:cs="Arial"/>
        </w:rPr>
        <w:t xml:space="preserve"> Proceso mediante el cual la ciudadanía interviene activamente en la formulación, ejecución, seguimiento y evaluación de las políticas públicas, programas y decisiones del Estado.</w:t>
      </w:r>
    </w:p>
    <w:p w14:paraId="0B924E06" w14:textId="2E9CD8DA" w:rsidR="003D75F3" w:rsidRPr="003D75F3" w:rsidRDefault="003D75F3" w:rsidP="003D75F3">
      <w:pPr>
        <w:jc w:val="both"/>
        <w:rPr>
          <w:rFonts w:ascii="Verdana" w:hAnsi="Verdana" w:cs="Arial"/>
        </w:rPr>
      </w:pPr>
      <w:r w:rsidRPr="003D75F3">
        <w:rPr>
          <w:rFonts w:ascii="Verdana" w:hAnsi="Verdana" w:cs="Arial"/>
          <w:b/>
          <w:bCs/>
        </w:rPr>
        <w:t>Programa de Transparencia y Ética Pública (PTEP):</w:t>
      </w:r>
      <w:r w:rsidRPr="003D75F3">
        <w:rPr>
          <w:rFonts w:ascii="Verdana" w:hAnsi="Verdana" w:cs="Arial"/>
        </w:rPr>
        <w:t xml:space="preserve"> Instrumento de planeación que orienta la implementación de acciones estratégicas para fortalecer la transparencia, el acceso a la información, la integridad y la lucha contra la corrupción en las entidades públicas.</w:t>
      </w:r>
    </w:p>
    <w:p w14:paraId="5C0F9AAF" w14:textId="77777777" w:rsidR="00474C7F" w:rsidRDefault="00474C7F" w:rsidP="00740182">
      <w:pPr>
        <w:jc w:val="both"/>
        <w:rPr>
          <w:rFonts w:ascii="Verdana" w:hAnsi="Verdana" w:cs="Arial"/>
          <w:b/>
          <w:bCs/>
        </w:rPr>
      </w:pPr>
    </w:p>
    <w:p w14:paraId="7A0C6E6A" w14:textId="77777777" w:rsidR="00474C7F" w:rsidRDefault="00474C7F" w:rsidP="00740182">
      <w:pPr>
        <w:jc w:val="both"/>
        <w:rPr>
          <w:rFonts w:ascii="Verdana" w:hAnsi="Verdana" w:cs="Arial"/>
          <w:b/>
          <w:bCs/>
        </w:rPr>
      </w:pPr>
    </w:p>
    <w:p w14:paraId="4DE9BE33" w14:textId="5DAE1299" w:rsidR="0031707C" w:rsidRPr="003D7BB6" w:rsidRDefault="003D75F3" w:rsidP="00740182">
      <w:pPr>
        <w:jc w:val="both"/>
        <w:rPr>
          <w:rFonts w:ascii="Verdana" w:hAnsi="Verdana" w:cs="Arial"/>
        </w:rPr>
      </w:pPr>
      <w:r w:rsidRPr="003D75F3">
        <w:rPr>
          <w:rFonts w:ascii="Verdana" w:hAnsi="Verdana" w:cs="Arial"/>
          <w:b/>
          <w:bCs/>
        </w:rPr>
        <w:t>Rendición de cuentas</w:t>
      </w:r>
      <w:r w:rsidR="00936C41">
        <w:rPr>
          <w:rStyle w:val="Refdenotaalpie"/>
          <w:rFonts w:ascii="Verdana" w:hAnsi="Verdana" w:cs="Arial"/>
          <w:b/>
          <w:bCs/>
        </w:rPr>
        <w:footnoteReference w:id="9"/>
      </w:r>
      <w:r w:rsidRPr="003D75F3">
        <w:rPr>
          <w:rFonts w:ascii="Verdana" w:hAnsi="Verdana" w:cs="Arial"/>
          <w:b/>
          <w:bCs/>
        </w:rPr>
        <w:t>:</w:t>
      </w:r>
      <w:r w:rsidRPr="003D75F3">
        <w:rPr>
          <w:rFonts w:ascii="Verdana" w:hAnsi="Verdana" w:cs="Arial"/>
        </w:rPr>
        <w:t xml:space="preserve"> Proceso mediante el cual las entidades públicas informan, explican y se responsabilizan por sus decisiones, acciones y resultados frente a la ciudadanía, promoviendo la transparencia y el control social.</w:t>
      </w:r>
    </w:p>
    <w:p w14:paraId="1A704B08" w14:textId="0915E113" w:rsidR="00427F6C" w:rsidRPr="003D7BB6" w:rsidRDefault="00C359D9" w:rsidP="008543B8">
      <w:pPr>
        <w:pStyle w:val="Ttulo1"/>
        <w:numPr>
          <w:ilvl w:val="0"/>
          <w:numId w:val="13"/>
        </w:numPr>
        <w:jc w:val="both"/>
        <w:rPr>
          <w:rFonts w:ascii="Verdana" w:hAnsi="Verdana"/>
          <w:sz w:val="22"/>
          <w:szCs w:val="22"/>
        </w:rPr>
      </w:pPr>
      <w:bookmarkStart w:id="13" w:name="_Toc201308075"/>
      <w:bookmarkStart w:id="14" w:name="_Toc126143692"/>
      <w:bookmarkStart w:id="15" w:name="_Toc126144694"/>
      <w:bookmarkStart w:id="16" w:name="_Toc126144876"/>
      <w:bookmarkStart w:id="17" w:name="_Toc126144946"/>
      <w:bookmarkStart w:id="18" w:name="_Toc126147376"/>
      <w:bookmarkStart w:id="19" w:name="_Toc126301042"/>
      <w:r w:rsidRPr="003D7BB6">
        <w:rPr>
          <w:rFonts w:ascii="Verdana" w:hAnsi="Verdana"/>
          <w:sz w:val="22"/>
          <w:szCs w:val="22"/>
        </w:rPr>
        <w:t>COMPONENTES DEL PROGRAMA DE TRANSPARENCIA Y ÉTICA PÚBLICA</w:t>
      </w:r>
      <w:bookmarkEnd w:id="13"/>
    </w:p>
    <w:p w14:paraId="54444937" w14:textId="77777777" w:rsidR="00427F6C" w:rsidRPr="003D7BB6" w:rsidRDefault="00427F6C" w:rsidP="00277127">
      <w:pPr>
        <w:spacing w:after="0" w:line="240" w:lineRule="auto"/>
        <w:rPr>
          <w:lang w:val="es-ES" w:eastAsia="es-ES"/>
        </w:rPr>
      </w:pPr>
    </w:p>
    <w:p w14:paraId="4A79DD4E" w14:textId="77777777" w:rsidR="00427F6C" w:rsidRPr="00427F6C" w:rsidRDefault="00427F6C" w:rsidP="00427F6C">
      <w:pPr>
        <w:jc w:val="both"/>
        <w:rPr>
          <w:rFonts w:ascii="Verdana" w:hAnsi="Verdana" w:cs="Arial"/>
        </w:rPr>
      </w:pPr>
      <w:r w:rsidRPr="00427F6C">
        <w:rPr>
          <w:rFonts w:ascii="Verdana" w:hAnsi="Verdana" w:cs="Arial"/>
        </w:rPr>
        <w:t>El Programa de Transparencia y Ética Pública (PTEP) 2025 del Ministerio de Hacienda y Crédito Público se estructura en cuatro componentes estratégicos, cada uno de los cuales agrupa acciones orientadas a fortalecer la gestión institucional frente a riesgos de corrupción, promover la integridad pública, mejorar los canales de articulación y fomentar una cultura organizacional basada en la legalidad, el servicio y el acceso a la información.</w:t>
      </w:r>
    </w:p>
    <w:p w14:paraId="402BCE28" w14:textId="77777777" w:rsidR="00427F6C" w:rsidRPr="00427F6C" w:rsidRDefault="00427F6C" w:rsidP="00427F6C">
      <w:pPr>
        <w:jc w:val="both"/>
        <w:rPr>
          <w:rFonts w:ascii="Verdana" w:hAnsi="Verdana" w:cs="Arial"/>
        </w:rPr>
      </w:pPr>
      <w:r w:rsidRPr="00427F6C">
        <w:rPr>
          <w:rFonts w:ascii="Verdana" w:hAnsi="Verdana" w:cs="Arial"/>
        </w:rPr>
        <w:t>Cada componente está alineado con las dimensiones del Modelo Integrado de Planeación y Gestión (MIPG) y responde a los lineamientos metodológicos definidos por la Secretaría de Transparencia de la Presidencia de la República.</w:t>
      </w:r>
    </w:p>
    <w:p w14:paraId="6B909FAF" w14:textId="5F76646D" w:rsidR="00427F6C" w:rsidRPr="00427F6C" w:rsidRDefault="00427F6C" w:rsidP="00427F6C">
      <w:pPr>
        <w:jc w:val="both"/>
        <w:rPr>
          <w:rFonts w:ascii="Verdana" w:hAnsi="Verdana" w:cs="Arial"/>
        </w:rPr>
      </w:pPr>
      <w:r w:rsidRPr="00427F6C">
        <w:rPr>
          <w:rFonts w:ascii="Verdana" w:hAnsi="Verdana" w:cs="Arial"/>
        </w:rPr>
        <w:t xml:space="preserve">• </w:t>
      </w:r>
      <w:r w:rsidRPr="00427F6C">
        <w:rPr>
          <w:rFonts w:ascii="Verdana" w:hAnsi="Verdana" w:cs="Arial"/>
          <w:b/>
          <w:bCs/>
        </w:rPr>
        <w:t>Componente 1. Gestión del riesgo:</w:t>
      </w:r>
      <w:r w:rsidRPr="003D7BB6">
        <w:rPr>
          <w:rFonts w:ascii="Verdana" w:hAnsi="Verdana" w:cs="Arial"/>
        </w:rPr>
        <w:t xml:space="preserve"> </w:t>
      </w:r>
      <w:r w:rsidRPr="00427F6C">
        <w:rPr>
          <w:rFonts w:ascii="Verdana" w:hAnsi="Verdana" w:cs="Arial"/>
        </w:rPr>
        <w:t>Orienta acciones para identificar, evaluar y mitigar los riesgos que puedan afectar la transparencia, la integridad y el uso adecuado de los recursos públicos. Este componente se enfoca en la consolidación de mapas de riesgo, implementación de controles efectivos y fortalecimiento de capacidades institucionales para el análisis y seguimiento de riesgos asociados a la corrupción.</w:t>
      </w:r>
    </w:p>
    <w:p w14:paraId="264ADD89" w14:textId="74DBF218" w:rsidR="00427F6C" w:rsidRPr="00427F6C" w:rsidRDefault="00427F6C" w:rsidP="00427F6C">
      <w:pPr>
        <w:jc w:val="both"/>
        <w:rPr>
          <w:rFonts w:ascii="Verdana" w:hAnsi="Verdana" w:cs="Arial"/>
        </w:rPr>
      </w:pPr>
      <w:r w:rsidRPr="00427F6C">
        <w:rPr>
          <w:rFonts w:ascii="Verdana" w:hAnsi="Verdana" w:cs="Arial"/>
        </w:rPr>
        <w:t xml:space="preserve">• </w:t>
      </w:r>
      <w:r w:rsidRPr="00427F6C">
        <w:rPr>
          <w:rFonts w:ascii="Verdana" w:hAnsi="Verdana" w:cs="Arial"/>
          <w:b/>
          <w:bCs/>
        </w:rPr>
        <w:t>Componente 2. Redes y articulación:</w:t>
      </w:r>
      <w:r w:rsidRPr="003D7BB6">
        <w:rPr>
          <w:rFonts w:ascii="Verdana" w:hAnsi="Verdana" w:cs="Arial"/>
        </w:rPr>
        <w:t xml:space="preserve"> </w:t>
      </w:r>
      <w:r w:rsidRPr="00427F6C">
        <w:rPr>
          <w:rFonts w:ascii="Verdana" w:hAnsi="Verdana" w:cs="Arial"/>
        </w:rPr>
        <w:t>Promueve mecanismos de coordinación interinstitucional, así como alianzas con actores del sector público, privado, académico y de la sociedad civil, con el fin de generar sinergias, compartir buenas prácticas y desarrollar iniciativas colaborativas orientadas a la promoción de la transparencia, la ética pública y el gobierno abierto.</w:t>
      </w:r>
    </w:p>
    <w:p w14:paraId="2121860C" w14:textId="15A6FA8E" w:rsidR="00427F6C" w:rsidRPr="00427F6C" w:rsidRDefault="00427F6C" w:rsidP="00427F6C">
      <w:pPr>
        <w:jc w:val="both"/>
        <w:rPr>
          <w:rFonts w:ascii="Verdana" w:hAnsi="Verdana" w:cs="Arial"/>
        </w:rPr>
      </w:pPr>
      <w:r w:rsidRPr="00427F6C">
        <w:rPr>
          <w:rFonts w:ascii="Verdana" w:hAnsi="Verdana" w:cs="Arial"/>
        </w:rPr>
        <w:t xml:space="preserve">• </w:t>
      </w:r>
      <w:r w:rsidRPr="00427F6C">
        <w:rPr>
          <w:rFonts w:ascii="Verdana" w:hAnsi="Verdana" w:cs="Arial"/>
          <w:b/>
          <w:bCs/>
        </w:rPr>
        <w:t>Componente 3. Cultura de la legalidad y estado abierto:</w:t>
      </w:r>
      <w:r w:rsidRPr="003D7BB6">
        <w:rPr>
          <w:rFonts w:ascii="Verdana" w:hAnsi="Verdana" w:cs="Arial"/>
        </w:rPr>
        <w:t xml:space="preserve"> </w:t>
      </w:r>
      <w:r w:rsidRPr="00427F6C">
        <w:rPr>
          <w:rFonts w:ascii="Verdana" w:hAnsi="Verdana" w:cs="Arial"/>
        </w:rPr>
        <w:t xml:space="preserve">Busca fortalecer los principios de integridad, responsabilidad y legalidad en el ejercicio de la función pública, a través de estrategias de formación, sensibilización y apropiación institucional. Este componente incluye acciones de divulgación de </w:t>
      </w:r>
      <w:r w:rsidRPr="00427F6C">
        <w:rPr>
          <w:rFonts w:ascii="Verdana" w:hAnsi="Verdana" w:cs="Arial"/>
        </w:rPr>
        <w:lastRenderedPageBreak/>
        <w:t>información, educación ética y promoción de los valores del servicio público, así como el fortalecimiento de los canales de participación ciudadana.</w:t>
      </w:r>
    </w:p>
    <w:p w14:paraId="3575E104" w14:textId="250F019B" w:rsidR="00277127" w:rsidRPr="003D7BB6" w:rsidRDefault="00427F6C" w:rsidP="00740182">
      <w:pPr>
        <w:jc w:val="both"/>
        <w:rPr>
          <w:rFonts w:ascii="Verdana" w:hAnsi="Verdana" w:cs="Arial"/>
        </w:rPr>
      </w:pPr>
      <w:r w:rsidRPr="00427F6C">
        <w:rPr>
          <w:rFonts w:ascii="Verdana" w:hAnsi="Verdana" w:cs="Arial"/>
        </w:rPr>
        <w:t xml:space="preserve">• </w:t>
      </w:r>
      <w:r w:rsidRPr="00427F6C">
        <w:rPr>
          <w:rFonts w:ascii="Verdana" w:hAnsi="Verdana" w:cs="Arial"/>
          <w:b/>
          <w:bCs/>
        </w:rPr>
        <w:t>Componente 4. Iniciativas adicionales:</w:t>
      </w:r>
      <w:r w:rsidRPr="003D7BB6">
        <w:rPr>
          <w:rFonts w:ascii="Verdana" w:hAnsi="Verdana" w:cs="Arial"/>
        </w:rPr>
        <w:t xml:space="preserve"> </w:t>
      </w:r>
      <w:r w:rsidRPr="00427F6C">
        <w:rPr>
          <w:rFonts w:ascii="Verdana" w:hAnsi="Verdana" w:cs="Arial"/>
        </w:rPr>
        <w:t>Incluye proyectos, campañas, herramientas o acciones específicas que, sin estar directamente incorporadas en los tres componentes anteriores, aportan al cumplimiento de los objetivos del programa. Este componente permite adaptar el PTEP a contextos emergentes y necesidades particulares de la entidad, fomentando la innovación y la mejora continua en la gestión de la transparencia y la ética pública.</w:t>
      </w:r>
    </w:p>
    <w:p w14:paraId="6326F337" w14:textId="61EF657A" w:rsidR="00D12742" w:rsidRPr="003D7BB6" w:rsidRDefault="00292507" w:rsidP="00740182">
      <w:pPr>
        <w:jc w:val="both"/>
        <w:rPr>
          <w:rFonts w:ascii="Verdana" w:hAnsi="Verdana" w:cs="Arial"/>
        </w:rPr>
      </w:pPr>
      <w:r w:rsidRPr="003D7BB6">
        <w:rPr>
          <w:rFonts w:ascii="Verdana" w:hAnsi="Verdana" w:cs="Arial"/>
        </w:rPr>
        <w:t xml:space="preserve">A continuación, se presentan los componentes, subcomponentes y líneas de acción que estructuran el Programa de Transparencia y Ética Pública del Ministerio de Hacienda y Crédito Público para la vigencia 2025, conforme a lo establecido en </w:t>
      </w:r>
      <w:r w:rsidR="004D7B9A" w:rsidRPr="004D7B9A">
        <w:rPr>
          <w:rFonts w:ascii="Verdana" w:hAnsi="Verdana" w:cs="Arial"/>
        </w:rPr>
        <w:t>el Decreto 1122 del 30 de agosto de 2024, mediante el cual se reglamenta el artículo 73 de la Ley 1474 de 2011 (</w:t>
      </w:r>
      <w:r w:rsidR="0031707C">
        <w:rPr>
          <w:rFonts w:ascii="Verdana" w:hAnsi="Verdana" w:cs="Arial"/>
        </w:rPr>
        <w:t>M</w:t>
      </w:r>
      <w:r w:rsidR="004D7B9A" w:rsidRPr="004D7B9A">
        <w:rPr>
          <w:rFonts w:ascii="Verdana" w:hAnsi="Verdana" w:cs="Arial"/>
        </w:rPr>
        <w:t>odificado por el artículo 31 de la Ley 2195 de 2022), y se adopta la primera versión del anexo técnico del Programa de Transparencia y Ética Pública.”</w:t>
      </w:r>
    </w:p>
    <w:p w14:paraId="67A952AE" w14:textId="0A24734B" w:rsidR="00692E2C" w:rsidRPr="00A4251C" w:rsidRDefault="00C359D9" w:rsidP="00692E2C">
      <w:pPr>
        <w:pStyle w:val="Ttulo2"/>
        <w:numPr>
          <w:ilvl w:val="1"/>
          <w:numId w:val="13"/>
        </w:numPr>
        <w:tabs>
          <w:tab w:val="num" w:pos="360"/>
        </w:tabs>
        <w:ind w:left="0" w:firstLine="0"/>
        <w:rPr>
          <w:rFonts w:ascii="Verdana" w:hAnsi="Verdana"/>
          <w:b/>
          <w:bCs/>
          <w:color w:val="auto"/>
          <w:sz w:val="22"/>
          <w:szCs w:val="22"/>
        </w:rPr>
      </w:pPr>
      <w:bookmarkStart w:id="20" w:name="_Toc201308076"/>
      <w:r w:rsidRPr="00A4251C">
        <w:rPr>
          <w:rFonts w:ascii="Verdana" w:hAnsi="Verdana"/>
          <w:b/>
          <w:bCs/>
          <w:color w:val="auto"/>
          <w:sz w:val="22"/>
          <w:szCs w:val="22"/>
        </w:rPr>
        <w:t>Gestión del Riesgo</w:t>
      </w:r>
      <w:bookmarkEnd w:id="20"/>
    </w:p>
    <w:p w14:paraId="2F10EE16" w14:textId="77777777" w:rsidR="00692E2C" w:rsidRPr="003D7BB6" w:rsidRDefault="00692E2C" w:rsidP="00692E2C">
      <w:pPr>
        <w:spacing w:after="0" w:line="240" w:lineRule="auto"/>
      </w:pPr>
    </w:p>
    <w:p w14:paraId="2FD84B23" w14:textId="3C529DDA" w:rsidR="00292507" w:rsidRPr="003D7BB6" w:rsidRDefault="00C359D9" w:rsidP="00292507">
      <w:pPr>
        <w:pStyle w:val="Ttulo3"/>
        <w:numPr>
          <w:ilvl w:val="2"/>
          <w:numId w:val="13"/>
        </w:numPr>
        <w:tabs>
          <w:tab w:val="num" w:pos="360"/>
        </w:tabs>
        <w:ind w:left="0" w:firstLine="0"/>
        <w:jc w:val="both"/>
        <w:rPr>
          <w:rFonts w:ascii="Verdana" w:hAnsi="Verdana"/>
          <w:color w:val="auto"/>
          <w:sz w:val="22"/>
          <w:szCs w:val="22"/>
        </w:rPr>
      </w:pPr>
      <w:bookmarkStart w:id="21" w:name="_Toc201308077"/>
      <w:r w:rsidRPr="00A4251C">
        <w:rPr>
          <w:rFonts w:ascii="Verdana" w:hAnsi="Verdana"/>
          <w:b/>
          <w:bCs/>
          <w:color w:val="auto"/>
          <w:sz w:val="22"/>
          <w:szCs w:val="22"/>
        </w:rPr>
        <w:t>Riesgo para la integridad pública</w:t>
      </w:r>
      <w:bookmarkEnd w:id="21"/>
      <w:r w:rsidR="00292507" w:rsidRPr="00A4251C">
        <w:rPr>
          <w:rFonts w:ascii="Verdana" w:hAnsi="Verdana"/>
          <w:b/>
          <w:bCs/>
          <w:color w:val="auto"/>
          <w:sz w:val="22"/>
          <w:szCs w:val="22"/>
        </w:rPr>
        <w:t>:</w:t>
      </w:r>
      <w:r w:rsidR="00292507" w:rsidRPr="003D7BB6">
        <w:rPr>
          <w:rFonts w:ascii="Verdana" w:hAnsi="Verdana"/>
          <w:color w:val="auto"/>
          <w:sz w:val="22"/>
          <w:szCs w:val="22"/>
        </w:rPr>
        <w:t xml:space="preserve"> Contempla las acciones orientadas a identificar, evaluar, mitigar y hacer seguimiento a los riesgos que comprometen la integridad pública. Incluye la actualización y publicación periódica del Mapa de Riesgos Institucional de corrupción, fraude, soborno y conflicto de intereses, así como la gestión del contexto estratégico para fortalecer la planeación institucional y sectorial.</w:t>
      </w:r>
    </w:p>
    <w:p w14:paraId="3A833C49" w14:textId="77777777" w:rsidR="00292507" w:rsidRPr="003D7BB6" w:rsidRDefault="00292507" w:rsidP="00692E2C">
      <w:pPr>
        <w:spacing w:after="0"/>
      </w:pPr>
    </w:p>
    <w:p w14:paraId="0DC96703" w14:textId="3C4C8507" w:rsidR="00740182" w:rsidRPr="003D7BB6" w:rsidRDefault="009B5BDF" w:rsidP="00292507">
      <w:pPr>
        <w:pStyle w:val="Ttulo3"/>
        <w:numPr>
          <w:ilvl w:val="2"/>
          <w:numId w:val="13"/>
        </w:numPr>
        <w:tabs>
          <w:tab w:val="num" w:pos="360"/>
        </w:tabs>
        <w:ind w:left="0" w:firstLine="0"/>
        <w:jc w:val="both"/>
        <w:rPr>
          <w:rFonts w:ascii="Verdana" w:hAnsi="Verdana"/>
          <w:color w:val="auto"/>
          <w:sz w:val="22"/>
          <w:szCs w:val="22"/>
        </w:rPr>
      </w:pPr>
      <w:bookmarkStart w:id="22" w:name="_Toc201308078"/>
      <w:r>
        <w:rPr>
          <w:rFonts w:ascii="Verdana" w:hAnsi="Verdana"/>
          <w:b/>
          <w:bCs/>
          <w:color w:val="auto"/>
          <w:sz w:val="22"/>
          <w:szCs w:val="22"/>
        </w:rPr>
        <w:t xml:space="preserve"> </w:t>
      </w:r>
      <w:r w:rsidR="00C359D9" w:rsidRPr="00A4251C">
        <w:rPr>
          <w:rFonts w:ascii="Verdana" w:hAnsi="Verdana"/>
          <w:b/>
          <w:bCs/>
          <w:color w:val="auto"/>
          <w:sz w:val="22"/>
          <w:szCs w:val="22"/>
        </w:rPr>
        <w:t>Canales de denuncia</w:t>
      </w:r>
      <w:bookmarkEnd w:id="22"/>
      <w:r w:rsidR="00292507" w:rsidRPr="00A4251C">
        <w:rPr>
          <w:rFonts w:ascii="Verdana" w:hAnsi="Verdana"/>
          <w:b/>
          <w:bCs/>
          <w:color w:val="auto"/>
          <w:sz w:val="22"/>
          <w:szCs w:val="22"/>
        </w:rPr>
        <w:t>:</w:t>
      </w:r>
      <w:r w:rsidR="00292507" w:rsidRPr="003D7BB6">
        <w:rPr>
          <w:rFonts w:ascii="Verdana" w:hAnsi="Verdana"/>
          <w:color w:val="auto"/>
          <w:sz w:val="22"/>
          <w:szCs w:val="22"/>
        </w:rPr>
        <w:t xml:space="preserve"> Incluye la operación y fortalecimiento de los canales institucionales dispuestos para la recepción de denuncias por hechos de corrupción u otras faltas disciplinarias, asegurando su gestión adecuada, confidencial y oportuna.</w:t>
      </w:r>
    </w:p>
    <w:p w14:paraId="752B274F" w14:textId="77777777" w:rsidR="00292507" w:rsidRPr="003D7BB6" w:rsidRDefault="00292507" w:rsidP="009B5BDF">
      <w:pPr>
        <w:spacing w:after="0" w:line="240" w:lineRule="auto"/>
      </w:pPr>
    </w:p>
    <w:p w14:paraId="0281A700" w14:textId="12F78240" w:rsidR="00740182" w:rsidRDefault="009B5BDF" w:rsidP="00292507">
      <w:pPr>
        <w:pStyle w:val="Ttulo3"/>
        <w:numPr>
          <w:ilvl w:val="2"/>
          <w:numId w:val="13"/>
        </w:numPr>
        <w:tabs>
          <w:tab w:val="num" w:pos="360"/>
        </w:tabs>
        <w:ind w:left="0" w:firstLine="0"/>
        <w:jc w:val="both"/>
        <w:rPr>
          <w:rFonts w:ascii="Verdana" w:hAnsi="Verdana"/>
          <w:color w:val="auto"/>
          <w:sz w:val="22"/>
          <w:szCs w:val="22"/>
        </w:rPr>
      </w:pPr>
      <w:bookmarkStart w:id="23" w:name="_Toc201308079"/>
      <w:r>
        <w:rPr>
          <w:rFonts w:ascii="Verdana" w:hAnsi="Verdana"/>
          <w:b/>
          <w:bCs/>
          <w:color w:val="auto"/>
          <w:sz w:val="22"/>
          <w:szCs w:val="22"/>
        </w:rPr>
        <w:t xml:space="preserve"> </w:t>
      </w:r>
      <w:r w:rsidR="00C359D9" w:rsidRPr="00A4251C">
        <w:rPr>
          <w:rFonts w:ascii="Verdana" w:hAnsi="Verdana"/>
          <w:b/>
          <w:bCs/>
          <w:color w:val="auto"/>
          <w:sz w:val="22"/>
          <w:szCs w:val="22"/>
        </w:rPr>
        <w:t>Debida diligencia</w:t>
      </w:r>
      <w:bookmarkEnd w:id="23"/>
      <w:r w:rsidR="00292507" w:rsidRPr="00A4251C">
        <w:rPr>
          <w:rFonts w:ascii="Verdana" w:hAnsi="Verdana"/>
          <w:b/>
          <w:bCs/>
          <w:color w:val="auto"/>
          <w:sz w:val="22"/>
          <w:szCs w:val="22"/>
        </w:rPr>
        <w:t>:</w:t>
      </w:r>
      <w:r w:rsidR="00292507" w:rsidRPr="003D7BB6">
        <w:rPr>
          <w:rFonts w:ascii="Verdana" w:hAnsi="Verdana"/>
          <w:color w:val="auto"/>
          <w:sz w:val="22"/>
          <w:szCs w:val="22"/>
        </w:rPr>
        <w:t xml:space="preserve"> Integra acciones relacionadas con el conocimiento de las contrapartes, contratistas y otros actores, mediante mecanismos que permitan identificar señales de alerta, gestionar operaciones inusuales y garantizar la transparencia en los procesos de contratación, vinculación y operación institucional.</w:t>
      </w:r>
    </w:p>
    <w:p w14:paraId="51A34A6E" w14:textId="77777777" w:rsidR="00474C7F" w:rsidRDefault="00474C7F" w:rsidP="00474C7F"/>
    <w:p w14:paraId="30113990" w14:textId="77777777" w:rsidR="00474C7F" w:rsidRPr="00474C7F" w:rsidRDefault="00474C7F" w:rsidP="00474C7F"/>
    <w:p w14:paraId="18E13175" w14:textId="77777777" w:rsidR="00740182" w:rsidRPr="003D7BB6" w:rsidRDefault="00740182" w:rsidP="00692E2C">
      <w:pPr>
        <w:spacing w:after="0" w:line="240" w:lineRule="auto"/>
        <w:rPr>
          <w:rFonts w:ascii="Verdana" w:hAnsi="Verdana"/>
        </w:rPr>
      </w:pPr>
    </w:p>
    <w:p w14:paraId="4B7090E8" w14:textId="470E9076" w:rsidR="00740182" w:rsidRPr="00A4251C" w:rsidRDefault="00C359D9" w:rsidP="00130441">
      <w:pPr>
        <w:pStyle w:val="Ttulo2"/>
        <w:numPr>
          <w:ilvl w:val="1"/>
          <w:numId w:val="13"/>
        </w:numPr>
        <w:tabs>
          <w:tab w:val="num" w:pos="360"/>
        </w:tabs>
        <w:ind w:left="0" w:firstLine="0"/>
        <w:rPr>
          <w:rFonts w:ascii="Verdana" w:hAnsi="Verdana"/>
          <w:b/>
          <w:bCs/>
          <w:color w:val="auto"/>
          <w:sz w:val="22"/>
          <w:szCs w:val="22"/>
        </w:rPr>
      </w:pPr>
      <w:bookmarkStart w:id="24" w:name="_Toc201308080"/>
      <w:r w:rsidRPr="00A4251C">
        <w:rPr>
          <w:rFonts w:ascii="Verdana" w:hAnsi="Verdana"/>
          <w:b/>
          <w:bCs/>
          <w:color w:val="auto"/>
          <w:sz w:val="22"/>
          <w:szCs w:val="22"/>
        </w:rPr>
        <w:t>Redes y Articulación</w:t>
      </w:r>
      <w:bookmarkEnd w:id="24"/>
    </w:p>
    <w:p w14:paraId="62C32837" w14:textId="77777777" w:rsidR="00692E2C" w:rsidRPr="003D7BB6" w:rsidRDefault="00692E2C" w:rsidP="00692E2C">
      <w:pPr>
        <w:spacing w:after="0" w:line="240" w:lineRule="auto"/>
      </w:pPr>
    </w:p>
    <w:p w14:paraId="3873EFEB" w14:textId="17E04D05" w:rsidR="00740182" w:rsidRPr="003D7BB6" w:rsidRDefault="009B5BDF" w:rsidP="00292507">
      <w:pPr>
        <w:pStyle w:val="Ttulo3"/>
        <w:numPr>
          <w:ilvl w:val="2"/>
          <w:numId w:val="13"/>
        </w:numPr>
        <w:tabs>
          <w:tab w:val="num" w:pos="360"/>
        </w:tabs>
        <w:ind w:left="0" w:firstLine="0"/>
        <w:jc w:val="both"/>
        <w:rPr>
          <w:rFonts w:ascii="Verdana" w:hAnsi="Verdana"/>
          <w:color w:val="auto"/>
          <w:sz w:val="22"/>
          <w:szCs w:val="22"/>
        </w:rPr>
      </w:pPr>
      <w:bookmarkStart w:id="25" w:name="_Toc201308081"/>
      <w:r>
        <w:rPr>
          <w:rFonts w:ascii="Verdana" w:hAnsi="Verdana"/>
          <w:b/>
          <w:bCs/>
          <w:color w:val="auto"/>
          <w:sz w:val="22"/>
          <w:szCs w:val="22"/>
        </w:rPr>
        <w:t xml:space="preserve"> </w:t>
      </w:r>
      <w:r w:rsidR="00C359D9" w:rsidRPr="00A4251C">
        <w:rPr>
          <w:rFonts w:ascii="Verdana" w:hAnsi="Verdana"/>
          <w:b/>
          <w:bCs/>
          <w:color w:val="auto"/>
          <w:sz w:val="22"/>
          <w:szCs w:val="22"/>
        </w:rPr>
        <w:t>Redes Internas</w:t>
      </w:r>
      <w:bookmarkEnd w:id="25"/>
      <w:r w:rsidR="00292507" w:rsidRPr="00A4251C">
        <w:rPr>
          <w:rFonts w:ascii="Verdana" w:hAnsi="Verdana"/>
          <w:b/>
          <w:bCs/>
          <w:color w:val="auto"/>
          <w:sz w:val="22"/>
          <w:szCs w:val="22"/>
        </w:rPr>
        <w:t>:</w:t>
      </w:r>
      <w:r w:rsidR="00292507" w:rsidRPr="003D7BB6">
        <w:rPr>
          <w:rFonts w:ascii="Verdana" w:hAnsi="Verdana"/>
          <w:color w:val="auto"/>
          <w:sz w:val="22"/>
          <w:szCs w:val="22"/>
        </w:rPr>
        <w:t xml:space="preserve"> Comprende la consolidación de espacios de comunicación interna y comunidades de práctica que promuevan la articulación entre las dependencias, el intercambio de información, el seguimiento a las acciones del Programa y la generación de conocimiento colaborativo.</w:t>
      </w:r>
    </w:p>
    <w:p w14:paraId="12DFF9E5" w14:textId="77777777" w:rsidR="00692E2C" w:rsidRPr="003D7BB6" w:rsidRDefault="00692E2C" w:rsidP="009B5BDF">
      <w:pPr>
        <w:spacing w:after="0" w:line="240" w:lineRule="auto"/>
      </w:pPr>
    </w:p>
    <w:p w14:paraId="67D141A0" w14:textId="69025740" w:rsidR="00692E2C" w:rsidRDefault="009B5BDF" w:rsidP="00692E2C">
      <w:pPr>
        <w:pStyle w:val="Ttulo3"/>
        <w:numPr>
          <w:ilvl w:val="2"/>
          <w:numId w:val="13"/>
        </w:numPr>
        <w:tabs>
          <w:tab w:val="num" w:pos="360"/>
        </w:tabs>
        <w:ind w:left="0" w:firstLine="0"/>
        <w:jc w:val="both"/>
        <w:rPr>
          <w:rFonts w:ascii="Verdana" w:hAnsi="Verdana"/>
          <w:color w:val="auto"/>
          <w:sz w:val="22"/>
          <w:szCs w:val="22"/>
        </w:rPr>
      </w:pPr>
      <w:bookmarkStart w:id="26" w:name="_Toc201308082"/>
      <w:r>
        <w:rPr>
          <w:rFonts w:ascii="Verdana" w:hAnsi="Verdana"/>
          <w:b/>
          <w:bCs/>
          <w:color w:val="auto"/>
          <w:sz w:val="22"/>
          <w:szCs w:val="22"/>
        </w:rPr>
        <w:t xml:space="preserve"> </w:t>
      </w:r>
      <w:r w:rsidR="00692E2C" w:rsidRPr="00A4251C">
        <w:rPr>
          <w:rFonts w:ascii="Verdana" w:hAnsi="Verdana"/>
          <w:b/>
          <w:bCs/>
          <w:color w:val="auto"/>
          <w:sz w:val="22"/>
          <w:szCs w:val="22"/>
        </w:rPr>
        <w:t>Redes Externas</w:t>
      </w:r>
      <w:bookmarkEnd w:id="26"/>
      <w:r w:rsidR="00692E2C" w:rsidRPr="00A4251C">
        <w:rPr>
          <w:rFonts w:ascii="Verdana" w:hAnsi="Verdana"/>
          <w:b/>
          <w:bCs/>
          <w:color w:val="auto"/>
          <w:sz w:val="22"/>
          <w:szCs w:val="22"/>
        </w:rPr>
        <w:t>:</w:t>
      </w:r>
      <w:r w:rsidR="00692E2C" w:rsidRPr="003D7BB6">
        <w:rPr>
          <w:rFonts w:ascii="Verdana" w:hAnsi="Verdana"/>
          <w:color w:val="auto"/>
          <w:sz w:val="22"/>
          <w:szCs w:val="22"/>
        </w:rPr>
        <w:t xml:space="preserve"> Fomenta la vinculación con entidades del sector público, académico y social para desarrollar iniciativas de transparencia, integridad y participación ciudadana. Incluye la promoción de rutas académicas, el fortalecimiento de la comunidad de práctica del </w:t>
      </w:r>
      <w:r w:rsidR="0031707C">
        <w:rPr>
          <w:rFonts w:ascii="Verdana" w:hAnsi="Verdana"/>
          <w:color w:val="auto"/>
          <w:sz w:val="22"/>
          <w:szCs w:val="22"/>
        </w:rPr>
        <w:t>S</w:t>
      </w:r>
      <w:r w:rsidR="00692E2C" w:rsidRPr="003D7BB6">
        <w:rPr>
          <w:rFonts w:ascii="Verdana" w:hAnsi="Verdana"/>
          <w:color w:val="auto"/>
          <w:sz w:val="22"/>
          <w:szCs w:val="22"/>
        </w:rPr>
        <w:t>ector Hacienda y la implementación de estrategias de comunicación externa.</w:t>
      </w:r>
    </w:p>
    <w:p w14:paraId="122C3B1D" w14:textId="77777777" w:rsidR="0031707C" w:rsidRPr="0031707C" w:rsidRDefault="0031707C" w:rsidP="004F7DEE">
      <w:pPr>
        <w:spacing w:after="0" w:line="240" w:lineRule="auto"/>
      </w:pPr>
    </w:p>
    <w:p w14:paraId="758F4F96" w14:textId="77777777" w:rsidR="00692E2C" w:rsidRPr="00A4251C" w:rsidRDefault="00692E2C" w:rsidP="00692E2C">
      <w:pPr>
        <w:pStyle w:val="Ttulo2"/>
        <w:numPr>
          <w:ilvl w:val="1"/>
          <w:numId w:val="13"/>
        </w:numPr>
        <w:tabs>
          <w:tab w:val="num" w:pos="360"/>
        </w:tabs>
        <w:ind w:left="0" w:firstLine="0"/>
        <w:rPr>
          <w:rFonts w:ascii="Verdana" w:hAnsi="Verdana"/>
          <w:b/>
          <w:bCs/>
          <w:color w:val="auto"/>
          <w:sz w:val="22"/>
          <w:szCs w:val="22"/>
        </w:rPr>
      </w:pPr>
      <w:bookmarkStart w:id="27" w:name="_Toc201308083"/>
      <w:r w:rsidRPr="00A4251C">
        <w:rPr>
          <w:rFonts w:ascii="Verdana" w:hAnsi="Verdana"/>
          <w:b/>
          <w:bCs/>
          <w:color w:val="auto"/>
          <w:sz w:val="22"/>
          <w:szCs w:val="22"/>
        </w:rPr>
        <w:t>Cultura de la legalidad y el estado abierto</w:t>
      </w:r>
      <w:bookmarkEnd w:id="27"/>
    </w:p>
    <w:p w14:paraId="4FBDA746" w14:textId="77777777" w:rsidR="00692E2C" w:rsidRPr="003D7BB6" w:rsidRDefault="00692E2C" w:rsidP="00692E2C">
      <w:pPr>
        <w:spacing w:after="0" w:line="240" w:lineRule="auto"/>
      </w:pPr>
    </w:p>
    <w:p w14:paraId="3B3EAB61" w14:textId="560FE344" w:rsidR="00A4251C" w:rsidRDefault="009B5BDF" w:rsidP="00A4251C">
      <w:pPr>
        <w:pStyle w:val="Ttulo3"/>
        <w:numPr>
          <w:ilvl w:val="2"/>
          <w:numId w:val="13"/>
        </w:numPr>
        <w:tabs>
          <w:tab w:val="num" w:pos="360"/>
        </w:tabs>
        <w:ind w:left="0" w:firstLine="0"/>
        <w:jc w:val="both"/>
        <w:rPr>
          <w:rFonts w:ascii="Verdana" w:hAnsi="Verdana"/>
          <w:color w:val="auto"/>
          <w:sz w:val="22"/>
          <w:szCs w:val="22"/>
        </w:rPr>
      </w:pPr>
      <w:bookmarkStart w:id="28" w:name="_Toc201308084"/>
      <w:r>
        <w:rPr>
          <w:rFonts w:ascii="Verdana" w:hAnsi="Verdana"/>
          <w:b/>
          <w:bCs/>
          <w:color w:val="auto"/>
          <w:sz w:val="22"/>
          <w:szCs w:val="22"/>
        </w:rPr>
        <w:t xml:space="preserve"> </w:t>
      </w:r>
      <w:r w:rsidR="00692E2C" w:rsidRPr="00A4251C">
        <w:rPr>
          <w:rFonts w:ascii="Verdana" w:hAnsi="Verdana"/>
          <w:b/>
          <w:bCs/>
          <w:color w:val="auto"/>
          <w:sz w:val="22"/>
          <w:szCs w:val="22"/>
        </w:rPr>
        <w:t>Acceso a la información pública y transparencia</w:t>
      </w:r>
      <w:bookmarkEnd w:id="28"/>
      <w:r w:rsidR="00692E2C" w:rsidRPr="00A4251C">
        <w:rPr>
          <w:rFonts w:ascii="Verdana" w:hAnsi="Verdana"/>
          <w:b/>
          <w:bCs/>
          <w:color w:val="auto"/>
          <w:sz w:val="22"/>
          <w:szCs w:val="22"/>
        </w:rPr>
        <w:t>:</w:t>
      </w:r>
      <w:r w:rsidR="00692E2C" w:rsidRPr="003D7BB6">
        <w:rPr>
          <w:rFonts w:ascii="Verdana" w:hAnsi="Verdana"/>
          <w:color w:val="auto"/>
          <w:sz w:val="22"/>
          <w:szCs w:val="22"/>
        </w:rPr>
        <w:t xml:space="preserve"> Impulsa el cumplimiento de los principios de transparencia activa y pasiva, mediante la implementación de instrumentos de gestión de información, el fortalecimiento del modelo de gobierno de datos, la socialización de políticas de seguridad de la información y el seguimiento normativo a los requisitos establecidos por la Ley de Transparencia y la Resolución 1519 de 2020.</w:t>
      </w:r>
    </w:p>
    <w:p w14:paraId="60E66D7E" w14:textId="77777777" w:rsidR="00A4251C" w:rsidRPr="00A4251C" w:rsidRDefault="00A4251C" w:rsidP="00A4251C">
      <w:pPr>
        <w:spacing w:after="0" w:line="240" w:lineRule="auto"/>
      </w:pPr>
    </w:p>
    <w:p w14:paraId="1E42B4B2" w14:textId="3A8E8FEE" w:rsidR="00A4251C" w:rsidRDefault="009B5BDF" w:rsidP="00A4251C">
      <w:pPr>
        <w:pStyle w:val="Ttulo3"/>
        <w:numPr>
          <w:ilvl w:val="2"/>
          <w:numId w:val="13"/>
        </w:numPr>
        <w:tabs>
          <w:tab w:val="num" w:pos="360"/>
        </w:tabs>
        <w:ind w:left="0" w:firstLine="0"/>
        <w:jc w:val="both"/>
        <w:rPr>
          <w:rFonts w:ascii="Verdana" w:hAnsi="Verdana"/>
          <w:color w:val="auto"/>
          <w:sz w:val="22"/>
          <w:szCs w:val="22"/>
        </w:rPr>
      </w:pPr>
      <w:bookmarkStart w:id="29" w:name="_Toc201308085"/>
      <w:r>
        <w:rPr>
          <w:rFonts w:ascii="Verdana" w:hAnsi="Verdana"/>
          <w:b/>
          <w:bCs/>
          <w:color w:val="auto"/>
          <w:sz w:val="22"/>
          <w:szCs w:val="22"/>
        </w:rPr>
        <w:t xml:space="preserve"> </w:t>
      </w:r>
      <w:r w:rsidR="00C359D9" w:rsidRPr="00A4251C">
        <w:rPr>
          <w:rFonts w:ascii="Verdana" w:hAnsi="Verdana"/>
          <w:b/>
          <w:bCs/>
          <w:color w:val="auto"/>
          <w:sz w:val="22"/>
          <w:szCs w:val="22"/>
        </w:rPr>
        <w:t>Participación ciudadana y rendición de cuentas</w:t>
      </w:r>
      <w:bookmarkEnd w:id="29"/>
      <w:r w:rsidR="00292507" w:rsidRPr="00A4251C">
        <w:rPr>
          <w:rFonts w:ascii="Verdana" w:hAnsi="Verdana"/>
          <w:b/>
          <w:bCs/>
          <w:color w:val="auto"/>
          <w:sz w:val="22"/>
          <w:szCs w:val="22"/>
        </w:rPr>
        <w:t>:</w:t>
      </w:r>
      <w:r w:rsidR="00292507" w:rsidRPr="003D7BB6">
        <w:rPr>
          <w:rFonts w:ascii="Verdana" w:hAnsi="Verdana"/>
          <w:color w:val="auto"/>
          <w:sz w:val="22"/>
          <w:szCs w:val="22"/>
        </w:rPr>
        <w:t xml:space="preserve"> Contempla el diseño y ejecución de estrategias que propicien la participación ciudadana en la gestión pública, la rendición de cuentas institucional y la implementación de campañas de sensibilización orientadas a fortalecer la relación Estado-ciudadano.</w:t>
      </w:r>
    </w:p>
    <w:p w14:paraId="6DA0FAC1" w14:textId="77777777" w:rsidR="00A4251C" w:rsidRPr="00A4251C" w:rsidRDefault="00A4251C" w:rsidP="00A4251C">
      <w:pPr>
        <w:spacing w:after="0" w:line="240" w:lineRule="auto"/>
      </w:pPr>
    </w:p>
    <w:p w14:paraId="125A3912" w14:textId="1D5DF863" w:rsidR="00740182" w:rsidRPr="003D7BB6" w:rsidRDefault="006D6B82" w:rsidP="00292507">
      <w:pPr>
        <w:pStyle w:val="Ttulo3"/>
        <w:numPr>
          <w:ilvl w:val="2"/>
          <w:numId w:val="13"/>
        </w:numPr>
        <w:tabs>
          <w:tab w:val="num" w:pos="360"/>
        </w:tabs>
        <w:ind w:left="0" w:firstLine="0"/>
        <w:jc w:val="both"/>
        <w:rPr>
          <w:rFonts w:ascii="Verdana" w:hAnsi="Verdana"/>
          <w:color w:val="auto"/>
          <w:sz w:val="22"/>
          <w:szCs w:val="22"/>
        </w:rPr>
      </w:pPr>
      <w:bookmarkStart w:id="30" w:name="_Toc201308086"/>
      <w:r>
        <w:rPr>
          <w:rFonts w:ascii="Verdana" w:hAnsi="Verdana"/>
          <w:b/>
          <w:bCs/>
          <w:color w:val="auto"/>
          <w:sz w:val="22"/>
          <w:szCs w:val="22"/>
        </w:rPr>
        <w:t xml:space="preserve"> </w:t>
      </w:r>
      <w:r w:rsidR="00C359D9" w:rsidRPr="00127B48">
        <w:rPr>
          <w:rFonts w:ascii="Verdana" w:hAnsi="Verdana"/>
          <w:b/>
          <w:bCs/>
          <w:color w:val="auto"/>
          <w:sz w:val="22"/>
          <w:szCs w:val="22"/>
        </w:rPr>
        <w:t>Integridad en el servicio público</w:t>
      </w:r>
      <w:bookmarkEnd w:id="30"/>
      <w:r w:rsidR="00292507" w:rsidRPr="00127B48">
        <w:rPr>
          <w:rFonts w:ascii="Verdana" w:hAnsi="Verdana"/>
          <w:b/>
          <w:bCs/>
          <w:color w:val="auto"/>
          <w:sz w:val="22"/>
          <w:szCs w:val="22"/>
        </w:rPr>
        <w:t>:</w:t>
      </w:r>
      <w:r w:rsidR="00292507" w:rsidRPr="003D7BB6">
        <w:rPr>
          <w:rFonts w:ascii="Verdana" w:hAnsi="Verdana"/>
          <w:color w:val="auto"/>
          <w:sz w:val="22"/>
          <w:szCs w:val="22"/>
        </w:rPr>
        <w:t xml:space="preserve"> Incluye la ejecución de actividades que promuevan los principios del Código de Integridad, la cultura ética y la prevención de conflictos de interés entre los servidores públicos, en el marco del Plan Estratégico de Talento Humano.</w:t>
      </w:r>
    </w:p>
    <w:p w14:paraId="2A4C2D39" w14:textId="77777777" w:rsidR="00740182" w:rsidRPr="003D7BB6" w:rsidRDefault="00740182" w:rsidP="00692E2C">
      <w:pPr>
        <w:spacing w:after="0" w:line="240" w:lineRule="auto"/>
        <w:rPr>
          <w:rFonts w:ascii="Verdana" w:hAnsi="Verdana"/>
        </w:rPr>
      </w:pPr>
    </w:p>
    <w:p w14:paraId="30FB512C" w14:textId="15E4B402" w:rsidR="00740182" w:rsidRPr="006D6B82" w:rsidRDefault="00987A77" w:rsidP="00740182">
      <w:pPr>
        <w:pStyle w:val="Ttulo2"/>
        <w:numPr>
          <w:ilvl w:val="1"/>
          <w:numId w:val="13"/>
        </w:numPr>
        <w:tabs>
          <w:tab w:val="num" w:pos="360"/>
        </w:tabs>
        <w:ind w:left="0" w:firstLine="0"/>
        <w:jc w:val="both"/>
        <w:rPr>
          <w:rFonts w:ascii="Verdana" w:hAnsi="Verdana"/>
          <w:color w:val="auto"/>
          <w:sz w:val="22"/>
          <w:szCs w:val="22"/>
        </w:rPr>
      </w:pPr>
      <w:bookmarkStart w:id="31" w:name="_Toc201308087"/>
      <w:r w:rsidRPr="00127B48">
        <w:rPr>
          <w:rFonts w:ascii="Verdana" w:hAnsi="Verdana"/>
          <w:b/>
          <w:bCs/>
          <w:color w:val="auto"/>
          <w:sz w:val="22"/>
          <w:szCs w:val="22"/>
        </w:rPr>
        <w:lastRenderedPageBreak/>
        <w:t>Iniciativas adicionales</w:t>
      </w:r>
      <w:bookmarkEnd w:id="31"/>
      <w:r w:rsidR="00292507" w:rsidRPr="00127B48">
        <w:rPr>
          <w:rFonts w:ascii="Verdana" w:hAnsi="Verdana"/>
          <w:b/>
          <w:bCs/>
          <w:color w:val="auto"/>
          <w:sz w:val="22"/>
          <w:szCs w:val="22"/>
        </w:rPr>
        <w:t xml:space="preserve">: </w:t>
      </w:r>
      <w:r w:rsidR="00292507" w:rsidRPr="003D7BB6">
        <w:rPr>
          <w:rFonts w:ascii="Verdana" w:hAnsi="Verdana"/>
          <w:color w:val="auto"/>
          <w:sz w:val="22"/>
          <w:szCs w:val="22"/>
        </w:rPr>
        <w:t>Incorpora acciones complementarias a los componentes del PTEP que responden a las particularidades institucionales del Ministerio de Hacienda y Crédito Público, como la implementación de la estrategia ESTUDIA, la evaluación de la satisfacción de usuarios de trámites y la formulación y seguimiento de estrategias de racionalización de trámites y servicios a la ciudadanía.</w:t>
      </w:r>
    </w:p>
    <w:p w14:paraId="65C1D244" w14:textId="66CC8804" w:rsidR="00987A77" w:rsidRPr="003D7BB6" w:rsidRDefault="00987A77" w:rsidP="00987A77">
      <w:pPr>
        <w:pStyle w:val="Ttulo1"/>
        <w:numPr>
          <w:ilvl w:val="0"/>
          <w:numId w:val="13"/>
        </w:numPr>
        <w:tabs>
          <w:tab w:val="num" w:pos="360"/>
        </w:tabs>
        <w:ind w:left="0" w:firstLine="0"/>
        <w:rPr>
          <w:rFonts w:ascii="Verdana" w:hAnsi="Verdana"/>
          <w:sz w:val="22"/>
          <w:szCs w:val="22"/>
        </w:rPr>
      </w:pPr>
      <w:bookmarkStart w:id="32" w:name="_Toc201308088"/>
      <w:bookmarkEnd w:id="14"/>
      <w:bookmarkEnd w:id="15"/>
      <w:bookmarkEnd w:id="16"/>
      <w:bookmarkEnd w:id="17"/>
      <w:bookmarkEnd w:id="18"/>
      <w:bookmarkEnd w:id="19"/>
      <w:r w:rsidRPr="003D7BB6">
        <w:rPr>
          <w:rFonts w:ascii="Verdana" w:hAnsi="Verdana"/>
          <w:sz w:val="22"/>
          <w:szCs w:val="22"/>
        </w:rPr>
        <w:t>MATRIZ OPERATIVA</w:t>
      </w:r>
      <w:bookmarkEnd w:id="32"/>
    </w:p>
    <w:p w14:paraId="1170FC04" w14:textId="77777777" w:rsidR="007968FF" w:rsidRPr="003D7BB6" w:rsidRDefault="007968FF" w:rsidP="00692E2C">
      <w:pPr>
        <w:spacing w:after="0" w:line="240" w:lineRule="auto"/>
        <w:rPr>
          <w:lang w:val="es-ES" w:eastAsia="es-ES"/>
        </w:rPr>
      </w:pPr>
    </w:p>
    <w:p w14:paraId="6AE4AD9B" w14:textId="77777777" w:rsidR="00220040" w:rsidRPr="00220040" w:rsidRDefault="00220040" w:rsidP="00220040">
      <w:pPr>
        <w:jc w:val="both"/>
        <w:rPr>
          <w:rFonts w:ascii="Verdana" w:hAnsi="Verdana"/>
          <w:lang w:eastAsia="es-ES"/>
        </w:rPr>
      </w:pPr>
      <w:r w:rsidRPr="00220040">
        <w:rPr>
          <w:rFonts w:ascii="Verdana" w:hAnsi="Verdana"/>
          <w:lang w:eastAsia="es-ES"/>
        </w:rPr>
        <w:t>El Ministerio de Hacienda y Crédito Público formuló y aprobó su Programa de Transparencia y Ética Pública – PTEP el pasado 31 de enero de 2025, durante sesión del Comité Institucional de Gestión y Desempeño, en cumplimiento de lo establecido en el Decreto 1122 de 2024, reglamentario del artículo 73 de la Ley 1474 de 2011, modificado por el artículo 31 de la Ley 2195 de 2022.</w:t>
      </w:r>
    </w:p>
    <w:p w14:paraId="61E50858" w14:textId="77777777" w:rsidR="00220040" w:rsidRPr="00220040" w:rsidRDefault="00220040" w:rsidP="00220040">
      <w:pPr>
        <w:jc w:val="both"/>
        <w:rPr>
          <w:rFonts w:ascii="Verdana" w:hAnsi="Verdana"/>
          <w:lang w:eastAsia="es-ES"/>
        </w:rPr>
      </w:pPr>
      <w:r w:rsidRPr="00220040">
        <w:rPr>
          <w:rFonts w:ascii="Verdana" w:hAnsi="Verdana"/>
          <w:lang w:eastAsia="es-ES"/>
        </w:rPr>
        <w:t>Este programa representa la transición del Plan Anticorrupción y de Atención al Ciudadano (PAAC), vigente hasta 2024, hacia una nueva estrategia institucional que articula acciones de integridad, participación, legalidad y control social, bajo el liderazgo de la Oficina Asesora de Planeación y en línea con los lineamientos técnicos y metodológicos definidos por la Secretaría de Transparencia de la Presidencia de la República.</w:t>
      </w:r>
    </w:p>
    <w:p w14:paraId="2A7E0DAF" w14:textId="77777777" w:rsidR="00220040" w:rsidRPr="00220040" w:rsidRDefault="00220040" w:rsidP="00220040">
      <w:pPr>
        <w:jc w:val="both"/>
        <w:rPr>
          <w:rFonts w:ascii="Verdana" w:hAnsi="Verdana"/>
          <w:lang w:eastAsia="es-ES"/>
        </w:rPr>
      </w:pPr>
      <w:r w:rsidRPr="00220040">
        <w:rPr>
          <w:rFonts w:ascii="Verdana" w:hAnsi="Verdana"/>
          <w:lang w:eastAsia="es-ES"/>
        </w:rPr>
        <w:t>A partir de los insumos analizados en el numeral 3 y de la desagregación temática de cada uno de los componentes descritos en el numeral 6, se elaboró la matriz operativa del PTEP 2025, la cual consolida 29 acciones específicas distribuidas en los siguientes componentes:</w:t>
      </w:r>
    </w:p>
    <w:p w14:paraId="40DFB3C3" w14:textId="19DA2E2F" w:rsidR="00220040" w:rsidRPr="00220040" w:rsidRDefault="00220040" w:rsidP="00220040">
      <w:pPr>
        <w:numPr>
          <w:ilvl w:val="0"/>
          <w:numId w:val="20"/>
        </w:numPr>
        <w:jc w:val="both"/>
        <w:rPr>
          <w:rFonts w:ascii="Verdana" w:hAnsi="Verdana"/>
          <w:lang w:eastAsia="es-ES"/>
        </w:rPr>
      </w:pPr>
      <w:r w:rsidRPr="00220040">
        <w:rPr>
          <w:rFonts w:ascii="Verdana" w:hAnsi="Verdana"/>
          <w:lang w:eastAsia="es-ES"/>
        </w:rPr>
        <w:t>Gestión del riesgo para la integridad pública</w:t>
      </w:r>
      <w:r w:rsidR="0031707C">
        <w:rPr>
          <w:rFonts w:ascii="Verdana" w:hAnsi="Verdana"/>
          <w:lang w:eastAsia="es-ES"/>
        </w:rPr>
        <w:t>.</w:t>
      </w:r>
    </w:p>
    <w:p w14:paraId="61001ABA" w14:textId="622A852F" w:rsidR="00220040" w:rsidRPr="00220040" w:rsidRDefault="00220040" w:rsidP="00220040">
      <w:pPr>
        <w:numPr>
          <w:ilvl w:val="0"/>
          <w:numId w:val="20"/>
        </w:numPr>
        <w:jc w:val="both"/>
        <w:rPr>
          <w:rFonts w:ascii="Verdana" w:hAnsi="Verdana"/>
          <w:lang w:eastAsia="es-ES"/>
        </w:rPr>
      </w:pPr>
      <w:r w:rsidRPr="00220040">
        <w:rPr>
          <w:rFonts w:ascii="Verdana" w:hAnsi="Verdana"/>
          <w:lang w:eastAsia="es-ES"/>
        </w:rPr>
        <w:t>Redes y articulación</w:t>
      </w:r>
      <w:r w:rsidR="0031707C">
        <w:rPr>
          <w:rFonts w:ascii="Verdana" w:hAnsi="Verdana"/>
          <w:lang w:eastAsia="es-ES"/>
        </w:rPr>
        <w:t>.</w:t>
      </w:r>
    </w:p>
    <w:p w14:paraId="5C0E3812" w14:textId="14443A30" w:rsidR="00220040" w:rsidRPr="00220040" w:rsidRDefault="00220040" w:rsidP="00220040">
      <w:pPr>
        <w:numPr>
          <w:ilvl w:val="0"/>
          <w:numId w:val="20"/>
        </w:numPr>
        <w:jc w:val="both"/>
        <w:rPr>
          <w:rFonts w:ascii="Verdana" w:hAnsi="Verdana"/>
          <w:lang w:eastAsia="es-ES"/>
        </w:rPr>
      </w:pPr>
      <w:r w:rsidRPr="00220040">
        <w:rPr>
          <w:rFonts w:ascii="Verdana" w:hAnsi="Verdana"/>
          <w:lang w:eastAsia="es-ES"/>
        </w:rPr>
        <w:t>Cultura de la legalidad y estado abierto</w:t>
      </w:r>
      <w:r w:rsidR="0031707C">
        <w:rPr>
          <w:rFonts w:ascii="Verdana" w:hAnsi="Verdana"/>
          <w:lang w:eastAsia="es-ES"/>
        </w:rPr>
        <w:t>.</w:t>
      </w:r>
    </w:p>
    <w:p w14:paraId="2889F6F6" w14:textId="1878FC50" w:rsidR="00220040" w:rsidRPr="00220040" w:rsidRDefault="00220040" w:rsidP="00220040">
      <w:pPr>
        <w:numPr>
          <w:ilvl w:val="0"/>
          <w:numId w:val="20"/>
        </w:numPr>
        <w:jc w:val="both"/>
        <w:rPr>
          <w:rFonts w:ascii="Verdana" w:hAnsi="Verdana"/>
          <w:lang w:eastAsia="es-ES"/>
        </w:rPr>
      </w:pPr>
      <w:r w:rsidRPr="00220040">
        <w:rPr>
          <w:rFonts w:ascii="Verdana" w:hAnsi="Verdana"/>
          <w:lang w:eastAsia="es-ES"/>
        </w:rPr>
        <w:t>Iniciativas adicionales</w:t>
      </w:r>
      <w:r w:rsidR="0031707C">
        <w:rPr>
          <w:rFonts w:ascii="Verdana" w:hAnsi="Verdana"/>
          <w:lang w:eastAsia="es-ES"/>
        </w:rPr>
        <w:t>.</w:t>
      </w:r>
    </w:p>
    <w:p w14:paraId="4FD40ED6" w14:textId="77777777" w:rsidR="00220040" w:rsidRPr="003D7BB6" w:rsidRDefault="00220040" w:rsidP="00220040">
      <w:pPr>
        <w:jc w:val="both"/>
        <w:rPr>
          <w:rFonts w:ascii="Verdana" w:hAnsi="Verdana"/>
          <w:lang w:eastAsia="es-ES"/>
        </w:rPr>
      </w:pPr>
      <w:r w:rsidRPr="00220040">
        <w:rPr>
          <w:rFonts w:ascii="Verdana" w:hAnsi="Verdana"/>
          <w:lang w:eastAsia="es-ES"/>
        </w:rPr>
        <w:t xml:space="preserve">Estas acciones están alineadas con la tercera dimensión del Modelo Integrado de Planeación y Gestión (MIPG): </w:t>
      </w:r>
      <w:r w:rsidRPr="00220040">
        <w:rPr>
          <w:rFonts w:ascii="Verdana" w:hAnsi="Verdana"/>
          <w:i/>
          <w:iCs/>
          <w:lang w:eastAsia="es-ES"/>
        </w:rPr>
        <w:t>Gestión con valores para el resultado</w:t>
      </w:r>
      <w:r w:rsidRPr="00220040">
        <w:rPr>
          <w:rFonts w:ascii="Verdana" w:hAnsi="Verdana"/>
          <w:lang w:eastAsia="es-ES"/>
        </w:rPr>
        <w:t>, y fueron definidas con base en el análisis de riesgos, capacidades institucionales y oportunidades de mejora priorizadas para la vigencia.</w:t>
      </w:r>
    </w:p>
    <w:p w14:paraId="0D4A1A71" w14:textId="77777777" w:rsidR="00474C7F" w:rsidRDefault="00474C7F" w:rsidP="00220040">
      <w:pPr>
        <w:jc w:val="both"/>
        <w:rPr>
          <w:rFonts w:ascii="Verdana" w:hAnsi="Verdana"/>
          <w:lang w:eastAsia="es-ES"/>
        </w:rPr>
      </w:pPr>
    </w:p>
    <w:p w14:paraId="0B7E24FD" w14:textId="6EE5178F" w:rsidR="00220040" w:rsidRPr="003D7BB6" w:rsidRDefault="00220040" w:rsidP="00220040">
      <w:pPr>
        <w:jc w:val="both"/>
        <w:rPr>
          <w:rFonts w:ascii="Verdana" w:hAnsi="Verdana"/>
          <w:lang w:eastAsia="es-ES"/>
        </w:rPr>
      </w:pPr>
      <w:r w:rsidRPr="003D7BB6">
        <w:rPr>
          <w:rFonts w:ascii="Verdana" w:hAnsi="Verdana"/>
          <w:lang w:eastAsia="es-ES"/>
        </w:rPr>
        <w:lastRenderedPageBreak/>
        <w:t>El seguimiento del PTEP 2025 se articula al ciclo de planeación institucional a través del Plan de Acción Institucional (PAI) y será liderado por la Oficina Asesora de Planeación en coordinación con las dependencias responsables. Para ello, se realizarán ejercicios semestrales de seguimiento durante el mes de julio y noviembre de 2025, cuyos resultados se presentarán ante el Comité Institucional de Gestión y Desempeño, como mecanismo de retroalimentación y toma de decisiones tempranas.</w:t>
      </w:r>
    </w:p>
    <w:p w14:paraId="679800F2" w14:textId="57556A9B" w:rsidR="00220040" w:rsidRPr="003D7BB6" w:rsidRDefault="00220040" w:rsidP="00220040">
      <w:pPr>
        <w:jc w:val="both"/>
        <w:rPr>
          <w:rFonts w:ascii="Verdana" w:hAnsi="Verdana"/>
          <w:lang w:eastAsia="es-ES"/>
        </w:rPr>
      </w:pPr>
      <w:r w:rsidRPr="003D7BB6">
        <w:rPr>
          <w:rFonts w:ascii="Verdana" w:hAnsi="Verdana"/>
          <w:lang w:eastAsia="es-ES"/>
        </w:rPr>
        <w:t>Los informes generados se publicarán en el micrositio del Programa de Transparencia y Ética Pública del Ministerio, disponible en la página institucional, garantizando el acceso y consulta por parte de la ciudadanía y demás grupos de valor.</w:t>
      </w:r>
    </w:p>
    <w:p w14:paraId="24A31B32" w14:textId="400A544C" w:rsidR="007A5579" w:rsidRDefault="00220040" w:rsidP="00220040">
      <w:pPr>
        <w:jc w:val="both"/>
        <w:rPr>
          <w:rFonts w:ascii="Verdana" w:hAnsi="Verdana"/>
          <w:lang w:eastAsia="es-ES"/>
        </w:rPr>
      </w:pPr>
      <w:r w:rsidRPr="00220040">
        <w:rPr>
          <w:rFonts w:ascii="Verdana" w:hAnsi="Verdana"/>
          <w:lang w:eastAsia="es-ES"/>
        </w:rPr>
        <w:t>A continuación, se presenta la matriz operativa del Programa (Anexo 1), la cual contiene el detalle de las actividades definidas para la vigencia 2025, incluyendo sus respectivos responsables y cronograma de implementación.</w:t>
      </w:r>
    </w:p>
    <w:p w14:paraId="13F947EB" w14:textId="77777777" w:rsidR="004F7DEE" w:rsidRDefault="004F7DEE" w:rsidP="00220040">
      <w:pPr>
        <w:jc w:val="both"/>
        <w:rPr>
          <w:rFonts w:ascii="Verdana" w:hAnsi="Verdana"/>
          <w:b/>
          <w:bCs/>
          <w:lang w:eastAsia="es-ES"/>
        </w:rPr>
      </w:pPr>
      <w:r w:rsidRPr="004F7DEE">
        <w:rPr>
          <w:rFonts w:ascii="Verdana" w:hAnsi="Verdana"/>
          <w:b/>
          <w:bCs/>
          <w:lang w:eastAsia="es-ES"/>
        </w:rPr>
        <w:t>La matriz operativa del PTEP 2025 está disponible para consulta en el siguiente enlace:</w:t>
      </w:r>
    </w:p>
    <w:p w14:paraId="4C1D8C10" w14:textId="196F6B03" w:rsidR="004F7DEE" w:rsidRPr="004F7DEE" w:rsidRDefault="004F7DEE" w:rsidP="004F7DEE">
      <w:pPr>
        <w:jc w:val="both"/>
        <w:rPr>
          <w:rFonts w:ascii="Verdana" w:hAnsi="Verdana"/>
          <w:b/>
          <w:bCs/>
          <w:lang w:eastAsia="es-ES"/>
        </w:rPr>
      </w:pPr>
      <w:r w:rsidRPr="004F7DEE">
        <w:rPr>
          <w:rFonts w:ascii="Segoe UI Emoji" w:hAnsi="Segoe UI Emoji" w:cs="Segoe UI Emoji"/>
          <w:lang w:eastAsia="es-ES"/>
        </w:rPr>
        <w:t>👉</w:t>
      </w:r>
      <w:r w:rsidRPr="004F7DEE">
        <w:rPr>
          <w:rFonts w:ascii="Verdana" w:hAnsi="Verdana"/>
          <w:lang w:eastAsia="es-ES"/>
        </w:rPr>
        <w:t xml:space="preserve"> </w:t>
      </w:r>
      <w:hyperlink r:id="rId14" w:tgtFrame="_new" w:history="1">
        <w:r w:rsidRPr="004F7DEE">
          <w:rPr>
            <w:rStyle w:val="Hipervnculo"/>
            <w:rFonts w:ascii="Verdana" w:hAnsi="Verdana"/>
            <w:lang w:eastAsia="es-ES"/>
          </w:rPr>
          <w:t>https://www.minhacienda.gov.co/transparencia/planeacion-presupuesto-informes-contables/planes/institucional/2025</w:t>
        </w:r>
      </w:hyperlink>
    </w:p>
    <w:p w14:paraId="51E8175F" w14:textId="1EDFC7A2" w:rsidR="006D6B82" w:rsidRDefault="006D6B82" w:rsidP="006D6B82">
      <w:pPr>
        <w:pStyle w:val="Ttulo1"/>
        <w:numPr>
          <w:ilvl w:val="0"/>
          <w:numId w:val="13"/>
        </w:numPr>
        <w:tabs>
          <w:tab w:val="num" w:pos="360"/>
        </w:tabs>
        <w:ind w:left="0" w:firstLine="0"/>
        <w:rPr>
          <w:rFonts w:ascii="Verdana" w:hAnsi="Verdana"/>
          <w:sz w:val="22"/>
          <w:szCs w:val="22"/>
        </w:rPr>
      </w:pPr>
      <w:r>
        <w:rPr>
          <w:rFonts w:ascii="Verdana" w:hAnsi="Verdana"/>
          <w:sz w:val="22"/>
          <w:szCs w:val="22"/>
        </w:rPr>
        <w:t>RESPONSABLES</w:t>
      </w:r>
    </w:p>
    <w:p w14:paraId="38E9887C" w14:textId="77777777" w:rsidR="006D6B82" w:rsidRDefault="006D6B82" w:rsidP="006D6B82">
      <w:pPr>
        <w:spacing w:after="0" w:line="240" w:lineRule="auto"/>
        <w:rPr>
          <w:lang w:val="es-ES" w:eastAsia="es-ES"/>
        </w:rPr>
      </w:pPr>
    </w:p>
    <w:p w14:paraId="2E530F6D" w14:textId="293723C7" w:rsidR="006D6B82" w:rsidRPr="006D6B82" w:rsidRDefault="006D6B82" w:rsidP="006D6B82">
      <w:pPr>
        <w:jc w:val="both"/>
        <w:rPr>
          <w:rFonts w:ascii="Verdana" w:hAnsi="Verdana"/>
          <w:lang w:val="es-ES" w:eastAsia="es-ES"/>
        </w:rPr>
      </w:pPr>
      <w:r w:rsidRPr="006D6B82">
        <w:rPr>
          <w:rFonts w:ascii="Verdana" w:hAnsi="Verdana"/>
          <w:lang w:eastAsia="es-ES"/>
        </w:rPr>
        <w:t>En el marco de la implementación del Programa de Transparencia y Ética Pública 2025, se ha definido una estructura de seguimiento basada en el modelo de las tres líneas de defensa. Esta estructura permite clarificar los niveles de responsabilidad, fortalecer el control de las actividades y garantizar un monitoreo efectivo desde diferentes frentes de gestión institucional.</w:t>
      </w:r>
    </w:p>
    <w:p w14:paraId="61A154EB" w14:textId="77777777" w:rsidR="006D6B82" w:rsidRPr="006D6B82" w:rsidRDefault="006D6B82" w:rsidP="006D6B82">
      <w:pPr>
        <w:spacing w:after="0" w:line="240" w:lineRule="auto"/>
        <w:rPr>
          <w:lang w:val="es-ES" w:eastAsia="es-ES"/>
        </w:rPr>
      </w:pPr>
    </w:p>
    <w:p w14:paraId="797B62CA" w14:textId="2E1BEA7E" w:rsidR="004F7DEE" w:rsidRPr="004F7DEE" w:rsidRDefault="006D6B82" w:rsidP="004F7DEE">
      <w:pPr>
        <w:pStyle w:val="Prrafodelista"/>
        <w:numPr>
          <w:ilvl w:val="0"/>
          <w:numId w:val="35"/>
        </w:numPr>
        <w:jc w:val="both"/>
        <w:rPr>
          <w:rFonts w:ascii="Verdana" w:hAnsi="Verdana"/>
          <w:b/>
          <w:bCs/>
          <w:i/>
          <w:iCs/>
          <w:lang w:val="es-ES" w:eastAsia="es-ES"/>
        </w:rPr>
      </w:pPr>
      <w:r w:rsidRPr="006D6B82">
        <w:rPr>
          <w:rFonts w:ascii="Verdana" w:hAnsi="Verdana"/>
          <w:b/>
          <w:bCs/>
          <w:lang w:val="es-ES" w:eastAsia="es-ES"/>
        </w:rPr>
        <w:t xml:space="preserve">PRIMERA LÍNEA DE DEFENSA: </w:t>
      </w:r>
      <w:r w:rsidR="00474C7F" w:rsidRPr="00474C7F">
        <w:rPr>
          <w:rFonts w:ascii="Verdana" w:hAnsi="Verdana"/>
          <w:lang w:eastAsia="es-ES"/>
        </w:rPr>
        <w:t xml:space="preserve">Corresponde a las dependencias líderes de proceso, líderes de política de gestión y desempeño (MIPG) y servidores que, desde sus diferentes niveles, implementan y realizan autocontrol de las actividades definidas en el programa. Este nivel también se articula con el Comité Institucional de Gestión y Desempeño, el cual, en cumplimiento de sus funciones establecidas en la Resolución 1984 de 2020, particularmente en el artículo 3, numeral 7, tiene la responsabilidad de </w:t>
      </w:r>
      <w:r w:rsidR="00474C7F" w:rsidRPr="00474C7F">
        <w:rPr>
          <w:rFonts w:ascii="Verdana" w:hAnsi="Verdana"/>
          <w:i/>
          <w:iCs/>
          <w:lang w:eastAsia="es-ES"/>
        </w:rPr>
        <w:t xml:space="preserve">aprobar y hacer seguimiento al plan integrado, así como a las estrategias y herramientas necesarias para la implementación </w:t>
      </w:r>
      <w:r w:rsidR="00474C7F" w:rsidRPr="00474C7F">
        <w:rPr>
          <w:rFonts w:ascii="Verdana" w:hAnsi="Verdana"/>
          <w:i/>
          <w:iCs/>
          <w:lang w:eastAsia="es-ES"/>
        </w:rPr>
        <w:lastRenderedPageBreak/>
        <w:t>interna de las políticas de gestión</w:t>
      </w:r>
      <w:r w:rsidR="00474C7F" w:rsidRPr="00474C7F">
        <w:rPr>
          <w:rFonts w:ascii="Verdana" w:hAnsi="Verdana"/>
          <w:lang w:eastAsia="es-ES"/>
        </w:rPr>
        <w:t>. El seguimiento a las actividades del Programa se realizará de manera cuatrimestral a través de la plataforma SMGI, permitiendo una trazabilidad sistemática y oportuna de los avances institucionales.</w:t>
      </w:r>
    </w:p>
    <w:p w14:paraId="7CF43A5A" w14:textId="51AD1E97" w:rsidR="006D6B82" w:rsidRPr="006D6B82" w:rsidRDefault="00CA5B64" w:rsidP="004F7DEE">
      <w:pPr>
        <w:pStyle w:val="Prrafodelista"/>
        <w:jc w:val="both"/>
        <w:rPr>
          <w:rFonts w:ascii="Verdana" w:hAnsi="Verdana"/>
          <w:b/>
          <w:bCs/>
          <w:lang w:val="es-ES" w:eastAsia="es-ES"/>
        </w:rPr>
      </w:pPr>
      <w:r>
        <w:rPr>
          <w:rFonts w:ascii="Verdana" w:hAnsi="Verdana"/>
          <w:lang w:val="es-ES" w:eastAsia="es-ES"/>
        </w:rPr>
        <w:t xml:space="preserve"> </w:t>
      </w:r>
    </w:p>
    <w:p w14:paraId="4E0FF165" w14:textId="77777777" w:rsidR="00963B9F" w:rsidRPr="00963B9F" w:rsidRDefault="006D6B82" w:rsidP="00963B9F">
      <w:pPr>
        <w:pStyle w:val="Prrafodelista"/>
        <w:numPr>
          <w:ilvl w:val="0"/>
          <w:numId w:val="35"/>
        </w:numPr>
        <w:jc w:val="both"/>
        <w:rPr>
          <w:rFonts w:ascii="Verdana" w:hAnsi="Verdana"/>
          <w:b/>
          <w:bCs/>
          <w:lang w:val="es-ES" w:eastAsia="es-ES"/>
        </w:rPr>
      </w:pPr>
      <w:r w:rsidRPr="006D6B82">
        <w:rPr>
          <w:rFonts w:ascii="Verdana" w:hAnsi="Verdana"/>
          <w:b/>
          <w:bCs/>
          <w:lang w:val="es-ES" w:eastAsia="es-ES"/>
        </w:rPr>
        <w:t xml:space="preserve">SEGUNDA LÍNEA DE DEFENSA: </w:t>
      </w:r>
      <w:r w:rsidRPr="006D6B82">
        <w:rPr>
          <w:rFonts w:ascii="Verdana" w:hAnsi="Verdana"/>
          <w:lang w:val="es-ES" w:eastAsia="es-ES"/>
        </w:rPr>
        <w:t>Corresponde a la Oficina Asesora de Planeación, quien realizará un monitoreo semestral a la ejecución de las actividades del programa, brindando orientación técnica y generando alertas a la primera línea de defensa para facilitar la toma oportuna de</w:t>
      </w:r>
      <w:r w:rsidR="004F7DEE">
        <w:rPr>
          <w:rFonts w:ascii="Verdana" w:hAnsi="Verdana"/>
          <w:lang w:val="es-ES" w:eastAsia="es-ES"/>
        </w:rPr>
        <w:t xml:space="preserve"> </w:t>
      </w:r>
      <w:r w:rsidRPr="006D6B82">
        <w:rPr>
          <w:rFonts w:ascii="Verdana" w:hAnsi="Verdana"/>
          <w:lang w:val="es-ES" w:eastAsia="es-ES"/>
        </w:rPr>
        <w:t>decisiones.</w:t>
      </w:r>
    </w:p>
    <w:p w14:paraId="54AC86D5" w14:textId="77777777" w:rsidR="00963B9F" w:rsidRPr="00963B9F" w:rsidRDefault="00963B9F" w:rsidP="00963B9F">
      <w:pPr>
        <w:pStyle w:val="Prrafodelista"/>
        <w:rPr>
          <w:rFonts w:ascii="Verdana" w:hAnsi="Verdana"/>
          <w:b/>
          <w:bCs/>
          <w:lang w:val="es-ES" w:eastAsia="es-ES"/>
        </w:rPr>
      </w:pPr>
    </w:p>
    <w:p w14:paraId="5042E787" w14:textId="7BBAF32D" w:rsidR="006D6B82" w:rsidRPr="00963B9F" w:rsidRDefault="006D6B82" w:rsidP="00963B9F">
      <w:pPr>
        <w:pStyle w:val="Prrafodelista"/>
        <w:numPr>
          <w:ilvl w:val="0"/>
          <w:numId w:val="35"/>
        </w:numPr>
        <w:jc w:val="both"/>
        <w:rPr>
          <w:rFonts w:ascii="Verdana" w:hAnsi="Verdana"/>
          <w:b/>
          <w:bCs/>
          <w:lang w:val="es-ES" w:eastAsia="es-ES"/>
        </w:rPr>
      </w:pPr>
      <w:r w:rsidRPr="00963B9F">
        <w:rPr>
          <w:rFonts w:ascii="Verdana" w:hAnsi="Verdana"/>
          <w:b/>
          <w:bCs/>
          <w:lang w:val="es-ES" w:eastAsia="es-ES"/>
        </w:rPr>
        <w:t xml:space="preserve">TERCERA LÍNEA DE DEFENSA: </w:t>
      </w:r>
      <w:r w:rsidR="00085331" w:rsidRPr="00963B9F">
        <w:rPr>
          <w:rFonts w:ascii="Verdana" w:hAnsi="Verdana"/>
          <w:lang w:eastAsia="es-ES"/>
        </w:rPr>
        <w:t xml:space="preserve">La Oficina de Control </w:t>
      </w:r>
      <w:r w:rsidR="00963B9F" w:rsidRPr="00963B9F">
        <w:rPr>
          <w:rFonts w:ascii="Verdana" w:hAnsi="Verdana"/>
          <w:lang w:eastAsia="es-ES"/>
        </w:rPr>
        <w:t>Interno,</w:t>
      </w:r>
      <w:r w:rsidR="00085331" w:rsidRPr="00963B9F">
        <w:rPr>
          <w:rFonts w:ascii="Verdana" w:hAnsi="Verdana"/>
          <w:lang w:eastAsia="es-ES"/>
        </w:rPr>
        <w:t xml:space="preserve"> desde su rol dentro d</w:t>
      </w:r>
      <w:r w:rsidR="00B61496" w:rsidRPr="00963B9F">
        <w:rPr>
          <w:rFonts w:ascii="Verdana" w:hAnsi="Verdana"/>
          <w:lang w:eastAsia="es-ES"/>
        </w:rPr>
        <w:t xml:space="preserve">el Modelo Estándar de Control Interno (MECI), deberá </w:t>
      </w:r>
      <w:r w:rsidR="004832E6" w:rsidRPr="00963B9F">
        <w:rPr>
          <w:rFonts w:ascii="Verdana" w:hAnsi="Verdana"/>
          <w:lang w:eastAsia="es-ES"/>
        </w:rPr>
        <w:t xml:space="preserve">anualmente </w:t>
      </w:r>
      <w:r w:rsidR="00B61496" w:rsidRPr="00963B9F">
        <w:rPr>
          <w:rFonts w:ascii="Verdana" w:hAnsi="Verdana"/>
          <w:lang w:eastAsia="es-ES"/>
        </w:rPr>
        <w:t>incorporar el Programa como una unidad auditable y someterlo a priorización conforme a los lineamientos metodológicos establecidos en la Guía de Auditoría Interna Basada en Riesgos para Entidades Públicas. Adicionalmente, la entidad deberá definir criterios de evaluación interna para identificar diferencias entre los resultados esperados y los obtenidos, establecer procedimientos para la aplicación de medidas correctivas y determinar los casos en que será necesaria una reformulación del Programa.</w:t>
      </w:r>
    </w:p>
    <w:p w14:paraId="6C3F4662" w14:textId="77777777" w:rsidR="006D6B82" w:rsidRDefault="006D6B82" w:rsidP="006D6B82">
      <w:pPr>
        <w:pStyle w:val="Ttulo1"/>
        <w:numPr>
          <w:ilvl w:val="0"/>
          <w:numId w:val="13"/>
        </w:numPr>
        <w:tabs>
          <w:tab w:val="num" w:pos="360"/>
        </w:tabs>
        <w:ind w:left="0" w:firstLine="0"/>
        <w:rPr>
          <w:rFonts w:ascii="Verdana" w:hAnsi="Verdana"/>
          <w:sz w:val="22"/>
          <w:szCs w:val="22"/>
        </w:rPr>
      </w:pPr>
      <w:r w:rsidRPr="00B056E5">
        <w:rPr>
          <w:rFonts w:ascii="Verdana" w:hAnsi="Verdana"/>
          <w:sz w:val="22"/>
          <w:szCs w:val="22"/>
        </w:rPr>
        <w:t>HISTORIAL DE CAMBIOS</w:t>
      </w:r>
    </w:p>
    <w:p w14:paraId="019FB47A" w14:textId="77777777" w:rsidR="00963B9F" w:rsidRPr="00963B9F" w:rsidRDefault="00963B9F" w:rsidP="00963B9F">
      <w:pPr>
        <w:rPr>
          <w:lang w:val="es-ES" w:eastAsia="es-ES"/>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1362"/>
        <w:gridCol w:w="1976"/>
        <w:gridCol w:w="3445"/>
        <w:gridCol w:w="1899"/>
      </w:tblGrid>
      <w:tr w:rsidR="0031707C" w:rsidRPr="00B056E5" w14:paraId="708828D3" w14:textId="3CD7A183" w:rsidTr="0031707C">
        <w:trPr>
          <w:trHeight w:val="697"/>
          <w:tblHeader/>
          <w:jc w:val="center"/>
        </w:trPr>
        <w:tc>
          <w:tcPr>
            <w:tcW w:w="1413" w:type="dxa"/>
            <w:shd w:val="clear" w:color="auto" w:fill="404040"/>
            <w:tcMar>
              <w:top w:w="57" w:type="dxa"/>
              <w:left w:w="113" w:type="dxa"/>
              <w:bottom w:w="57" w:type="dxa"/>
            </w:tcMar>
            <w:vAlign w:val="center"/>
          </w:tcPr>
          <w:p w14:paraId="75525911" w14:textId="77777777" w:rsidR="0031707C" w:rsidRPr="00B056E5" w:rsidRDefault="0031707C" w:rsidP="00A30D68">
            <w:pPr>
              <w:jc w:val="center"/>
              <w:rPr>
                <w:rFonts w:ascii="Verdana" w:hAnsi="Verdana" w:cs="Arial"/>
                <w:b/>
                <w:color w:val="FFFFFF"/>
              </w:rPr>
            </w:pPr>
            <w:r w:rsidRPr="00B056E5">
              <w:rPr>
                <w:rFonts w:ascii="Verdana" w:hAnsi="Verdana" w:cs="Arial"/>
                <w:b/>
                <w:color w:val="FFFFFF"/>
              </w:rPr>
              <w:t>FECHA</w:t>
            </w:r>
          </w:p>
        </w:tc>
        <w:tc>
          <w:tcPr>
            <w:tcW w:w="1037" w:type="dxa"/>
            <w:shd w:val="clear" w:color="auto" w:fill="404040"/>
            <w:tcMar>
              <w:top w:w="57" w:type="dxa"/>
              <w:left w:w="113" w:type="dxa"/>
              <w:bottom w:w="57" w:type="dxa"/>
            </w:tcMar>
            <w:vAlign w:val="center"/>
          </w:tcPr>
          <w:p w14:paraId="732FC581" w14:textId="77777777" w:rsidR="0031707C" w:rsidRPr="00B056E5" w:rsidRDefault="0031707C" w:rsidP="00A30D68">
            <w:pPr>
              <w:jc w:val="center"/>
              <w:rPr>
                <w:rFonts w:ascii="Verdana" w:hAnsi="Verdana" w:cs="Arial"/>
                <w:b/>
                <w:color w:val="FFFFFF"/>
              </w:rPr>
            </w:pPr>
            <w:r w:rsidRPr="00B056E5">
              <w:rPr>
                <w:rFonts w:ascii="Verdana" w:hAnsi="Verdana" w:cs="Arial"/>
                <w:b/>
                <w:color w:val="FFFFFF"/>
              </w:rPr>
              <w:t>VERSIÓN</w:t>
            </w:r>
          </w:p>
        </w:tc>
        <w:tc>
          <w:tcPr>
            <w:tcW w:w="0" w:type="auto"/>
            <w:shd w:val="clear" w:color="auto" w:fill="404040"/>
            <w:tcMar>
              <w:top w:w="57" w:type="dxa"/>
              <w:left w:w="113" w:type="dxa"/>
              <w:bottom w:w="57" w:type="dxa"/>
            </w:tcMar>
            <w:vAlign w:val="center"/>
          </w:tcPr>
          <w:p w14:paraId="0AB8C819" w14:textId="77777777" w:rsidR="0031707C" w:rsidRPr="00B056E5" w:rsidRDefault="0031707C" w:rsidP="00A30D68">
            <w:pPr>
              <w:jc w:val="center"/>
              <w:rPr>
                <w:rFonts w:ascii="Verdana" w:hAnsi="Verdana" w:cs="Arial"/>
                <w:b/>
                <w:color w:val="FFFFFF"/>
              </w:rPr>
            </w:pPr>
            <w:r w:rsidRPr="00B056E5">
              <w:rPr>
                <w:rFonts w:ascii="Verdana" w:hAnsi="Verdana" w:cs="Arial"/>
                <w:b/>
                <w:color w:val="FFFFFF"/>
              </w:rPr>
              <w:t>DESCRIPCIÓN DEL CAMBIO</w:t>
            </w:r>
          </w:p>
        </w:tc>
        <w:tc>
          <w:tcPr>
            <w:tcW w:w="0" w:type="auto"/>
            <w:shd w:val="clear" w:color="auto" w:fill="404040"/>
            <w:tcMar>
              <w:top w:w="57" w:type="dxa"/>
              <w:left w:w="113" w:type="dxa"/>
              <w:bottom w:w="57" w:type="dxa"/>
            </w:tcMar>
            <w:vAlign w:val="center"/>
          </w:tcPr>
          <w:p w14:paraId="6DE11FA7" w14:textId="03276B82" w:rsidR="0031707C" w:rsidRPr="00B056E5" w:rsidRDefault="0031707C" w:rsidP="00A30D68">
            <w:pPr>
              <w:jc w:val="center"/>
              <w:rPr>
                <w:rFonts w:ascii="Verdana" w:hAnsi="Verdana" w:cs="Arial"/>
                <w:b/>
                <w:color w:val="FFFFFF"/>
              </w:rPr>
            </w:pPr>
            <w:r>
              <w:rPr>
                <w:rFonts w:ascii="Verdana" w:hAnsi="Verdana" w:cs="Arial"/>
                <w:b/>
                <w:color w:val="FFFFFF"/>
              </w:rPr>
              <w:t>ELABORACIÓN/REVISIÓN</w:t>
            </w:r>
          </w:p>
        </w:tc>
        <w:tc>
          <w:tcPr>
            <w:tcW w:w="1899" w:type="dxa"/>
            <w:shd w:val="clear" w:color="auto" w:fill="404040"/>
            <w:vAlign w:val="center"/>
          </w:tcPr>
          <w:p w14:paraId="375BEA58" w14:textId="0DDA0DCA" w:rsidR="0031707C" w:rsidRPr="00B056E5" w:rsidRDefault="0031707C" w:rsidP="0031707C">
            <w:pPr>
              <w:jc w:val="center"/>
              <w:rPr>
                <w:rFonts w:ascii="Verdana" w:hAnsi="Verdana" w:cs="Arial"/>
                <w:b/>
                <w:color w:val="FFFFFF"/>
              </w:rPr>
            </w:pPr>
            <w:r>
              <w:rPr>
                <w:rFonts w:ascii="Verdana" w:hAnsi="Verdana" w:cs="Arial"/>
                <w:b/>
                <w:color w:val="FFFFFF"/>
              </w:rPr>
              <w:t>APROBACIÓN</w:t>
            </w:r>
          </w:p>
        </w:tc>
      </w:tr>
      <w:tr w:rsidR="0031707C" w:rsidRPr="00B056E5" w14:paraId="4EBED9A7" w14:textId="5C39FDF2" w:rsidTr="0031707C">
        <w:trPr>
          <w:trHeight w:val="1310"/>
          <w:jc w:val="center"/>
        </w:trPr>
        <w:tc>
          <w:tcPr>
            <w:tcW w:w="1413" w:type="dxa"/>
            <w:tcMar>
              <w:top w:w="57" w:type="dxa"/>
              <w:left w:w="113" w:type="dxa"/>
              <w:bottom w:w="57" w:type="dxa"/>
            </w:tcMar>
          </w:tcPr>
          <w:p w14:paraId="32931ADE" w14:textId="223C75CF" w:rsidR="0031707C" w:rsidRPr="00ED349A" w:rsidRDefault="0031707C" w:rsidP="0031707C">
            <w:pPr>
              <w:jc w:val="center"/>
              <w:rPr>
                <w:rFonts w:ascii="Verdana" w:hAnsi="Verdana" w:cs="Arial"/>
                <w:bCs/>
                <w:iCs/>
              </w:rPr>
            </w:pPr>
            <w:r>
              <w:rPr>
                <w:rFonts w:ascii="Verdana" w:hAnsi="Verdana" w:cs="Arial"/>
                <w:bCs/>
                <w:iCs/>
              </w:rPr>
              <w:t>4-07-2025</w:t>
            </w:r>
          </w:p>
        </w:tc>
        <w:tc>
          <w:tcPr>
            <w:tcW w:w="1037" w:type="dxa"/>
            <w:tcMar>
              <w:top w:w="57" w:type="dxa"/>
              <w:left w:w="113" w:type="dxa"/>
              <w:bottom w:w="57" w:type="dxa"/>
            </w:tcMar>
          </w:tcPr>
          <w:p w14:paraId="507A85FF" w14:textId="7F2F1F14" w:rsidR="0031707C" w:rsidRPr="00ED349A" w:rsidRDefault="0031707C" w:rsidP="0031707C">
            <w:pPr>
              <w:jc w:val="center"/>
              <w:rPr>
                <w:rFonts w:ascii="Verdana" w:hAnsi="Verdana" w:cs="Arial"/>
                <w:bCs/>
                <w:iCs/>
              </w:rPr>
            </w:pPr>
            <w:r w:rsidRPr="00ED349A">
              <w:rPr>
                <w:rFonts w:ascii="Verdana" w:hAnsi="Verdana" w:cs="Arial"/>
                <w:bCs/>
                <w:iCs/>
              </w:rPr>
              <w:t>1</w:t>
            </w:r>
          </w:p>
        </w:tc>
        <w:tc>
          <w:tcPr>
            <w:tcW w:w="0" w:type="auto"/>
            <w:tcMar>
              <w:top w:w="57" w:type="dxa"/>
              <w:left w:w="113" w:type="dxa"/>
              <w:bottom w:w="57" w:type="dxa"/>
            </w:tcMar>
          </w:tcPr>
          <w:p w14:paraId="07736F31" w14:textId="1BF02954" w:rsidR="0031707C" w:rsidRPr="00ED349A" w:rsidRDefault="0031707C" w:rsidP="0031707C">
            <w:pPr>
              <w:jc w:val="center"/>
              <w:rPr>
                <w:rFonts w:ascii="Verdana" w:hAnsi="Verdana" w:cs="Arial"/>
                <w:bCs/>
                <w:iCs/>
              </w:rPr>
            </w:pPr>
            <w:r w:rsidRPr="00ED349A">
              <w:rPr>
                <w:rFonts w:ascii="Verdana" w:hAnsi="Verdana" w:cs="Arial"/>
                <w:bCs/>
                <w:iCs/>
              </w:rPr>
              <w:t>Primera versión documento PTEP.</w:t>
            </w:r>
          </w:p>
        </w:tc>
        <w:tc>
          <w:tcPr>
            <w:tcW w:w="3445" w:type="dxa"/>
            <w:tcMar>
              <w:top w:w="57" w:type="dxa"/>
              <w:left w:w="113" w:type="dxa"/>
              <w:bottom w:w="57" w:type="dxa"/>
            </w:tcMar>
          </w:tcPr>
          <w:p w14:paraId="01D20265" w14:textId="4CF7ED1F" w:rsidR="0031707C" w:rsidRDefault="0031707C" w:rsidP="0031707C">
            <w:pPr>
              <w:jc w:val="center"/>
              <w:rPr>
                <w:rFonts w:ascii="Verdana" w:hAnsi="Verdana" w:cs="Arial"/>
                <w:bCs/>
                <w:iCs/>
              </w:rPr>
            </w:pPr>
            <w:r w:rsidRPr="00ED349A">
              <w:rPr>
                <w:rFonts w:ascii="Verdana" w:hAnsi="Verdana" w:cs="Arial"/>
                <w:bCs/>
                <w:iCs/>
              </w:rPr>
              <w:t>Leonardo Martínez Puerto</w:t>
            </w:r>
            <w:r>
              <w:rPr>
                <w:rFonts w:ascii="Verdana" w:hAnsi="Verdana" w:cs="Arial"/>
                <w:bCs/>
                <w:iCs/>
              </w:rPr>
              <w:t xml:space="preserve"> – Contratista Oficina Asesora de Planeación</w:t>
            </w:r>
          </w:p>
          <w:p w14:paraId="727D5F53" w14:textId="04A980B3" w:rsidR="0031707C" w:rsidRPr="00ED349A" w:rsidRDefault="0031707C" w:rsidP="003977F3">
            <w:pPr>
              <w:jc w:val="center"/>
              <w:rPr>
                <w:rFonts w:ascii="Verdana" w:hAnsi="Verdana" w:cs="Arial"/>
                <w:bCs/>
                <w:iCs/>
              </w:rPr>
            </w:pPr>
            <w:r>
              <w:rPr>
                <w:rFonts w:ascii="Verdana" w:hAnsi="Verdana" w:cs="Arial"/>
                <w:bCs/>
                <w:iCs/>
              </w:rPr>
              <w:t xml:space="preserve">Catherine Cifuentes – Coordinadora </w:t>
            </w:r>
            <w:r w:rsidR="00A81F33">
              <w:rPr>
                <w:rFonts w:ascii="Verdana" w:hAnsi="Verdana" w:cs="Arial"/>
                <w:bCs/>
                <w:iCs/>
              </w:rPr>
              <w:t xml:space="preserve">Grupo de Gestión Estratégica y Fortalecimiento Organizacional </w:t>
            </w:r>
            <w:r>
              <w:rPr>
                <w:rFonts w:ascii="Verdana" w:hAnsi="Verdana" w:cs="Arial"/>
                <w:bCs/>
                <w:iCs/>
              </w:rPr>
              <w:t>Oficina Asesora de Planeación</w:t>
            </w:r>
          </w:p>
        </w:tc>
        <w:tc>
          <w:tcPr>
            <w:tcW w:w="1899" w:type="dxa"/>
          </w:tcPr>
          <w:p w14:paraId="37D00DCC" w14:textId="35C94BF8" w:rsidR="0031707C" w:rsidRPr="00ED349A" w:rsidRDefault="0031707C" w:rsidP="0031707C">
            <w:pPr>
              <w:jc w:val="center"/>
              <w:rPr>
                <w:rFonts w:ascii="Verdana" w:hAnsi="Verdana" w:cs="Arial"/>
                <w:bCs/>
                <w:iCs/>
              </w:rPr>
            </w:pPr>
            <w:r>
              <w:rPr>
                <w:rFonts w:ascii="Verdana" w:hAnsi="Verdana" w:cs="Arial"/>
                <w:bCs/>
                <w:iCs/>
              </w:rPr>
              <w:t>Comité Institucional de Gestión y Desempeño</w:t>
            </w:r>
            <w:r w:rsidR="00556F53">
              <w:rPr>
                <w:rFonts w:ascii="Verdana" w:hAnsi="Verdana" w:cs="Arial"/>
                <w:bCs/>
                <w:iCs/>
              </w:rPr>
              <w:t xml:space="preserve"> Julio 2025</w:t>
            </w:r>
          </w:p>
        </w:tc>
      </w:tr>
    </w:tbl>
    <w:p w14:paraId="61637B47" w14:textId="77777777" w:rsidR="0089045F" w:rsidRPr="00B056E5" w:rsidRDefault="0089045F" w:rsidP="0089045F">
      <w:pPr>
        <w:tabs>
          <w:tab w:val="left" w:pos="7602"/>
        </w:tabs>
        <w:rPr>
          <w:lang w:val="es-ES"/>
        </w:rPr>
        <w:sectPr w:rsidR="0089045F" w:rsidRPr="00B056E5" w:rsidSect="000D0C65">
          <w:headerReference w:type="default" r:id="rId15"/>
          <w:pgSz w:w="12240" w:h="15840"/>
          <w:pgMar w:top="1684" w:right="1701" w:bottom="1418" w:left="1701" w:header="709" w:footer="709" w:gutter="0"/>
          <w:cols w:space="708"/>
          <w:docGrid w:linePitch="360"/>
        </w:sectPr>
      </w:pPr>
    </w:p>
    <w:p w14:paraId="0310679E" w14:textId="4EF08161" w:rsidR="0089045F" w:rsidRPr="00B056E5" w:rsidRDefault="009464B6" w:rsidP="00BA65FB">
      <w:pPr>
        <w:ind w:firstLine="708"/>
        <w:rPr>
          <w:lang w:val="es-ES"/>
        </w:rPr>
      </w:pPr>
      <w:r w:rsidRPr="00B056E5">
        <w:rPr>
          <w:noProof/>
          <w:lang w:eastAsia="es-CO"/>
        </w:rPr>
        <w:lastRenderedPageBreak/>
        <w:drawing>
          <wp:anchor distT="0" distB="0" distL="114300" distR="114300" simplePos="0" relativeHeight="251669504" behindDoc="1" locked="0" layoutInCell="1" allowOverlap="1" wp14:anchorId="7BA03FD9" wp14:editId="6C9AC24C">
            <wp:simplePos x="0" y="0"/>
            <wp:positionH relativeFrom="column">
              <wp:posOffset>-1063625</wp:posOffset>
            </wp:positionH>
            <wp:positionV relativeFrom="paragraph">
              <wp:posOffset>-1071880</wp:posOffset>
            </wp:positionV>
            <wp:extent cx="7785077" cy="10074442"/>
            <wp:effectExtent l="0" t="0" r="698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85077" cy="10074442"/>
                    </a:xfrm>
                    <a:prstGeom prst="rect">
                      <a:avLst/>
                    </a:prstGeom>
                  </pic:spPr>
                </pic:pic>
              </a:graphicData>
            </a:graphic>
            <wp14:sizeRelH relativeFrom="page">
              <wp14:pctWidth>0</wp14:pctWidth>
            </wp14:sizeRelH>
            <wp14:sizeRelV relativeFrom="page">
              <wp14:pctHeight>0</wp14:pctHeight>
            </wp14:sizeRelV>
          </wp:anchor>
        </w:drawing>
      </w:r>
      <w:r w:rsidR="0092577E" w:rsidRPr="00B056E5">
        <w:rPr>
          <w:noProof/>
          <w:lang w:eastAsia="es-CO"/>
        </w:rPr>
        <mc:AlternateContent>
          <mc:Choice Requires="wps">
            <w:drawing>
              <wp:anchor distT="0" distB="0" distL="114300" distR="114300" simplePos="0" relativeHeight="251667456" behindDoc="0" locked="0" layoutInCell="1" allowOverlap="1" wp14:anchorId="5B95EB75" wp14:editId="7CE6F58B">
                <wp:simplePos x="0" y="0"/>
                <wp:positionH relativeFrom="margin">
                  <wp:posOffset>2063750</wp:posOffset>
                </wp:positionH>
                <wp:positionV relativeFrom="paragraph">
                  <wp:posOffset>7047698</wp:posOffset>
                </wp:positionV>
                <wp:extent cx="4040372" cy="1155032"/>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4040372" cy="1155032"/>
                        </a:xfrm>
                        <a:prstGeom prst="rect">
                          <a:avLst/>
                        </a:prstGeom>
                        <a:noFill/>
                        <a:ln w="6350">
                          <a:noFill/>
                        </a:ln>
                      </wps:spPr>
                      <wps:txbx>
                        <w:txbxContent>
                          <w:p w14:paraId="0E88993C" w14:textId="77777777" w:rsidR="00BA65FB" w:rsidRPr="0092577E" w:rsidRDefault="00BA65FB" w:rsidP="009464B6">
                            <w:pPr>
                              <w:spacing w:after="0"/>
                              <w:jc w:val="right"/>
                              <w:rPr>
                                <w:rFonts w:ascii="Verdana" w:hAnsi="Verdana"/>
                                <w:b/>
                                <w:bCs/>
                                <w:sz w:val="20"/>
                                <w:szCs w:val="20"/>
                              </w:rPr>
                            </w:pPr>
                            <w:r w:rsidRPr="0092577E">
                              <w:rPr>
                                <w:rFonts w:ascii="Verdana" w:hAnsi="Verdana"/>
                                <w:b/>
                                <w:bCs/>
                                <w:sz w:val="20"/>
                                <w:szCs w:val="20"/>
                              </w:rPr>
                              <w:t>Ministerio de Hacienda y Crédito Público</w:t>
                            </w:r>
                          </w:p>
                          <w:p w14:paraId="296B502A" w14:textId="77777777" w:rsidR="00BA65FB" w:rsidRPr="0092577E" w:rsidRDefault="00BA65FB" w:rsidP="009464B6">
                            <w:pPr>
                              <w:spacing w:after="0"/>
                              <w:jc w:val="right"/>
                              <w:rPr>
                                <w:rFonts w:ascii="Verdana" w:hAnsi="Verdana"/>
                                <w:sz w:val="20"/>
                                <w:szCs w:val="20"/>
                              </w:rPr>
                            </w:pPr>
                            <w:r w:rsidRPr="0092577E">
                              <w:rPr>
                                <w:rFonts w:ascii="Verdana" w:hAnsi="Verdana"/>
                                <w:sz w:val="20"/>
                                <w:szCs w:val="20"/>
                              </w:rPr>
                              <w:t>Dirección: Carrera 8 No. 6C–38, Bogotá D.C., Colombia</w:t>
                            </w:r>
                          </w:p>
                          <w:p w14:paraId="14EF2C09" w14:textId="77777777" w:rsidR="00BA65FB" w:rsidRPr="0092577E" w:rsidRDefault="00BA65FB" w:rsidP="009464B6">
                            <w:pPr>
                              <w:spacing w:after="0"/>
                              <w:jc w:val="right"/>
                              <w:rPr>
                                <w:rFonts w:ascii="Verdana" w:hAnsi="Verdana"/>
                                <w:sz w:val="20"/>
                                <w:szCs w:val="20"/>
                              </w:rPr>
                            </w:pPr>
                            <w:r w:rsidRPr="0092577E">
                              <w:rPr>
                                <w:rFonts w:ascii="Verdana" w:hAnsi="Verdana"/>
                                <w:sz w:val="20"/>
                                <w:szCs w:val="20"/>
                              </w:rPr>
                              <w:t>Conmutador: (+57) 601 3 81 17 00</w:t>
                            </w:r>
                          </w:p>
                          <w:p w14:paraId="36790167" w14:textId="650C213B" w:rsidR="00BA65FB" w:rsidRPr="0092577E" w:rsidRDefault="00BA65FB" w:rsidP="009464B6">
                            <w:pPr>
                              <w:spacing w:after="0"/>
                              <w:jc w:val="right"/>
                              <w:rPr>
                                <w:rFonts w:ascii="Verdana" w:hAnsi="Verdana"/>
                                <w:sz w:val="20"/>
                                <w:szCs w:val="20"/>
                              </w:rPr>
                            </w:pPr>
                            <w:r w:rsidRPr="0092577E">
                              <w:rPr>
                                <w:rFonts w:ascii="Verdana" w:hAnsi="Verdana"/>
                                <w:sz w:val="20"/>
                                <w:szCs w:val="20"/>
                              </w:rPr>
                              <w:t>Línea Gratuita: (+57) 01 8000 910071</w:t>
                            </w:r>
                          </w:p>
                          <w:p w14:paraId="1D63B89D" w14:textId="1114D8D2" w:rsidR="00BA65FB" w:rsidRDefault="00BA65FB" w:rsidP="009464B6">
                            <w:pPr>
                              <w:spacing w:after="0"/>
                              <w:jc w:val="right"/>
                              <w:rPr>
                                <w:rFonts w:ascii="Verdana" w:hAnsi="Verdana"/>
                                <w:sz w:val="20"/>
                                <w:szCs w:val="20"/>
                              </w:rPr>
                            </w:pPr>
                            <w:r w:rsidRPr="0092577E">
                              <w:rPr>
                                <w:rFonts w:ascii="Verdana" w:hAnsi="Verdana"/>
                                <w:sz w:val="20"/>
                                <w:szCs w:val="20"/>
                              </w:rPr>
                              <w:t xml:space="preserve">Correo: </w:t>
                            </w:r>
                            <w:hyperlink r:id="rId17" w:history="1">
                              <w:r w:rsidRPr="0092577E">
                                <w:rPr>
                                  <w:rFonts w:ascii="Verdana" w:hAnsi="Verdana"/>
                                  <w:sz w:val="20"/>
                                  <w:szCs w:val="20"/>
                                </w:rPr>
                                <w:t>relacionciudadano@minhacienda.gov.co</w:t>
                              </w:r>
                            </w:hyperlink>
                          </w:p>
                          <w:p w14:paraId="67CEAFFA" w14:textId="19A484B1" w:rsidR="009464B6" w:rsidRPr="0092577E" w:rsidRDefault="009464B6" w:rsidP="009464B6">
                            <w:pPr>
                              <w:spacing w:after="0"/>
                              <w:jc w:val="right"/>
                              <w:rPr>
                                <w:rFonts w:ascii="Verdana" w:hAnsi="Verdana"/>
                                <w:sz w:val="20"/>
                                <w:szCs w:val="20"/>
                              </w:rPr>
                            </w:pPr>
                            <w:r>
                              <w:rPr>
                                <w:rFonts w:ascii="Verdana" w:hAnsi="Verdana"/>
                                <w:sz w:val="20"/>
                                <w:szCs w:val="20"/>
                              </w:rPr>
                              <w:t>Correo dependencia</w:t>
                            </w:r>
                            <w:r w:rsidR="008F0BFB">
                              <w:rPr>
                                <w:rFonts w:ascii="Verdana" w:hAnsi="Verdana"/>
                                <w:sz w:val="20"/>
                                <w:szCs w:val="20"/>
                              </w:rPr>
                              <w:t xml:space="preserve"> (O</w:t>
                            </w:r>
                            <w:r>
                              <w:rPr>
                                <w:rFonts w:ascii="Verdana" w:hAnsi="Verdana"/>
                                <w:sz w:val="20"/>
                                <w:szCs w:val="20"/>
                              </w:rPr>
                              <w:t>pcional</w:t>
                            </w:r>
                            <w:r w:rsidR="008F0BFB">
                              <w:rPr>
                                <w:rFonts w:ascii="Verdana" w:hAnsi="Verdan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5EB75" id="Cuadro de texto 1" o:spid="_x0000_s1029" type="#_x0000_t202" style="position:absolute;left:0;text-align:left;margin-left:162.5pt;margin-top:554.95pt;width:318.15pt;height:90.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" filled="f" stroked="f" strokeweight=".5pt">
                <v:textbox>
                  <w:txbxContent>
                    <w:p w14:paraId="0E88993C" w14:textId="77777777" w:rsidR="00BA65FB" w:rsidRPr="0092577E" w:rsidRDefault="00BA65FB" w:rsidP="009464B6">
                      <w:pPr>
                        <w:spacing w:after="0"/>
                        <w:jc w:val="right"/>
                        <w:rPr>
                          <w:rFonts w:ascii="Verdana" w:hAnsi="Verdana"/>
                          <w:b/>
                          <w:bCs/>
                          <w:sz w:val="20"/>
                          <w:szCs w:val="20"/>
                        </w:rPr>
                      </w:pPr>
                      <w:r w:rsidRPr="0092577E">
                        <w:rPr>
                          <w:rFonts w:ascii="Verdana" w:hAnsi="Verdana"/>
                          <w:b/>
                          <w:bCs/>
                          <w:sz w:val="20"/>
                          <w:szCs w:val="20"/>
                        </w:rPr>
                        <w:t>Ministerio de Hacienda y Crédito Público</w:t>
                      </w:r>
                    </w:p>
                    <w:p w14:paraId="296B502A" w14:textId="77777777" w:rsidR="00BA65FB" w:rsidRPr="0092577E" w:rsidRDefault="00BA65FB" w:rsidP="009464B6">
                      <w:pPr>
                        <w:spacing w:after="0"/>
                        <w:jc w:val="right"/>
                        <w:rPr>
                          <w:rFonts w:ascii="Verdana" w:hAnsi="Verdana"/>
                          <w:sz w:val="20"/>
                          <w:szCs w:val="20"/>
                        </w:rPr>
                      </w:pPr>
                      <w:r w:rsidRPr="0092577E">
                        <w:rPr>
                          <w:rFonts w:ascii="Verdana" w:hAnsi="Verdana"/>
                          <w:sz w:val="20"/>
                          <w:szCs w:val="20"/>
                        </w:rPr>
                        <w:t>Dirección: Carrera 8 No. 6C–38, Bogotá D.C., Colombia</w:t>
                      </w:r>
                    </w:p>
                    <w:p w14:paraId="14EF2C09" w14:textId="77777777" w:rsidR="00BA65FB" w:rsidRPr="0092577E" w:rsidRDefault="00BA65FB" w:rsidP="009464B6">
                      <w:pPr>
                        <w:spacing w:after="0"/>
                        <w:jc w:val="right"/>
                        <w:rPr>
                          <w:rFonts w:ascii="Verdana" w:hAnsi="Verdana"/>
                          <w:sz w:val="20"/>
                          <w:szCs w:val="20"/>
                        </w:rPr>
                      </w:pPr>
                      <w:r w:rsidRPr="0092577E">
                        <w:rPr>
                          <w:rFonts w:ascii="Verdana" w:hAnsi="Verdana"/>
                          <w:sz w:val="20"/>
                          <w:szCs w:val="20"/>
                        </w:rPr>
                        <w:t>Conmutador: (+57) 601 3 81 17 00</w:t>
                      </w:r>
                    </w:p>
                    <w:p w14:paraId="36790167" w14:textId="650C213B" w:rsidR="00BA65FB" w:rsidRPr="0092577E" w:rsidRDefault="00BA65FB" w:rsidP="009464B6">
                      <w:pPr>
                        <w:spacing w:after="0"/>
                        <w:jc w:val="right"/>
                        <w:rPr>
                          <w:rFonts w:ascii="Verdana" w:hAnsi="Verdana"/>
                          <w:sz w:val="20"/>
                          <w:szCs w:val="20"/>
                        </w:rPr>
                      </w:pPr>
                      <w:r w:rsidRPr="0092577E">
                        <w:rPr>
                          <w:rFonts w:ascii="Verdana" w:hAnsi="Verdana"/>
                          <w:sz w:val="20"/>
                          <w:szCs w:val="20"/>
                        </w:rPr>
                        <w:t>Línea Gratuita: (+57) 01 8000 910071</w:t>
                      </w:r>
                    </w:p>
                    <w:p w14:paraId="1D63B89D" w14:textId="1114D8D2" w:rsidR="00BA65FB" w:rsidRDefault="00BA65FB" w:rsidP="009464B6">
                      <w:pPr>
                        <w:spacing w:after="0"/>
                        <w:jc w:val="right"/>
                        <w:rPr>
                          <w:rFonts w:ascii="Verdana" w:hAnsi="Verdana"/>
                          <w:sz w:val="20"/>
                          <w:szCs w:val="20"/>
                        </w:rPr>
                      </w:pPr>
                      <w:r w:rsidRPr="0092577E">
                        <w:rPr>
                          <w:rFonts w:ascii="Verdana" w:hAnsi="Verdana"/>
                          <w:sz w:val="20"/>
                          <w:szCs w:val="20"/>
                        </w:rPr>
                        <w:t xml:space="preserve">Correo: </w:t>
                      </w:r>
                      <w:hyperlink r:id="rId18" w:history="1">
                        <w:r w:rsidRPr="0092577E">
                          <w:rPr>
                            <w:rFonts w:ascii="Verdana" w:hAnsi="Verdana"/>
                            <w:sz w:val="20"/>
                            <w:szCs w:val="20"/>
                          </w:rPr>
                          <w:t>relacionciudadano@minhacienda.gov.co</w:t>
                        </w:r>
                      </w:hyperlink>
                    </w:p>
                    <w:p w14:paraId="67CEAFFA" w14:textId="19A484B1" w:rsidR="009464B6" w:rsidRPr="0092577E" w:rsidRDefault="009464B6" w:rsidP="009464B6">
                      <w:pPr>
                        <w:spacing w:after="0"/>
                        <w:jc w:val="right"/>
                        <w:rPr>
                          <w:rFonts w:ascii="Verdana" w:hAnsi="Verdana"/>
                          <w:sz w:val="20"/>
                          <w:szCs w:val="20"/>
                        </w:rPr>
                      </w:pPr>
                      <w:r>
                        <w:rPr>
                          <w:rFonts w:ascii="Verdana" w:hAnsi="Verdana"/>
                          <w:sz w:val="20"/>
                          <w:szCs w:val="20"/>
                        </w:rPr>
                        <w:t>Correo dependencia</w:t>
                      </w:r>
                      <w:r w:rsidR="008F0BFB">
                        <w:rPr>
                          <w:rFonts w:ascii="Verdana" w:hAnsi="Verdana"/>
                          <w:sz w:val="20"/>
                          <w:szCs w:val="20"/>
                        </w:rPr>
                        <w:t xml:space="preserve"> (O</w:t>
                      </w:r>
                      <w:r>
                        <w:rPr>
                          <w:rFonts w:ascii="Verdana" w:hAnsi="Verdana"/>
                          <w:sz w:val="20"/>
                          <w:szCs w:val="20"/>
                        </w:rPr>
                        <w:t>pcional</w:t>
                      </w:r>
                      <w:r w:rsidR="008F0BFB">
                        <w:rPr>
                          <w:rFonts w:ascii="Verdana" w:hAnsi="Verdana"/>
                          <w:sz w:val="20"/>
                          <w:szCs w:val="20"/>
                        </w:rPr>
                        <w:t>)</w:t>
                      </w:r>
                    </w:p>
                  </w:txbxContent>
                </v:textbox>
                <w10:wrap anchorx="margin"/>
              </v:shape>
            </w:pict>
          </mc:Fallback>
        </mc:AlternateContent>
      </w:r>
    </w:p>
    <w:sectPr w:rsidR="0089045F" w:rsidRPr="00B056E5" w:rsidSect="000D0C65">
      <w:headerReference w:type="default" r:id="rId19"/>
      <w:pgSz w:w="12240" w:h="15840"/>
      <w:pgMar w:top="168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57538" w14:textId="77777777" w:rsidR="00FF6CD3" w:rsidRDefault="00FF6CD3" w:rsidP="00FF09A0">
      <w:pPr>
        <w:spacing w:after="0" w:line="240" w:lineRule="auto"/>
      </w:pPr>
      <w:r>
        <w:separator/>
      </w:r>
    </w:p>
  </w:endnote>
  <w:endnote w:type="continuationSeparator" w:id="0">
    <w:p w14:paraId="77D638B0" w14:textId="77777777" w:rsidR="00FF6CD3" w:rsidRDefault="00FF6CD3"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DBAA" w14:textId="77777777" w:rsidR="00354394" w:rsidRDefault="00354394" w:rsidP="00354394">
    <w:pPr>
      <w:pStyle w:val="Piedepgina"/>
      <w:rPr>
        <w:rFonts w:ascii="Arial Narrow" w:hAnsi="Arial Narrow"/>
        <w:sz w:val="16"/>
        <w:szCs w:val="16"/>
      </w:rPr>
    </w:pPr>
  </w:p>
  <w:p w14:paraId="3F0AF794" w14:textId="77777777" w:rsidR="00354394" w:rsidRDefault="00354394" w:rsidP="00354394">
    <w:pPr>
      <w:pStyle w:val="Piedepgina"/>
      <w:rPr>
        <w:rFonts w:ascii="Arial Narrow" w:hAnsi="Arial Narrow"/>
        <w:sz w:val="16"/>
        <w:szCs w:val="16"/>
      </w:rPr>
    </w:pPr>
  </w:p>
  <w:p w14:paraId="22C8B50B" w14:textId="600D3B80" w:rsidR="00354394" w:rsidRPr="00B272FD" w:rsidRDefault="00354394" w:rsidP="00354394">
    <w:pPr>
      <w:pStyle w:val="Piedepgina"/>
      <w:rPr>
        <w:lang w:val="en-US"/>
      </w:rPr>
    </w:pPr>
    <w:bookmarkStart w:id="0" w:name="_Hlk95389126"/>
  </w:p>
  <w:bookmarkEnd w:id="0"/>
  <w:p w14:paraId="7E0D367F" w14:textId="77777777" w:rsidR="00354394" w:rsidRDefault="003543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B783" w14:textId="77777777" w:rsidR="00FF6CD3" w:rsidRDefault="00FF6CD3" w:rsidP="00FF09A0">
      <w:pPr>
        <w:spacing w:after="0" w:line="240" w:lineRule="auto"/>
      </w:pPr>
      <w:r>
        <w:separator/>
      </w:r>
    </w:p>
  </w:footnote>
  <w:footnote w:type="continuationSeparator" w:id="0">
    <w:p w14:paraId="14678435" w14:textId="77777777" w:rsidR="00FF6CD3" w:rsidRDefault="00FF6CD3" w:rsidP="00FF09A0">
      <w:pPr>
        <w:spacing w:after="0" w:line="240" w:lineRule="auto"/>
      </w:pPr>
      <w:r>
        <w:continuationSeparator/>
      </w:r>
    </w:p>
  </w:footnote>
  <w:footnote w:id="1">
    <w:p w14:paraId="35C80D50" w14:textId="37BD367C" w:rsidR="00A84FA1" w:rsidRPr="00A84FA1" w:rsidRDefault="00A84FA1">
      <w:pPr>
        <w:pStyle w:val="Textonotapie"/>
        <w:rPr>
          <w:lang w:val="es-MX"/>
        </w:rPr>
      </w:pPr>
      <w:r>
        <w:rPr>
          <w:rStyle w:val="Refdenotaalpie"/>
        </w:rPr>
        <w:footnoteRef/>
      </w:r>
      <w:r>
        <w:t xml:space="preserve"> </w:t>
      </w:r>
      <w:r w:rsidRPr="00A84FA1">
        <w:rPr>
          <w:rFonts w:ascii="Verdana" w:hAnsi="Verdana"/>
          <w:sz w:val="16"/>
          <w:szCs w:val="16"/>
        </w:rPr>
        <w:t xml:space="preserve">Decreto 1122 de 2024 </w:t>
      </w:r>
      <w:r w:rsidRPr="00A84FA1">
        <w:rPr>
          <w:rFonts w:ascii="Verdana" w:hAnsi="Verdana" w:cs="Calibri Light"/>
          <w:sz w:val="16"/>
          <w:szCs w:val="16"/>
          <w:lang w:eastAsia="en-US"/>
        </w:rPr>
        <w:t>“Por el cual se reglamenta el artículo 73 de la Ley 1474 de 2011, modificado por el artículo 31 de la Ley 2195 de 2022, en lo relacionado con los Programas de Transparencia y Ética Pública.”</w:t>
      </w:r>
    </w:p>
  </w:footnote>
  <w:footnote w:id="2">
    <w:p w14:paraId="748AD35E" w14:textId="24C71820" w:rsidR="009B5BDF" w:rsidRPr="009B5BDF" w:rsidRDefault="009B5BDF">
      <w:pPr>
        <w:pStyle w:val="Textonotapie"/>
        <w:rPr>
          <w:rFonts w:ascii="Verdana" w:hAnsi="Verdana"/>
          <w:sz w:val="16"/>
          <w:szCs w:val="16"/>
          <w:lang w:val="es-MX"/>
        </w:rPr>
      </w:pPr>
      <w:r w:rsidRPr="009B5BDF">
        <w:rPr>
          <w:rStyle w:val="Refdenotaalpie"/>
          <w:rFonts w:ascii="Verdana" w:hAnsi="Verdana"/>
          <w:sz w:val="16"/>
          <w:szCs w:val="16"/>
        </w:rPr>
        <w:footnoteRef/>
      </w:r>
      <w:r w:rsidRPr="009B5BDF">
        <w:rPr>
          <w:rFonts w:ascii="Verdana" w:hAnsi="Verdana"/>
          <w:sz w:val="16"/>
          <w:szCs w:val="16"/>
        </w:rPr>
        <w:t xml:space="preserve"> </w:t>
      </w:r>
      <w:r w:rsidRPr="009B5BDF">
        <w:rPr>
          <w:rFonts w:ascii="Verdana" w:hAnsi="Verdana"/>
          <w:sz w:val="16"/>
          <w:szCs w:val="16"/>
          <w:lang w:val="es-MX"/>
        </w:rPr>
        <w:t xml:space="preserve">Anexo Técnico Programas de Transparencia y Ética Pública. Presidencia de la República – Secretaría de Transparencia. </w:t>
      </w:r>
    </w:p>
  </w:footnote>
  <w:footnote w:id="3">
    <w:p w14:paraId="4EB72D76" w14:textId="383B7674" w:rsidR="009B5BDF" w:rsidRPr="009B5BDF" w:rsidRDefault="009B5BDF" w:rsidP="009B5BDF">
      <w:pPr>
        <w:pStyle w:val="Textonotapie"/>
        <w:jc w:val="both"/>
        <w:rPr>
          <w:rFonts w:ascii="Verdana" w:hAnsi="Verdana"/>
          <w:sz w:val="16"/>
          <w:szCs w:val="16"/>
          <w:lang w:val="es-MX"/>
        </w:rPr>
      </w:pPr>
      <w:r w:rsidRPr="009B5BDF">
        <w:rPr>
          <w:rStyle w:val="Refdenotaalpie"/>
          <w:rFonts w:ascii="Verdana" w:hAnsi="Verdana"/>
          <w:sz w:val="16"/>
          <w:szCs w:val="16"/>
        </w:rPr>
        <w:footnoteRef/>
      </w:r>
      <w:r w:rsidRPr="009B5BDF">
        <w:rPr>
          <w:rFonts w:ascii="Verdana" w:hAnsi="Verdana"/>
          <w:sz w:val="16"/>
          <w:szCs w:val="16"/>
        </w:rPr>
        <w:t xml:space="preserve"> Formulario Único de Reporte de Avance de la Gestión (FURAG), instrumento del Departamento Administrativo de la Función Pública para evaluar la implementación del MIPG y el cumplimiento de las políticas de </w:t>
      </w:r>
      <w:r>
        <w:rPr>
          <w:rFonts w:ascii="Verdana" w:hAnsi="Verdana"/>
          <w:sz w:val="16"/>
          <w:szCs w:val="16"/>
        </w:rPr>
        <w:t>g</w:t>
      </w:r>
      <w:r w:rsidRPr="009B5BDF">
        <w:rPr>
          <w:rFonts w:ascii="Verdana" w:hAnsi="Verdana"/>
          <w:sz w:val="16"/>
          <w:szCs w:val="16"/>
        </w:rPr>
        <w:t>estión y desempeño institucional.</w:t>
      </w:r>
    </w:p>
  </w:footnote>
  <w:footnote w:id="4">
    <w:p w14:paraId="515B719F" w14:textId="69FD9A86" w:rsidR="00E563B7" w:rsidRPr="00E563B7" w:rsidRDefault="00E563B7" w:rsidP="00E563B7">
      <w:pPr>
        <w:pStyle w:val="Textonotapie"/>
        <w:jc w:val="both"/>
        <w:rPr>
          <w:rFonts w:ascii="Verdana" w:hAnsi="Verdana"/>
          <w:sz w:val="16"/>
          <w:szCs w:val="16"/>
          <w:lang w:val="es-MX"/>
        </w:rPr>
      </w:pPr>
      <w:r w:rsidRPr="00E563B7">
        <w:rPr>
          <w:rStyle w:val="Refdenotaalpie"/>
          <w:rFonts w:ascii="Verdana" w:hAnsi="Verdana"/>
          <w:sz w:val="16"/>
          <w:szCs w:val="16"/>
        </w:rPr>
        <w:footnoteRef/>
      </w:r>
      <w:r w:rsidRPr="00E563B7">
        <w:rPr>
          <w:rFonts w:ascii="Verdana" w:hAnsi="Verdana"/>
          <w:sz w:val="16"/>
          <w:szCs w:val="16"/>
        </w:rPr>
        <w:t xml:space="preserve"> </w:t>
      </w:r>
      <w:r w:rsidRPr="00E563B7">
        <w:rPr>
          <w:rFonts w:ascii="Verdana" w:hAnsi="Verdana"/>
          <w:b/>
          <w:bCs/>
          <w:sz w:val="16"/>
          <w:szCs w:val="16"/>
        </w:rPr>
        <w:t>Ley 1712 de 2014</w:t>
      </w:r>
      <w:r w:rsidRPr="00E563B7">
        <w:rPr>
          <w:rFonts w:ascii="Verdana" w:hAnsi="Verdana"/>
          <w:sz w:val="16"/>
          <w:szCs w:val="16"/>
        </w:rPr>
        <w:t xml:space="preserve">: Por la cual se </w:t>
      </w:r>
      <w:r w:rsidR="00466831">
        <w:rPr>
          <w:rFonts w:ascii="Verdana" w:hAnsi="Verdana"/>
          <w:sz w:val="16"/>
          <w:szCs w:val="16"/>
        </w:rPr>
        <w:t>reglamenta</w:t>
      </w:r>
      <w:r w:rsidRPr="00E563B7">
        <w:rPr>
          <w:rFonts w:ascii="Verdana" w:hAnsi="Verdana"/>
          <w:sz w:val="16"/>
          <w:szCs w:val="16"/>
        </w:rPr>
        <w:t xml:space="preserve"> la Ley de Transparencia y del Derecho de Acceso a la Información Pública Nacional. Esta norma establece los principios y procedimientos para garantizar el derecho de acceso a la información pública, promoviendo la transparencia activa y pasiva en las entidades del Estado.</w:t>
      </w:r>
    </w:p>
  </w:footnote>
  <w:footnote w:id="5">
    <w:p w14:paraId="1D2AF785" w14:textId="64A072AE" w:rsidR="00E563B7" w:rsidRPr="00E563B7" w:rsidRDefault="00E563B7" w:rsidP="00E563B7">
      <w:pPr>
        <w:pStyle w:val="Textonotapie"/>
        <w:jc w:val="both"/>
        <w:rPr>
          <w:rFonts w:ascii="Verdana" w:hAnsi="Verdana"/>
          <w:sz w:val="16"/>
          <w:szCs w:val="16"/>
          <w:lang w:val="es-MX"/>
        </w:rPr>
      </w:pPr>
      <w:r w:rsidRPr="00E563B7">
        <w:rPr>
          <w:rStyle w:val="Refdenotaalpie"/>
          <w:rFonts w:ascii="Verdana" w:hAnsi="Verdana"/>
          <w:sz w:val="16"/>
          <w:szCs w:val="16"/>
        </w:rPr>
        <w:footnoteRef/>
      </w:r>
      <w:r w:rsidRPr="00E563B7">
        <w:rPr>
          <w:rFonts w:ascii="Verdana" w:hAnsi="Verdana"/>
          <w:sz w:val="16"/>
          <w:szCs w:val="16"/>
        </w:rPr>
        <w:t xml:space="preserve"> Según la definición del Estatuto Anticorrupción (Ley 1474 de 2011), la corrupción comprende prácticas ilegales que afectan la función pública, tales como el soborno, el peculado o el conflicto de intereses.</w:t>
      </w:r>
    </w:p>
  </w:footnote>
  <w:footnote w:id="6">
    <w:p w14:paraId="45C34588" w14:textId="38C435B7" w:rsidR="00E563B7" w:rsidRPr="00936C41" w:rsidRDefault="00E563B7" w:rsidP="00936C41">
      <w:pPr>
        <w:pStyle w:val="Textonotapie"/>
        <w:jc w:val="both"/>
        <w:rPr>
          <w:rFonts w:ascii="Verdana" w:hAnsi="Verdana"/>
          <w:sz w:val="16"/>
          <w:szCs w:val="16"/>
          <w:lang w:val="es-MX"/>
        </w:rPr>
      </w:pPr>
      <w:r w:rsidRPr="00936C41">
        <w:rPr>
          <w:rStyle w:val="Refdenotaalpie"/>
          <w:rFonts w:ascii="Verdana" w:hAnsi="Verdana"/>
          <w:sz w:val="16"/>
          <w:szCs w:val="16"/>
        </w:rPr>
        <w:footnoteRef/>
      </w:r>
      <w:r w:rsidRPr="00936C41">
        <w:rPr>
          <w:rFonts w:ascii="Verdana" w:hAnsi="Verdana"/>
          <w:sz w:val="16"/>
          <w:szCs w:val="16"/>
        </w:rPr>
        <w:t xml:space="preserve"> Instrumento administrado por el Departamento Administrativo de la Función Pública (DAFP) para medir la implementación del Modelo Integrado de Planeación y Gestión – MIPG.</w:t>
      </w:r>
    </w:p>
  </w:footnote>
  <w:footnote w:id="7">
    <w:p w14:paraId="469E2AFD" w14:textId="4EAFC01B" w:rsidR="00936C41" w:rsidRPr="00936C41" w:rsidRDefault="00936C41" w:rsidP="00936C41">
      <w:pPr>
        <w:pStyle w:val="Textonotapie"/>
        <w:jc w:val="both"/>
        <w:rPr>
          <w:rFonts w:ascii="Verdana" w:hAnsi="Verdana"/>
          <w:sz w:val="16"/>
          <w:szCs w:val="16"/>
          <w:lang w:val="es-MX"/>
        </w:rPr>
      </w:pPr>
      <w:r w:rsidRPr="00936C41">
        <w:rPr>
          <w:rStyle w:val="Refdenotaalpie"/>
          <w:rFonts w:ascii="Verdana" w:hAnsi="Verdana"/>
          <w:sz w:val="16"/>
          <w:szCs w:val="16"/>
        </w:rPr>
        <w:footnoteRef/>
      </w:r>
      <w:r w:rsidRPr="00936C41">
        <w:rPr>
          <w:rFonts w:ascii="Verdana" w:hAnsi="Verdana"/>
          <w:sz w:val="16"/>
          <w:szCs w:val="16"/>
        </w:rPr>
        <w:t xml:space="preserve"> Decreto </w:t>
      </w:r>
      <w:r w:rsidR="00117ACB">
        <w:rPr>
          <w:rFonts w:ascii="Verdana" w:hAnsi="Verdana"/>
          <w:sz w:val="16"/>
          <w:szCs w:val="16"/>
        </w:rPr>
        <w:t>1499</w:t>
      </w:r>
      <w:r w:rsidRPr="00936C41">
        <w:rPr>
          <w:rFonts w:ascii="Verdana" w:hAnsi="Verdana"/>
          <w:sz w:val="16"/>
          <w:szCs w:val="16"/>
        </w:rPr>
        <w:t xml:space="preserve"> de 201</w:t>
      </w:r>
      <w:r w:rsidR="00117ACB">
        <w:rPr>
          <w:rFonts w:ascii="Verdana" w:hAnsi="Verdana"/>
          <w:sz w:val="16"/>
          <w:szCs w:val="16"/>
        </w:rPr>
        <w:t>7</w:t>
      </w:r>
      <w:r w:rsidRPr="00936C41">
        <w:rPr>
          <w:rFonts w:ascii="Verdana" w:hAnsi="Verdana"/>
          <w:sz w:val="16"/>
          <w:szCs w:val="16"/>
        </w:rPr>
        <w:t xml:space="preserve">. “Por el cual se </w:t>
      </w:r>
      <w:r w:rsidR="00117ACB">
        <w:rPr>
          <w:rFonts w:ascii="Verdana" w:hAnsi="Verdana"/>
          <w:sz w:val="16"/>
          <w:szCs w:val="16"/>
        </w:rPr>
        <w:t xml:space="preserve">reglamenta </w:t>
      </w:r>
      <w:r w:rsidR="00117ACB" w:rsidRPr="00117ACB">
        <w:rPr>
          <w:rFonts w:ascii="Verdana" w:hAnsi="Verdana"/>
          <w:sz w:val="16"/>
          <w:szCs w:val="16"/>
        </w:rPr>
        <w:t>el alcance del Sistema de Gestión y su articulación con el Sistema de Control Interno, fija su objeto y determina su composición.</w:t>
      </w:r>
      <w:r w:rsidRPr="00936C41">
        <w:rPr>
          <w:rFonts w:ascii="Verdana" w:hAnsi="Verdana"/>
          <w:sz w:val="16"/>
          <w:szCs w:val="16"/>
        </w:rPr>
        <w:t>”.</w:t>
      </w:r>
    </w:p>
  </w:footnote>
  <w:footnote w:id="8">
    <w:p w14:paraId="2CD52618" w14:textId="25757DC4" w:rsidR="00936C41" w:rsidRPr="00936C41" w:rsidRDefault="00936C41" w:rsidP="00936C41">
      <w:pPr>
        <w:pStyle w:val="Textonotapie"/>
        <w:jc w:val="both"/>
        <w:rPr>
          <w:rFonts w:ascii="Verdana" w:hAnsi="Verdana"/>
          <w:sz w:val="16"/>
          <w:szCs w:val="16"/>
          <w:lang w:val="es-MX"/>
        </w:rPr>
      </w:pPr>
      <w:r w:rsidRPr="00936C41">
        <w:rPr>
          <w:rStyle w:val="Refdenotaalpie"/>
          <w:rFonts w:ascii="Verdana" w:hAnsi="Verdana"/>
          <w:sz w:val="16"/>
          <w:szCs w:val="16"/>
        </w:rPr>
        <w:footnoteRef/>
      </w:r>
      <w:r w:rsidRPr="00936C41">
        <w:rPr>
          <w:rFonts w:ascii="Verdana" w:hAnsi="Verdana"/>
          <w:sz w:val="16"/>
          <w:szCs w:val="16"/>
        </w:rPr>
        <w:t xml:space="preserve"> Ley 1757 de 2015. “Por la cual se dictan disposiciones en materia de promoción y protección del derecho a la participación democrática”.</w:t>
      </w:r>
    </w:p>
  </w:footnote>
  <w:footnote w:id="9">
    <w:p w14:paraId="21E5B0E9" w14:textId="568FD98D" w:rsidR="00936C41" w:rsidRPr="00936C41" w:rsidRDefault="00936C41" w:rsidP="00936C41">
      <w:pPr>
        <w:pStyle w:val="Textonotapie"/>
        <w:jc w:val="both"/>
        <w:rPr>
          <w:lang w:val="es-MX"/>
        </w:rPr>
      </w:pPr>
      <w:r w:rsidRPr="00936C41">
        <w:rPr>
          <w:rStyle w:val="Refdenotaalpie"/>
          <w:rFonts w:ascii="Verdana" w:hAnsi="Verdana"/>
          <w:sz w:val="16"/>
          <w:szCs w:val="16"/>
        </w:rPr>
        <w:footnoteRef/>
      </w:r>
      <w:r w:rsidRPr="00936C41">
        <w:rPr>
          <w:rFonts w:ascii="Verdana" w:hAnsi="Verdana"/>
          <w:sz w:val="16"/>
          <w:szCs w:val="16"/>
        </w:rPr>
        <w:t xml:space="preserve"> Basado en los lineamientos de la Dimensión 3 del MIPG: Gestión con valores para resultados, y la Política de Rendición de Cuentas del DAFP.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91EB" w14:textId="344B4A58" w:rsidR="00DB369A" w:rsidRPr="00DB369A" w:rsidRDefault="00DB369A" w:rsidP="00DB369A">
    <w:pPr>
      <w:pStyle w:val="Encabezado"/>
    </w:pPr>
  </w:p>
  <w:tbl>
    <w:tblPr>
      <w:tblW w:w="9640" w:type="dxa"/>
      <w:tblInd w:w="-431" w:type="dxa"/>
      <w:tblCellMar>
        <w:left w:w="70" w:type="dxa"/>
        <w:right w:w="70" w:type="dxa"/>
      </w:tblCellMar>
      <w:tblLook w:val="04A0" w:firstRow="1" w:lastRow="0" w:firstColumn="1" w:lastColumn="0" w:noHBand="0" w:noVBand="1"/>
    </w:tblPr>
    <w:tblGrid>
      <w:gridCol w:w="1277"/>
      <w:gridCol w:w="2126"/>
      <w:gridCol w:w="160"/>
      <w:gridCol w:w="995"/>
      <w:gridCol w:w="968"/>
      <w:gridCol w:w="166"/>
      <w:gridCol w:w="263"/>
      <w:gridCol w:w="160"/>
      <w:gridCol w:w="974"/>
      <w:gridCol w:w="567"/>
      <w:gridCol w:w="160"/>
      <w:gridCol w:w="832"/>
      <w:gridCol w:w="992"/>
    </w:tblGrid>
    <w:tr w:rsidR="00DB369A" w:rsidRPr="00DB369A" w14:paraId="6976D5D7" w14:textId="77777777" w:rsidTr="007E3DC4">
      <w:trPr>
        <w:trHeight w:val="983"/>
      </w:trPr>
      <w:tc>
        <w:tcPr>
          <w:tcW w:w="1277" w:type="dxa"/>
          <w:tcBorders>
            <w:top w:val="single" w:sz="4" w:space="0" w:color="auto"/>
            <w:left w:val="single" w:sz="4" w:space="0" w:color="auto"/>
            <w:bottom w:val="single" w:sz="4" w:space="0" w:color="auto"/>
            <w:right w:val="single" w:sz="4" w:space="0" w:color="auto"/>
          </w:tcBorders>
          <w:noWrap/>
          <w:vAlign w:val="center"/>
          <w:hideMark/>
        </w:tcPr>
        <w:p w14:paraId="630CCCE5" w14:textId="3738A5F3" w:rsidR="00DB369A" w:rsidRPr="00DB369A" w:rsidRDefault="00DB369A" w:rsidP="00DB369A">
          <w:pPr>
            <w:spacing w:after="0" w:line="240" w:lineRule="auto"/>
            <w:rPr>
              <w:rFonts w:ascii="Verdana" w:eastAsia="Times New Roman" w:hAnsi="Verdana" w:cs="Calibri"/>
              <w:color w:val="000000"/>
              <w:sz w:val="18"/>
              <w:szCs w:val="18"/>
              <w:lang w:eastAsia="es-MX"/>
            </w:rPr>
          </w:pPr>
          <w:r>
            <w:rPr>
              <w:rFonts w:ascii="Calibri" w:eastAsia="Times New Roman" w:hAnsi="Calibri" w:cs="Calibri"/>
              <w:noProof/>
              <w:color w:val="000000"/>
              <w:sz w:val="24"/>
              <w:szCs w:val="24"/>
              <w:lang w:eastAsia="es-MX"/>
            </w:rPr>
            <w:drawing>
              <wp:anchor distT="0" distB="0" distL="114300" distR="114300" simplePos="0" relativeHeight="251659264" behindDoc="0" locked="0" layoutInCell="1" allowOverlap="1" wp14:anchorId="6AF6A539" wp14:editId="2AD75245">
                <wp:simplePos x="0" y="0"/>
                <wp:positionH relativeFrom="column">
                  <wp:posOffset>33655</wp:posOffset>
                </wp:positionH>
                <wp:positionV relativeFrom="paragraph">
                  <wp:posOffset>-8255</wp:posOffset>
                </wp:positionV>
                <wp:extent cx="645160" cy="460375"/>
                <wp:effectExtent l="0" t="0" r="2540" b="0"/>
                <wp:wrapNone/>
                <wp:docPr id="1575903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03420" name="Imagen 1575903420"/>
                        <pic:cNvPicPr/>
                      </pic:nvPicPr>
                      <pic:blipFill>
                        <a:blip r:embed="rId1">
                          <a:extLst>
                            <a:ext uri="{28A0092B-C50C-407E-A947-70E740481C1C}">
                              <a14:useLocalDpi xmlns:a14="http://schemas.microsoft.com/office/drawing/2010/main" val="0"/>
                            </a:ext>
                          </a:extLst>
                        </a:blip>
                        <a:stretch>
                          <a:fillRect/>
                        </a:stretch>
                      </pic:blipFill>
                      <pic:spPr>
                        <a:xfrm>
                          <a:off x="0" y="0"/>
                          <a:ext cx="645160" cy="460375"/>
                        </a:xfrm>
                        <a:prstGeom prst="rect">
                          <a:avLst/>
                        </a:prstGeom>
                      </pic:spPr>
                    </pic:pic>
                  </a:graphicData>
                </a:graphic>
                <wp14:sizeRelH relativeFrom="page">
                  <wp14:pctWidth>0</wp14:pctWidth>
                </wp14:sizeRelH>
                <wp14:sizeRelV relativeFrom="page">
                  <wp14:pctHeight>0</wp14:pctHeight>
                </wp14:sizeRelV>
              </wp:anchor>
            </w:drawing>
          </w:r>
          <w:r w:rsidRPr="00DB369A">
            <w:rPr>
              <w:rFonts w:ascii="Verdana" w:eastAsia="Times New Roman" w:hAnsi="Verdana" w:cs="Calibri"/>
              <w:color w:val="000000"/>
              <w:sz w:val="18"/>
              <w:szCs w:val="18"/>
              <w:lang w:eastAsia="es-MX"/>
            </w:rPr>
            <w:t> </w:t>
          </w:r>
        </w:p>
      </w:tc>
      <w:tc>
        <w:tcPr>
          <w:tcW w:w="8363" w:type="dxa"/>
          <w:gridSpan w:val="12"/>
          <w:tcBorders>
            <w:top w:val="single" w:sz="4" w:space="0" w:color="auto"/>
            <w:left w:val="nil"/>
            <w:bottom w:val="single" w:sz="4" w:space="0" w:color="auto"/>
            <w:right w:val="single" w:sz="4" w:space="0" w:color="000000"/>
          </w:tcBorders>
          <w:noWrap/>
          <w:vAlign w:val="center"/>
          <w:hideMark/>
        </w:tcPr>
        <w:p w14:paraId="7D1D55F0" w14:textId="0A2BA11C" w:rsidR="00DB369A" w:rsidRPr="00F9091F" w:rsidRDefault="00DB369A" w:rsidP="00DB369A">
          <w:pPr>
            <w:spacing w:after="0" w:line="240" w:lineRule="auto"/>
            <w:jc w:val="center"/>
            <w:rPr>
              <w:rFonts w:ascii="Verdana" w:eastAsia="Times New Roman" w:hAnsi="Verdana" w:cs="Calibri"/>
              <w:b/>
              <w:bCs/>
              <w:color w:val="000000"/>
              <w:sz w:val="24"/>
              <w:szCs w:val="24"/>
              <w:lang w:eastAsia="es-MX"/>
            </w:rPr>
          </w:pPr>
          <w:r w:rsidRPr="00DB369A">
            <w:rPr>
              <w:rFonts w:ascii="Verdana" w:eastAsia="Times New Roman" w:hAnsi="Verdana" w:cs="Calibri"/>
              <w:color w:val="000000"/>
              <w:sz w:val="24"/>
              <w:szCs w:val="24"/>
              <w:lang w:eastAsia="es-MX"/>
            </w:rPr>
            <w:t> </w:t>
          </w:r>
          <w:r w:rsidR="00F9091F" w:rsidRPr="00F9091F">
            <w:rPr>
              <w:rFonts w:ascii="Verdana" w:eastAsia="Times New Roman" w:hAnsi="Verdana" w:cs="Calibri"/>
              <w:b/>
              <w:bCs/>
              <w:color w:val="000000"/>
              <w:sz w:val="24"/>
              <w:szCs w:val="24"/>
              <w:lang w:eastAsia="es-MX"/>
            </w:rPr>
            <w:t>Título</w:t>
          </w:r>
        </w:p>
      </w:tc>
    </w:tr>
    <w:tr w:rsidR="00DB6799" w:rsidRPr="00DB369A" w14:paraId="3AC3CDB6" w14:textId="77777777" w:rsidTr="007E3DC4">
      <w:trPr>
        <w:trHeight w:val="120"/>
      </w:trPr>
      <w:tc>
        <w:tcPr>
          <w:tcW w:w="1277" w:type="dxa"/>
          <w:tcBorders>
            <w:top w:val="nil"/>
            <w:left w:val="nil"/>
            <w:bottom w:val="nil"/>
            <w:right w:val="nil"/>
          </w:tcBorders>
          <w:noWrap/>
          <w:vAlign w:val="center"/>
          <w:hideMark/>
        </w:tcPr>
        <w:p w14:paraId="0EF68A7A" w14:textId="77777777" w:rsidR="00DB369A" w:rsidRPr="00DB369A" w:rsidRDefault="00DB369A" w:rsidP="00DB369A">
          <w:pPr>
            <w:spacing w:after="0" w:line="240" w:lineRule="auto"/>
            <w:jc w:val="center"/>
            <w:rPr>
              <w:rFonts w:ascii="Verdana" w:eastAsia="Times New Roman" w:hAnsi="Verdana" w:cs="Calibri"/>
              <w:color w:val="000000"/>
              <w:sz w:val="24"/>
              <w:szCs w:val="24"/>
              <w:lang w:eastAsia="es-MX"/>
            </w:rPr>
          </w:pPr>
        </w:p>
      </w:tc>
      <w:tc>
        <w:tcPr>
          <w:tcW w:w="2126" w:type="dxa"/>
          <w:tcBorders>
            <w:top w:val="nil"/>
            <w:left w:val="nil"/>
            <w:bottom w:val="nil"/>
            <w:right w:val="nil"/>
          </w:tcBorders>
          <w:noWrap/>
          <w:vAlign w:val="center"/>
          <w:hideMark/>
        </w:tcPr>
        <w:p w14:paraId="232B16FB"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noWrap/>
          <w:vAlign w:val="center"/>
          <w:hideMark/>
        </w:tcPr>
        <w:p w14:paraId="471D588D"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95" w:type="dxa"/>
          <w:tcBorders>
            <w:top w:val="nil"/>
            <w:left w:val="nil"/>
            <w:bottom w:val="nil"/>
            <w:right w:val="nil"/>
          </w:tcBorders>
          <w:noWrap/>
          <w:vAlign w:val="center"/>
          <w:hideMark/>
        </w:tcPr>
        <w:p w14:paraId="4BDAE9FF"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68" w:type="dxa"/>
          <w:tcBorders>
            <w:top w:val="nil"/>
            <w:left w:val="nil"/>
            <w:bottom w:val="nil"/>
            <w:right w:val="nil"/>
          </w:tcBorders>
          <w:noWrap/>
          <w:vAlign w:val="center"/>
          <w:hideMark/>
        </w:tcPr>
        <w:p w14:paraId="284FAE22"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6" w:type="dxa"/>
          <w:tcBorders>
            <w:top w:val="nil"/>
            <w:left w:val="nil"/>
            <w:bottom w:val="nil"/>
            <w:right w:val="nil"/>
          </w:tcBorders>
          <w:noWrap/>
          <w:vAlign w:val="center"/>
          <w:hideMark/>
        </w:tcPr>
        <w:p w14:paraId="13D827AB"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397" w:type="dxa"/>
          <w:gridSpan w:val="3"/>
          <w:tcBorders>
            <w:top w:val="nil"/>
            <w:left w:val="nil"/>
            <w:bottom w:val="nil"/>
            <w:right w:val="nil"/>
          </w:tcBorders>
          <w:noWrap/>
          <w:vAlign w:val="center"/>
          <w:hideMark/>
        </w:tcPr>
        <w:p w14:paraId="66769260"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567" w:type="dxa"/>
          <w:tcBorders>
            <w:top w:val="nil"/>
            <w:left w:val="nil"/>
            <w:bottom w:val="nil"/>
            <w:right w:val="nil"/>
          </w:tcBorders>
          <w:noWrap/>
          <w:vAlign w:val="center"/>
          <w:hideMark/>
        </w:tcPr>
        <w:p w14:paraId="6DDA631C"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noWrap/>
          <w:vAlign w:val="center"/>
          <w:hideMark/>
        </w:tcPr>
        <w:p w14:paraId="6E191B23"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832" w:type="dxa"/>
          <w:tcBorders>
            <w:top w:val="nil"/>
            <w:left w:val="nil"/>
            <w:bottom w:val="nil"/>
            <w:right w:val="nil"/>
          </w:tcBorders>
          <w:noWrap/>
          <w:vAlign w:val="center"/>
          <w:hideMark/>
        </w:tcPr>
        <w:p w14:paraId="5432F231"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92" w:type="dxa"/>
          <w:tcBorders>
            <w:top w:val="nil"/>
            <w:left w:val="nil"/>
            <w:bottom w:val="nil"/>
            <w:right w:val="nil"/>
          </w:tcBorders>
          <w:noWrap/>
          <w:vAlign w:val="center"/>
          <w:hideMark/>
        </w:tcPr>
        <w:p w14:paraId="418231F8"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r>
    <w:tr w:rsidR="00DB6799" w:rsidRPr="00DB369A" w14:paraId="72C614F4" w14:textId="77777777" w:rsidTr="007E3DC4">
      <w:trPr>
        <w:trHeight w:val="200"/>
      </w:trPr>
      <w:tc>
        <w:tcPr>
          <w:tcW w:w="1277" w:type="dxa"/>
          <w:tcBorders>
            <w:top w:val="single" w:sz="4" w:space="0" w:color="auto"/>
            <w:left w:val="single" w:sz="4" w:space="0" w:color="auto"/>
            <w:bottom w:val="single" w:sz="4" w:space="0" w:color="auto"/>
            <w:right w:val="single" w:sz="4" w:space="0" w:color="auto"/>
          </w:tcBorders>
          <w:noWrap/>
          <w:vAlign w:val="center"/>
          <w:hideMark/>
        </w:tcPr>
        <w:p w14:paraId="04B79810"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Código:</w:t>
          </w:r>
        </w:p>
      </w:tc>
      <w:tc>
        <w:tcPr>
          <w:tcW w:w="2126" w:type="dxa"/>
          <w:tcBorders>
            <w:top w:val="single" w:sz="4" w:space="0" w:color="auto"/>
            <w:left w:val="nil"/>
            <w:bottom w:val="single" w:sz="4" w:space="0" w:color="auto"/>
            <w:right w:val="single" w:sz="4" w:space="0" w:color="auto"/>
          </w:tcBorders>
          <w:noWrap/>
          <w:vAlign w:val="center"/>
          <w:hideMark/>
        </w:tcPr>
        <w:p w14:paraId="1251423B" w14:textId="17A0CD09"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noWrap/>
          <w:vAlign w:val="center"/>
          <w:hideMark/>
        </w:tcPr>
        <w:p w14:paraId="52668F8C" w14:textId="5D4393A6"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14:paraId="439DDDF4"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Fecha:</w:t>
          </w:r>
        </w:p>
      </w:tc>
      <w:tc>
        <w:tcPr>
          <w:tcW w:w="1397" w:type="dxa"/>
          <w:gridSpan w:val="3"/>
          <w:tcBorders>
            <w:top w:val="single" w:sz="4" w:space="0" w:color="auto"/>
            <w:left w:val="nil"/>
            <w:bottom w:val="single" w:sz="4" w:space="0" w:color="auto"/>
            <w:right w:val="single" w:sz="4" w:space="0" w:color="auto"/>
          </w:tcBorders>
          <w:noWrap/>
          <w:vAlign w:val="center"/>
          <w:hideMark/>
        </w:tcPr>
        <w:p w14:paraId="1A58A94B" w14:textId="217BE6FA"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noWrap/>
          <w:vAlign w:val="center"/>
          <w:hideMark/>
        </w:tcPr>
        <w:p w14:paraId="566358F1" w14:textId="77777777"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974" w:type="dxa"/>
          <w:tcBorders>
            <w:top w:val="single" w:sz="4" w:space="0" w:color="auto"/>
            <w:left w:val="single" w:sz="4" w:space="0" w:color="auto"/>
            <w:bottom w:val="single" w:sz="4" w:space="0" w:color="auto"/>
            <w:right w:val="single" w:sz="4" w:space="0" w:color="auto"/>
          </w:tcBorders>
          <w:noWrap/>
          <w:vAlign w:val="center"/>
          <w:hideMark/>
        </w:tcPr>
        <w:p w14:paraId="3C580652"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Versión:</w:t>
          </w:r>
        </w:p>
      </w:tc>
      <w:tc>
        <w:tcPr>
          <w:tcW w:w="567" w:type="dxa"/>
          <w:tcBorders>
            <w:top w:val="single" w:sz="4" w:space="0" w:color="auto"/>
            <w:left w:val="nil"/>
            <w:bottom w:val="single" w:sz="4" w:space="0" w:color="auto"/>
            <w:right w:val="single" w:sz="4" w:space="0" w:color="auto"/>
          </w:tcBorders>
          <w:noWrap/>
          <w:vAlign w:val="center"/>
          <w:hideMark/>
        </w:tcPr>
        <w:p w14:paraId="17F7396E" w14:textId="2958CA5B"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noWrap/>
          <w:vAlign w:val="center"/>
          <w:hideMark/>
        </w:tcPr>
        <w:p w14:paraId="0262E8F0" w14:textId="77777777"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832" w:type="dxa"/>
          <w:tcBorders>
            <w:top w:val="single" w:sz="4" w:space="0" w:color="auto"/>
            <w:left w:val="single" w:sz="4" w:space="0" w:color="auto"/>
            <w:bottom w:val="single" w:sz="4" w:space="0" w:color="auto"/>
            <w:right w:val="single" w:sz="4" w:space="0" w:color="auto"/>
          </w:tcBorders>
          <w:noWrap/>
          <w:vAlign w:val="center"/>
          <w:hideMark/>
        </w:tcPr>
        <w:p w14:paraId="278EE69A"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Página:</w:t>
          </w:r>
        </w:p>
      </w:tc>
      <w:tc>
        <w:tcPr>
          <w:tcW w:w="992" w:type="dxa"/>
          <w:tcBorders>
            <w:top w:val="single" w:sz="4" w:space="0" w:color="auto"/>
            <w:left w:val="nil"/>
            <w:bottom w:val="single" w:sz="4" w:space="0" w:color="auto"/>
            <w:right w:val="single" w:sz="4" w:space="0" w:color="auto"/>
          </w:tcBorders>
          <w:noWrap/>
          <w:vAlign w:val="center"/>
          <w:hideMark/>
        </w:tcPr>
        <w:p w14:paraId="30316A41" w14:textId="5E75D760"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Pr="00DB6799">
            <w:rPr>
              <w:rFonts w:ascii="Verdana" w:eastAsia="Times New Roman" w:hAnsi="Verdana" w:cs="Calibri"/>
              <w:color w:val="000000"/>
              <w:sz w:val="16"/>
              <w:szCs w:val="16"/>
              <w:lang w:eastAsia="es-MX"/>
            </w:rPr>
            <w:fldChar w:fldCharType="begin"/>
          </w:r>
          <w:r w:rsidRPr="00DB6799">
            <w:rPr>
              <w:rFonts w:ascii="Verdana" w:eastAsia="Times New Roman" w:hAnsi="Verdana" w:cs="Calibri"/>
              <w:color w:val="000000"/>
              <w:sz w:val="16"/>
              <w:szCs w:val="16"/>
              <w:lang w:eastAsia="es-MX"/>
            </w:rPr>
            <w:instrText>PAGE  \* Arabic  \* MERGEFORMAT</w:instrText>
          </w:r>
          <w:r w:rsidRPr="00DB6799">
            <w:rPr>
              <w:rFonts w:ascii="Verdana" w:eastAsia="Times New Roman" w:hAnsi="Verdana" w:cs="Calibri"/>
              <w:color w:val="000000"/>
              <w:sz w:val="16"/>
              <w:szCs w:val="16"/>
              <w:lang w:eastAsia="es-MX"/>
            </w:rPr>
            <w:fldChar w:fldCharType="separate"/>
          </w:r>
          <w:r w:rsidRPr="00DB6799">
            <w:rPr>
              <w:rFonts w:ascii="Verdana" w:eastAsia="Times New Roman" w:hAnsi="Verdana" w:cs="Calibri"/>
              <w:color w:val="000000"/>
              <w:sz w:val="16"/>
              <w:szCs w:val="16"/>
              <w:lang w:eastAsia="es-MX"/>
            </w:rPr>
            <w:t>1</w:t>
          </w:r>
          <w:r w:rsidRPr="00DB6799">
            <w:rPr>
              <w:rFonts w:ascii="Verdana" w:eastAsia="Times New Roman" w:hAnsi="Verdana" w:cs="Calibri"/>
              <w:color w:val="000000"/>
              <w:sz w:val="16"/>
              <w:szCs w:val="16"/>
              <w:lang w:eastAsia="es-MX"/>
            </w:rPr>
            <w:fldChar w:fldCharType="end"/>
          </w:r>
          <w:r w:rsidRPr="00DB6799">
            <w:rPr>
              <w:rFonts w:ascii="Verdana" w:eastAsia="Times New Roman" w:hAnsi="Verdana" w:cs="Calibri"/>
              <w:color w:val="000000"/>
              <w:sz w:val="16"/>
              <w:szCs w:val="16"/>
              <w:lang w:eastAsia="es-MX"/>
            </w:rPr>
            <w:t xml:space="preserve"> de </w:t>
          </w:r>
          <w:r w:rsidRPr="00DB6799">
            <w:rPr>
              <w:rFonts w:ascii="Verdana" w:eastAsia="Times New Roman" w:hAnsi="Verdana" w:cs="Calibri"/>
              <w:color w:val="000000"/>
              <w:sz w:val="16"/>
              <w:szCs w:val="16"/>
              <w:lang w:eastAsia="es-MX"/>
            </w:rPr>
            <w:fldChar w:fldCharType="begin"/>
          </w:r>
          <w:r w:rsidRPr="00DB6799">
            <w:rPr>
              <w:rFonts w:ascii="Verdana" w:eastAsia="Times New Roman" w:hAnsi="Verdana" w:cs="Calibri"/>
              <w:color w:val="000000"/>
              <w:sz w:val="16"/>
              <w:szCs w:val="16"/>
              <w:lang w:eastAsia="es-MX"/>
            </w:rPr>
            <w:instrText>NUMPAGES  \* Arabic  \* MERGEFORMAT</w:instrText>
          </w:r>
          <w:r w:rsidRPr="00DB6799">
            <w:rPr>
              <w:rFonts w:ascii="Verdana" w:eastAsia="Times New Roman" w:hAnsi="Verdana" w:cs="Calibri"/>
              <w:color w:val="000000"/>
              <w:sz w:val="16"/>
              <w:szCs w:val="16"/>
              <w:lang w:eastAsia="es-MX"/>
            </w:rPr>
            <w:fldChar w:fldCharType="separate"/>
          </w:r>
          <w:r w:rsidRPr="00DB6799">
            <w:rPr>
              <w:rFonts w:ascii="Verdana" w:eastAsia="Times New Roman" w:hAnsi="Verdana" w:cs="Calibri"/>
              <w:color w:val="000000"/>
              <w:sz w:val="16"/>
              <w:szCs w:val="16"/>
              <w:lang w:eastAsia="es-MX"/>
            </w:rPr>
            <w:t>1</w:t>
          </w:r>
          <w:r w:rsidRPr="00DB6799">
            <w:rPr>
              <w:rFonts w:ascii="Verdana" w:eastAsia="Times New Roman" w:hAnsi="Verdana" w:cs="Calibri"/>
              <w:color w:val="000000"/>
              <w:sz w:val="16"/>
              <w:szCs w:val="16"/>
              <w:lang w:eastAsia="es-MX"/>
            </w:rPr>
            <w:fldChar w:fldCharType="end"/>
          </w:r>
        </w:p>
      </w:tc>
    </w:tr>
  </w:tbl>
  <w:p w14:paraId="77F12825" w14:textId="37C67BDD" w:rsidR="00D30510" w:rsidRPr="00DB369A" w:rsidRDefault="00D30510" w:rsidP="00DB36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DE4C" w14:textId="77777777" w:rsidR="0001717A" w:rsidRDefault="0001717A" w:rsidP="00DB369A">
    <w:pPr>
      <w:pStyle w:val="Encabezado"/>
    </w:pPr>
  </w:p>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871"/>
      <w:gridCol w:w="992"/>
      <w:gridCol w:w="1417"/>
    </w:tblGrid>
    <w:tr w:rsidR="0001717A" w14:paraId="46BFA317" w14:textId="77777777" w:rsidTr="009904EF">
      <w:trPr>
        <w:cantSplit/>
        <w:trHeight w:val="276"/>
        <w:jc w:val="center"/>
      </w:trPr>
      <w:tc>
        <w:tcPr>
          <w:tcW w:w="2785" w:type="dxa"/>
          <w:vMerge w:val="restart"/>
          <w:vAlign w:val="center"/>
        </w:tcPr>
        <w:p w14:paraId="052B1DC8" w14:textId="77777777" w:rsidR="0001717A" w:rsidRDefault="0001717A" w:rsidP="0001717A">
          <w:pPr>
            <w:spacing w:after="0"/>
            <w:jc w:val="center"/>
          </w:pPr>
          <w:r>
            <w:rPr>
              <w:noProof/>
            </w:rPr>
            <w:drawing>
              <wp:inline distT="0" distB="0" distL="0" distR="0" wp14:anchorId="225F12EA" wp14:editId="346558F9">
                <wp:extent cx="819150" cy="573405"/>
                <wp:effectExtent l="0" t="0" r="0" b="0"/>
                <wp:docPr id="452719409" name="Imagen 1" descr="Logo Image Minhacienda w-100">
                  <a:extLst xmlns:a="http://schemas.openxmlformats.org/drawingml/2006/main">
                    <a:ext uri="{FF2B5EF4-FFF2-40B4-BE49-F238E27FC236}">
                      <a16:creationId xmlns:a16="http://schemas.microsoft.com/office/drawing/2014/main" id="{C1D5A345-D3A6-45EE-9C2C-BAD32FF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 Image Minhacienda w-100">
                          <a:extLst>
                            <a:ext uri="{FF2B5EF4-FFF2-40B4-BE49-F238E27FC236}">
                              <a16:creationId xmlns:a16="http://schemas.microsoft.com/office/drawing/2014/main" id="{C1D5A345-D3A6-45EE-9C2C-BAD32FFF5E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86" cy="581060"/>
                        </a:xfrm>
                        <a:prstGeom prst="rect">
                          <a:avLst/>
                        </a:prstGeom>
                        <a:noFill/>
                      </pic:spPr>
                    </pic:pic>
                  </a:graphicData>
                </a:graphic>
              </wp:inline>
            </w:drawing>
          </w:r>
        </w:p>
      </w:tc>
      <w:tc>
        <w:tcPr>
          <w:tcW w:w="4871" w:type="dxa"/>
          <w:vMerge w:val="restart"/>
          <w:vAlign w:val="center"/>
        </w:tcPr>
        <w:p w14:paraId="62224610" w14:textId="3B229A01" w:rsidR="0001717A" w:rsidRPr="009A37A7" w:rsidRDefault="0001717A" w:rsidP="0001717A">
          <w:pPr>
            <w:spacing w:after="0"/>
            <w:jc w:val="center"/>
            <w:rPr>
              <w:b/>
              <w:sz w:val="24"/>
              <w:szCs w:val="24"/>
            </w:rPr>
          </w:pPr>
          <w:r>
            <w:rPr>
              <w:b/>
              <w:sz w:val="24"/>
              <w:szCs w:val="24"/>
            </w:rPr>
            <w:t>DOCUMENTO DESCRIPTIVO PRO</w:t>
          </w:r>
          <w:r w:rsidRPr="0001717A">
            <w:rPr>
              <w:b/>
              <w:sz w:val="24"/>
              <w:szCs w:val="24"/>
            </w:rPr>
            <w:t>GRAMA DE TRANSPARENCIA Y ÉTICA PÚBLICA 2025</w:t>
          </w:r>
        </w:p>
      </w:tc>
      <w:tc>
        <w:tcPr>
          <w:tcW w:w="992" w:type="dxa"/>
          <w:vAlign w:val="center"/>
        </w:tcPr>
        <w:p w14:paraId="57E6CDCB" w14:textId="77777777" w:rsidR="0001717A" w:rsidRDefault="0001717A" w:rsidP="0001717A">
          <w:pPr>
            <w:spacing w:after="0"/>
            <w:rPr>
              <w:b/>
            </w:rPr>
          </w:pPr>
          <w:r>
            <w:rPr>
              <w:b/>
            </w:rPr>
            <w:t>Fecha:</w:t>
          </w:r>
        </w:p>
      </w:tc>
      <w:tc>
        <w:tcPr>
          <w:tcW w:w="1417" w:type="dxa"/>
          <w:vAlign w:val="center"/>
        </w:tcPr>
        <w:p w14:paraId="4C71D9DC" w14:textId="4A6D2F29" w:rsidR="0001717A" w:rsidRDefault="0001717A" w:rsidP="0001717A">
          <w:pPr>
            <w:spacing w:after="0"/>
            <w:jc w:val="center"/>
            <w:rPr>
              <w:b/>
            </w:rPr>
          </w:pPr>
          <w:r>
            <w:rPr>
              <w:b/>
            </w:rPr>
            <w:t>4-07-2025</w:t>
          </w:r>
        </w:p>
      </w:tc>
    </w:tr>
    <w:tr w:rsidR="0001717A" w14:paraId="1B3A9CFD" w14:textId="77777777" w:rsidTr="009904EF">
      <w:trPr>
        <w:cantSplit/>
        <w:trHeight w:val="147"/>
        <w:jc w:val="center"/>
      </w:trPr>
      <w:tc>
        <w:tcPr>
          <w:tcW w:w="2785" w:type="dxa"/>
          <w:vMerge/>
        </w:tcPr>
        <w:p w14:paraId="40E07ED9" w14:textId="77777777" w:rsidR="0001717A" w:rsidRDefault="0001717A" w:rsidP="0001717A">
          <w:pPr>
            <w:spacing w:after="0"/>
            <w:jc w:val="center"/>
          </w:pPr>
        </w:p>
      </w:tc>
      <w:tc>
        <w:tcPr>
          <w:tcW w:w="4871" w:type="dxa"/>
          <w:vMerge/>
        </w:tcPr>
        <w:p w14:paraId="7F6F2E55" w14:textId="77777777" w:rsidR="0001717A" w:rsidRDefault="0001717A" w:rsidP="0001717A">
          <w:pPr>
            <w:spacing w:after="0"/>
            <w:jc w:val="center"/>
            <w:rPr>
              <w:b/>
            </w:rPr>
          </w:pPr>
        </w:p>
      </w:tc>
      <w:tc>
        <w:tcPr>
          <w:tcW w:w="992" w:type="dxa"/>
          <w:vAlign w:val="center"/>
        </w:tcPr>
        <w:p w14:paraId="67517B79" w14:textId="77777777" w:rsidR="0001717A" w:rsidRDefault="0001717A" w:rsidP="0001717A">
          <w:pPr>
            <w:spacing w:after="0"/>
            <w:rPr>
              <w:b/>
            </w:rPr>
          </w:pPr>
          <w:r>
            <w:rPr>
              <w:b/>
            </w:rPr>
            <w:t xml:space="preserve">Versión: </w:t>
          </w:r>
        </w:p>
      </w:tc>
      <w:tc>
        <w:tcPr>
          <w:tcW w:w="1417" w:type="dxa"/>
          <w:vAlign w:val="center"/>
        </w:tcPr>
        <w:p w14:paraId="3BFAAFE4" w14:textId="08F472BC" w:rsidR="0001717A" w:rsidRDefault="0001717A" w:rsidP="0001717A">
          <w:pPr>
            <w:spacing w:after="0"/>
            <w:jc w:val="center"/>
            <w:rPr>
              <w:b/>
            </w:rPr>
          </w:pPr>
          <w:r>
            <w:rPr>
              <w:b/>
            </w:rPr>
            <w:t>1</w:t>
          </w:r>
        </w:p>
      </w:tc>
    </w:tr>
    <w:tr w:rsidR="0001717A" w14:paraId="2F9280AC" w14:textId="77777777" w:rsidTr="009904EF">
      <w:trPr>
        <w:cantSplit/>
        <w:trHeight w:val="147"/>
        <w:jc w:val="center"/>
      </w:trPr>
      <w:tc>
        <w:tcPr>
          <w:tcW w:w="2785" w:type="dxa"/>
          <w:vMerge/>
        </w:tcPr>
        <w:p w14:paraId="32A5639D" w14:textId="77777777" w:rsidR="0001717A" w:rsidRDefault="0001717A" w:rsidP="0001717A">
          <w:pPr>
            <w:spacing w:after="0"/>
            <w:jc w:val="center"/>
          </w:pPr>
        </w:p>
      </w:tc>
      <w:tc>
        <w:tcPr>
          <w:tcW w:w="4871" w:type="dxa"/>
          <w:vMerge/>
        </w:tcPr>
        <w:p w14:paraId="0DEB3F60" w14:textId="77777777" w:rsidR="0001717A" w:rsidRDefault="0001717A" w:rsidP="0001717A">
          <w:pPr>
            <w:spacing w:after="0"/>
            <w:jc w:val="center"/>
            <w:rPr>
              <w:b/>
            </w:rPr>
          </w:pPr>
        </w:p>
      </w:tc>
      <w:tc>
        <w:tcPr>
          <w:tcW w:w="992" w:type="dxa"/>
          <w:vAlign w:val="center"/>
        </w:tcPr>
        <w:p w14:paraId="14EB0857" w14:textId="77777777" w:rsidR="0001717A" w:rsidRDefault="0001717A" w:rsidP="0001717A">
          <w:pPr>
            <w:spacing w:after="0"/>
            <w:rPr>
              <w:b/>
            </w:rPr>
          </w:pPr>
          <w:r>
            <w:rPr>
              <w:b/>
            </w:rPr>
            <w:t xml:space="preserve">Página: </w:t>
          </w:r>
        </w:p>
      </w:tc>
      <w:tc>
        <w:tcPr>
          <w:tcW w:w="1417" w:type="dxa"/>
          <w:vAlign w:val="center"/>
        </w:tcPr>
        <w:p w14:paraId="17ABA981" w14:textId="77777777" w:rsidR="0001717A" w:rsidRDefault="0001717A" w:rsidP="0001717A">
          <w:pPr>
            <w:spacing w:after="0"/>
            <w:jc w:val="center"/>
            <w:rPr>
              <w:b/>
            </w:rPr>
          </w:pPr>
          <w:r>
            <w:rPr>
              <w:b/>
            </w:rPr>
            <w:t xml:space="preserve">  </w:t>
          </w:r>
          <w:r w:rsidRPr="00472A79">
            <w:rPr>
              <w:b/>
            </w:rPr>
            <w:fldChar w:fldCharType="begin"/>
          </w:r>
          <w:r w:rsidRPr="00472A79">
            <w:rPr>
              <w:b/>
            </w:rPr>
            <w:instrText>PAGE  \* Arabic  \* MERGEFORMAT</w:instrText>
          </w:r>
          <w:r w:rsidRPr="00472A79">
            <w:rPr>
              <w:b/>
            </w:rPr>
            <w:fldChar w:fldCharType="separate"/>
          </w:r>
          <w:r>
            <w:rPr>
              <w:b/>
              <w:noProof/>
            </w:rPr>
            <w:t>2</w:t>
          </w:r>
          <w:r w:rsidRPr="00472A79">
            <w:rPr>
              <w:b/>
            </w:rPr>
            <w:fldChar w:fldCharType="end"/>
          </w:r>
          <w:r w:rsidRPr="00472A79">
            <w:rPr>
              <w:b/>
            </w:rPr>
            <w:t xml:space="preserve"> de </w:t>
          </w:r>
          <w:r w:rsidRPr="00472A79">
            <w:rPr>
              <w:b/>
            </w:rPr>
            <w:fldChar w:fldCharType="begin"/>
          </w:r>
          <w:r w:rsidRPr="00472A79">
            <w:rPr>
              <w:b/>
            </w:rPr>
            <w:instrText>NUMPAGES  \* Arabic  \* MERGEFORMAT</w:instrText>
          </w:r>
          <w:r w:rsidRPr="00472A79">
            <w:rPr>
              <w:b/>
            </w:rPr>
            <w:fldChar w:fldCharType="separate"/>
          </w:r>
          <w:r>
            <w:rPr>
              <w:b/>
              <w:noProof/>
            </w:rPr>
            <w:t>217</w:t>
          </w:r>
          <w:r w:rsidRPr="00472A79">
            <w:rPr>
              <w:b/>
            </w:rPr>
            <w:fldChar w:fldCharType="end"/>
          </w:r>
        </w:p>
      </w:tc>
    </w:tr>
  </w:tbl>
  <w:p w14:paraId="396F7D6A" w14:textId="77777777" w:rsidR="0001717A" w:rsidRPr="00DB369A" w:rsidRDefault="0001717A" w:rsidP="00DB369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276C" w14:textId="77777777" w:rsidR="0089045F" w:rsidRPr="00DB369A" w:rsidRDefault="0089045F" w:rsidP="00DB36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E24"/>
    <w:multiLevelType w:val="hybridMultilevel"/>
    <w:tmpl w:val="12267E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31233F"/>
    <w:multiLevelType w:val="multilevel"/>
    <w:tmpl w:val="906E5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F026BC1"/>
    <w:multiLevelType w:val="hybridMultilevel"/>
    <w:tmpl w:val="2D14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769DD"/>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3B05E32"/>
    <w:multiLevelType w:val="hybridMultilevel"/>
    <w:tmpl w:val="FA02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59B6236"/>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8" w15:restartNumberingAfterBreak="0">
    <w:nsid w:val="2A083651"/>
    <w:multiLevelType w:val="hybridMultilevel"/>
    <w:tmpl w:val="081E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DD006D"/>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1" w15:restartNumberingAfterBreak="0">
    <w:nsid w:val="2C1E2EB6"/>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2"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DCB7EBC"/>
    <w:multiLevelType w:val="hybridMultilevel"/>
    <w:tmpl w:val="7B8A00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982612E"/>
    <w:multiLevelType w:val="hybridMultilevel"/>
    <w:tmpl w:val="4638482A"/>
    <w:lvl w:ilvl="0" w:tplc="364C4BAA">
      <w:start w:val="1"/>
      <w:numFmt w:val="decimal"/>
      <w:lvlText w:val="%1."/>
      <w:lvlJc w:val="left"/>
      <w:pPr>
        <w:ind w:left="507" w:hanging="400"/>
      </w:pPr>
      <w:rPr>
        <w:rFonts w:hint="default"/>
      </w:rPr>
    </w:lvl>
    <w:lvl w:ilvl="1" w:tplc="240A0019" w:tentative="1">
      <w:start w:val="1"/>
      <w:numFmt w:val="lowerLetter"/>
      <w:lvlText w:val="%2."/>
      <w:lvlJc w:val="left"/>
      <w:pPr>
        <w:ind w:left="1187" w:hanging="360"/>
      </w:pPr>
    </w:lvl>
    <w:lvl w:ilvl="2" w:tplc="240A001B" w:tentative="1">
      <w:start w:val="1"/>
      <w:numFmt w:val="lowerRoman"/>
      <w:lvlText w:val="%3."/>
      <w:lvlJc w:val="right"/>
      <w:pPr>
        <w:ind w:left="1907" w:hanging="180"/>
      </w:pPr>
    </w:lvl>
    <w:lvl w:ilvl="3" w:tplc="240A000F" w:tentative="1">
      <w:start w:val="1"/>
      <w:numFmt w:val="decimal"/>
      <w:lvlText w:val="%4."/>
      <w:lvlJc w:val="left"/>
      <w:pPr>
        <w:ind w:left="2627" w:hanging="360"/>
      </w:pPr>
    </w:lvl>
    <w:lvl w:ilvl="4" w:tplc="240A0019" w:tentative="1">
      <w:start w:val="1"/>
      <w:numFmt w:val="lowerLetter"/>
      <w:lvlText w:val="%5."/>
      <w:lvlJc w:val="left"/>
      <w:pPr>
        <w:ind w:left="3347" w:hanging="360"/>
      </w:pPr>
    </w:lvl>
    <w:lvl w:ilvl="5" w:tplc="240A001B" w:tentative="1">
      <w:start w:val="1"/>
      <w:numFmt w:val="lowerRoman"/>
      <w:lvlText w:val="%6."/>
      <w:lvlJc w:val="right"/>
      <w:pPr>
        <w:ind w:left="4067" w:hanging="180"/>
      </w:pPr>
    </w:lvl>
    <w:lvl w:ilvl="6" w:tplc="240A000F" w:tentative="1">
      <w:start w:val="1"/>
      <w:numFmt w:val="decimal"/>
      <w:lvlText w:val="%7."/>
      <w:lvlJc w:val="left"/>
      <w:pPr>
        <w:ind w:left="4787" w:hanging="360"/>
      </w:pPr>
    </w:lvl>
    <w:lvl w:ilvl="7" w:tplc="240A0019" w:tentative="1">
      <w:start w:val="1"/>
      <w:numFmt w:val="lowerLetter"/>
      <w:lvlText w:val="%8."/>
      <w:lvlJc w:val="left"/>
      <w:pPr>
        <w:ind w:left="5507" w:hanging="360"/>
      </w:pPr>
    </w:lvl>
    <w:lvl w:ilvl="8" w:tplc="240A001B" w:tentative="1">
      <w:start w:val="1"/>
      <w:numFmt w:val="lowerRoman"/>
      <w:lvlText w:val="%9."/>
      <w:lvlJc w:val="right"/>
      <w:pPr>
        <w:ind w:left="6227" w:hanging="180"/>
      </w:pPr>
    </w:lvl>
  </w:abstractNum>
  <w:abstractNum w:abstractNumId="17" w15:restartNumberingAfterBreak="0">
    <w:nsid w:val="3D216771"/>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8" w15:restartNumberingAfterBreak="0">
    <w:nsid w:val="3E185200"/>
    <w:multiLevelType w:val="multilevel"/>
    <w:tmpl w:val="5E1233A6"/>
    <w:lvl w:ilvl="0">
      <w:start w:val="1"/>
      <w:numFmt w:val="decimal"/>
      <w:lvlText w:val="%1."/>
      <w:lvlJc w:val="left"/>
      <w:pPr>
        <w:ind w:left="360" w:hanging="360"/>
      </w:pPr>
      <w:rPr>
        <w:rFonts w:ascii="Verdana" w:hAnsi="Verdana" w:hint="default"/>
        <w:sz w:val="22"/>
        <w:szCs w:val="22"/>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48203A75"/>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20" w15:restartNumberingAfterBreak="0">
    <w:nsid w:val="4A6015D2"/>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21" w15:restartNumberingAfterBreak="0">
    <w:nsid w:val="5DFC49A6"/>
    <w:multiLevelType w:val="hybridMultilevel"/>
    <w:tmpl w:val="776C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6EE1548"/>
    <w:multiLevelType w:val="hybridMultilevel"/>
    <w:tmpl w:val="5A48E45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6DD144BB"/>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25" w15:restartNumberingAfterBreak="0">
    <w:nsid w:val="6DE9401A"/>
    <w:multiLevelType w:val="hybridMultilevel"/>
    <w:tmpl w:val="DE1A12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E643674"/>
    <w:multiLevelType w:val="hybridMultilevel"/>
    <w:tmpl w:val="6236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F3C3141"/>
    <w:multiLevelType w:val="multilevel"/>
    <w:tmpl w:val="7CE6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209EB"/>
    <w:multiLevelType w:val="hybridMultilevel"/>
    <w:tmpl w:val="7CCE5F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6B55914"/>
    <w:multiLevelType w:val="multilevel"/>
    <w:tmpl w:val="1644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16B88"/>
    <w:multiLevelType w:val="hybridMultilevel"/>
    <w:tmpl w:val="4638482A"/>
    <w:lvl w:ilvl="0" w:tplc="FFFFFFFF">
      <w:start w:val="1"/>
      <w:numFmt w:val="decimal"/>
      <w:lvlText w:val="%1."/>
      <w:lvlJc w:val="left"/>
      <w:pPr>
        <w:ind w:left="507" w:hanging="40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32"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F6816B0"/>
    <w:multiLevelType w:val="hybridMultilevel"/>
    <w:tmpl w:val="316A1090"/>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90803705">
    <w:abstractNumId w:val="34"/>
  </w:num>
  <w:num w:numId="2" w16cid:durableId="1506239152">
    <w:abstractNumId w:val="14"/>
  </w:num>
  <w:num w:numId="3" w16cid:durableId="2109278415">
    <w:abstractNumId w:val="6"/>
  </w:num>
  <w:num w:numId="4" w16cid:durableId="1615553853">
    <w:abstractNumId w:val="23"/>
  </w:num>
  <w:num w:numId="5" w16cid:durableId="307173349">
    <w:abstractNumId w:val="32"/>
  </w:num>
  <w:num w:numId="6" w16cid:durableId="568543682">
    <w:abstractNumId w:val="9"/>
  </w:num>
  <w:num w:numId="7" w16cid:durableId="1481925861">
    <w:abstractNumId w:val="1"/>
  </w:num>
  <w:num w:numId="8" w16cid:durableId="133837722">
    <w:abstractNumId w:val="12"/>
  </w:num>
  <w:num w:numId="9" w16cid:durableId="180362098">
    <w:abstractNumId w:val="27"/>
  </w:num>
  <w:num w:numId="10" w16cid:durableId="1998611511">
    <w:abstractNumId w:val="15"/>
  </w:num>
  <w:num w:numId="11" w16cid:durableId="37322275">
    <w:abstractNumId w:val="4"/>
  </w:num>
  <w:num w:numId="12" w16cid:durableId="1388798919">
    <w:abstractNumId w:val="2"/>
  </w:num>
  <w:num w:numId="13" w16cid:durableId="1423066772">
    <w:abstractNumId w:val="18"/>
  </w:num>
  <w:num w:numId="14" w16cid:durableId="1868984295">
    <w:abstractNumId w:val="5"/>
  </w:num>
  <w:num w:numId="15" w16cid:durableId="124738646">
    <w:abstractNumId w:val="3"/>
  </w:num>
  <w:num w:numId="16" w16cid:durableId="684865206">
    <w:abstractNumId w:val="8"/>
  </w:num>
  <w:num w:numId="17" w16cid:durableId="468283967">
    <w:abstractNumId w:val="26"/>
  </w:num>
  <w:num w:numId="18" w16cid:durableId="1540047983">
    <w:abstractNumId w:val="28"/>
  </w:num>
  <w:num w:numId="19" w16cid:durableId="1073233565">
    <w:abstractNumId w:val="21"/>
  </w:num>
  <w:num w:numId="20" w16cid:durableId="825051966">
    <w:abstractNumId w:val="30"/>
  </w:num>
  <w:num w:numId="21" w16cid:durableId="92675598">
    <w:abstractNumId w:val="13"/>
  </w:num>
  <w:num w:numId="22" w16cid:durableId="1413432978">
    <w:abstractNumId w:val="16"/>
  </w:num>
  <w:num w:numId="23" w16cid:durableId="893736729">
    <w:abstractNumId w:val="17"/>
  </w:num>
  <w:num w:numId="24" w16cid:durableId="306319645">
    <w:abstractNumId w:val="10"/>
  </w:num>
  <w:num w:numId="25" w16cid:durableId="1144932397">
    <w:abstractNumId w:val="20"/>
  </w:num>
  <w:num w:numId="26" w16cid:durableId="717781011">
    <w:abstractNumId w:val="11"/>
  </w:num>
  <w:num w:numId="27" w16cid:durableId="257754658">
    <w:abstractNumId w:val="31"/>
  </w:num>
  <w:num w:numId="28" w16cid:durableId="267202186">
    <w:abstractNumId w:val="7"/>
  </w:num>
  <w:num w:numId="29" w16cid:durableId="147870149">
    <w:abstractNumId w:val="24"/>
  </w:num>
  <w:num w:numId="30" w16cid:durableId="1339235253">
    <w:abstractNumId w:val="19"/>
  </w:num>
  <w:num w:numId="31" w16cid:durableId="597371462">
    <w:abstractNumId w:val="0"/>
  </w:num>
  <w:num w:numId="32" w16cid:durableId="1094398504">
    <w:abstractNumId w:val="29"/>
  </w:num>
  <w:num w:numId="33" w16cid:durableId="25260333">
    <w:abstractNumId w:val="33"/>
  </w:num>
  <w:num w:numId="34" w16cid:durableId="232010891">
    <w:abstractNumId w:val="22"/>
  </w:num>
  <w:num w:numId="35" w16cid:durableId="11806983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2C72"/>
    <w:rsid w:val="00010613"/>
    <w:rsid w:val="0001717A"/>
    <w:rsid w:val="00025382"/>
    <w:rsid w:val="0002747B"/>
    <w:rsid w:val="00085331"/>
    <w:rsid w:val="000A6C04"/>
    <w:rsid w:val="000A766C"/>
    <w:rsid w:val="000B497A"/>
    <w:rsid w:val="000D0C65"/>
    <w:rsid w:val="000E3757"/>
    <w:rsid w:val="000E789C"/>
    <w:rsid w:val="000F6451"/>
    <w:rsid w:val="00117ACB"/>
    <w:rsid w:val="00127B48"/>
    <w:rsid w:val="001353F3"/>
    <w:rsid w:val="00137491"/>
    <w:rsid w:val="00180302"/>
    <w:rsid w:val="001A06FC"/>
    <w:rsid w:val="001B4339"/>
    <w:rsid w:val="001E05D7"/>
    <w:rsid w:val="001E1724"/>
    <w:rsid w:val="001E6BF8"/>
    <w:rsid w:val="001E7211"/>
    <w:rsid w:val="001F32BE"/>
    <w:rsid w:val="00211F61"/>
    <w:rsid w:val="00220040"/>
    <w:rsid w:val="00237C40"/>
    <w:rsid w:val="00237E7C"/>
    <w:rsid w:val="0024300F"/>
    <w:rsid w:val="0024690F"/>
    <w:rsid w:val="00254CDA"/>
    <w:rsid w:val="002609A3"/>
    <w:rsid w:val="002616AE"/>
    <w:rsid w:val="00274A63"/>
    <w:rsid w:val="00277127"/>
    <w:rsid w:val="00285F8A"/>
    <w:rsid w:val="00291CA0"/>
    <w:rsid w:val="00292507"/>
    <w:rsid w:val="002931C7"/>
    <w:rsid w:val="002B75C7"/>
    <w:rsid w:val="002C0467"/>
    <w:rsid w:val="002C3BD4"/>
    <w:rsid w:val="002E26B5"/>
    <w:rsid w:val="002E6474"/>
    <w:rsid w:val="00300460"/>
    <w:rsid w:val="00307073"/>
    <w:rsid w:val="00313C84"/>
    <w:rsid w:val="0031707C"/>
    <w:rsid w:val="0034160F"/>
    <w:rsid w:val="00344C58"/>
    <w:rsid w:val="00351E09"/>
    <w:rsid w:val="00354394"/>
    <w:rsid w:val="0038060C"/>
    <w:rsid w:val="003823B7"/>
    <w:rsid w:val="003977F3"/>
    <w:rsid w:val="003B7177"/>
    <w:rsid w:val="003D75F3"/>
    <w:rsid w:val="003D7BB6"/>
    <w:rsid w:val="00403988"/>
    <w:rsid w:val="00416D2C"/>
    <w:rsid w:val="00427F6C"/>
    <w:rsid w:val="004354F5"/>
    <w:rsid w:val="00450D04"/>
    <w:rsid w:val="004533EF"/>
    <w:rsid w:val="00463038"/>
    <w:rsid w:val="00466831"/>
    <w:rsid w:val="00474C7F"/>
    <w:rsid w:val="004832E6"/>
    <w:rsid w:val="004A3BE9"/>
    <w:rsid w:val="004D7B9A"/>
    <w:rsid w:val="004F7DEE"/>
    <w:rsid w:val="005034CA"/>
    <w:rsid w:val="00525C44"/>
    <w:rsid w:val="00535FDD"/>
    <w:rsid w:val="00556F53"/>
    <w:rsid w:val="00584585"/>
    <w:rsid w:val="005A0CE9"/>
    <w:rsid w:val="005A6B66"/>
    <w:rsid w:val="005B1268"/>
    <w:rsid w:val="005B5CEB"/>
    <w:rsid w:val="005B6577"/>
    <w:rsid w:val="005C4405"/>
    <w:rsid w:val="005F3247"/>
    <w:rsid w:val="00607FFE"/>
    <w:rsid w:val="00611A38"/>
    <w:rsid w:val="006169FD"/>
    <w:rsid w:val="006456A3"/>
    <w:rsid w:val="00692E2C"/>
    <w:rsid w:val="006B1F16"/>
    <w:rsid w:val="006C52F0"/>
    <w:rsid w:val="006D1AB7"/>
    <w:rsid w:val="006D6B82"/>
    <w:rsid w:val="0070345F"/>
    <w:rsid w:val="00704AB6"/>
    <w:rsid w:val="007217FB"/>
    <w:rsid w:val="0072655E"/>
    <w:rsid w:val="00740182"/>
    <w:rsid w:val="00747263"/>
    <w:rsid w:val="007758F6"/>
    <w:rsid w:val="0079608A"/>
    <w:rsid w:val="007968FF"/>
    <w:rsid w:val="00797E53"/>
    <w:rsid w:val="007A5579"/>
    <w:rsid w:val="007C0D3E"/>
    <w:rsid w:val="007C3D27"/>
    <w:rsid w:val="007C4B85"/>
    <w:rsid w:val="007D65C0"/>
    <w:rsid w:val="007E3DC4"/>
    <w:rsid w:val="008034D9"/>
    <w:rsid w:val="00807B34"/>
    <w:rsid w:val="008543B8"/>
    <w:rsid w:val="0087001D"/>
    <w:rsid w:val="0089045F"/>
    <w:rsid w:val="00895E24"/>
    <w:rsid w:val="008974F0"/>
    <w:rsid w:val="008B543B"/>
    <w:rsid w:val="008F0A6E"/>
    <w:rsid w:val="008F0BFB"/>
    <w:rsid w:val="00925745"/>
    <w:rsid w:val="0092577E"/>
    <w:rsid w:val="00925F60"/>
    <w:rsid w:val="0093090C"/>
    <w:rsid w:val="00936C41"/>
    <w:rsid w:val="00940BA8"/>
    <w:rsid w:val="009464B6"/>
    <w:rsid w:val="00963B9F"/>
    <w:rsid w:val="00970821"/>
    <w:rsid w:val="00987A77"/>
    <w:rsid w:val="009A384B"/>
    <w:rsid w:val="009B5BDF"/>
    <w:rsid w:val="009C21BB"/>
    <w:rsid w:val="009C45B3"/>
    <w:rsid w:val="009C583C"/>
    <w:rsid w:val="009D19DD"/>
    <w:rsid w:val="009D2340"/>
    <w:rsid w:val="00A15BAF"/>
    <w:rsid w:val="00A32148"/>
    <w:rsid w:val="00A4251C"/>
    <w:rsid w:val="00A6366A"/>
    <w:rsid w:val="00A71EF9"/>
    <w:rsid w:val="00A808A4"/>
    <w:rsid w:val="00A81F33"/>
    <w:rsid w:val="00A84FA1"/>
    <w:rsid w:val="00AA22F0"/>
    <w:rsid w:val="00AF3BAE"/>
    <w:rsid w:val="00B056E5"/>
    <w:rsid w:val="00B07EC5"/>
    <w:rsid w:val="00B2097D"/>
    <w:rsid w:val="00B2599E"/>
    <w:rsid w:val="00B354C7"/>
    <w:rsid w:val="00B37A7C"/>
    <w:rsid w:val="00B61496"/>
    <w:rsid w:val="00B679FA"/>
    <w:rsid w:val="00BA65FB"/>
    <w:rsid w:val="00BA6972"/>
    <w:rsid w:val="00BA7BA8"/>
    <w:rsid w:val="00BB4EAC"/>
    <w:rsid w:val="00C359D9"/>
    <w:rsid w:val="00C3617E"/>
    <w:rsid w:val="00C36FF6"/>
    <w:rsid w:val="00C51D40"/>
    <w:rsid w:val="00C64B64"/>
    <w:rsid w:val="00C778F0"/>
    <w:rsid w:val="00C823B2"/>
    <w:rsid w:val="00C903E4"/>
    <w:rsid w:val="00CA5B64"/>
    <w:rsid w:val="00CA776F"/>
    <w:rsid w:val="00CC0522"/>
    <w:rsid w:val="00CD73B6"/>
    <w:rsid w:val="00CF0A62"/>
    <w:rsid w:val="00D00A33"/>
    <w:rsid w:val="00D12742"/>
    <w:rsid w:val="00D13655"/>
    <w:rsid w:val="00D13FF1"/>
    <w:rsid w:val="00D27F6A"/>
    <w:rsid w:val="00D30510"/>
    <w:rsid w:val="00D4353B"/>
    <w:rsid w:val="00D60508"/>
    <w:rsid w:val="00D8671B"/>
    <w:rsid w:val="00DB369A"/>
    <w:rsid w:val="00DB6799"/>
    <w:rsid w:val="00E107CE"/>
    <w:rsid w:val="00E25464"/>
    <w:rsid w:val="00E26D8C"/>
    <w:rsid w:val="00E31D3B"/>
    <w:rsid w:val="00E321B3"/>
    <w:rsid w:val="00E563B7"/>
    <w:rsid w:val="00E645B1"/>
    <w:rsid w:val="00E86735"/>
    <w:rsid w:val="00E87A9C"/>
    <w:rsid w:val="00ED349A"/>
    <w:rsid w:val="00F1461B"/>
    <w:rsid w:val="00F218F8"/>
    <w:rsid w:val="00F319E5"/>
    <w:rsid w:val="00F57CEC"/>
    <w:rsid w:val="00F62291"/>
    <w:rsid w:val="00F74146"/>
    <w:rsid w:val="00F9091F"/>
    <w:rsid w:val="00F91859"/>
    <w:rsid w:val="00FF09A0"/>
    <w:rsid w:val="00FF0FA6"/>
    <w:rsid w:val="00FF6C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E3DC4"/>
    <w:pPr>
      <w:keepNext/>
      <w:spacing w:before="240" w:after="60" w:line="240" w:lineRule="auto"/>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uiPriority w:val="9"/>
    <w:unhideWhenUsed/>
    <w:qFormat/>
    <w:rsid w:val="007401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7401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semiHidden/>
    <w:unhideWhenUsed/>
    <w:rsid w:val="00B2097D"/>
    <w:rPr>
      <w:sz w:val="16"/>
      <w:szCs w:val="16"/>
    </w:rPr>
  </w:style>
  <w:style w:type="paragraph" w:styleId="Textocomentario">
    <w:name w:val="annotation text"/>
    <w:basedOn w:val="Normal"/>
    <w:link w:val="TextocomentarioCar"/>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aliases w:val="HOJA,Bolita,List Paragraph,Párrafo de lista4,BOLADEF,Párrafo de lista3,Párrafo de lista21,BOLA,Nivel 1 OS,Colorful List Accent 1,Colorful List - Accent 11,Ha,Bullet List,FooterText,numbered,List Paragraph1,Paragraphe de liste1,lp1,Foot"/>
    <w:basedOn w:val="Normal"/>
    <w:link w:val="PrrafodelistaCar"/>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25F60"/>
  </w:style>
  <w:style w:type="character" w:customStyle="1" w:styleId="Ttulo1Car">
    <w:name w:val="Título 1 Car"/>
    <w:basedOn w:val="Fuentedeprrafopredeter"/>
    <w:link w:val="Ttulo1"/>
    <w:rsid w:val="007E3DC4"/>
    <w:rPr>
      <w:rFonts w:ascii="Arial" w:eastAsia="Times New Roman" w:hAnsi="Arial" w:cs="Arial"/>
      <w:b/>
      <w:bCs/>
      <w:kern w:val="32"/>
      <w:sz w:val="32"/>
      <w:szCs w:val="32"/>
      <w:lang w:val="es-ES" w:eastAsia="es-ES"/>
    </w:rPr>
  </w:style>
  <w:style w:type="paragraph" w:styleId="TDC1">
    <w:name w:val="toc 1"/>
    <w:basedOn w:val="Normal"/>
    <w:next w:val="Normal"/>
    <w:autoRedefine/>
    <w:uiPriority w:val="39"/>
    <w:rsid w:val="007E3DC4"/>
    <w:pPr>
      <w:spacing w:after="0"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7E3DC4"/>
    <w:pPr>
      <w:spacing w:after="120" w:line="480" w:lineRule="auto"/>
    </w:pPr>
    <w:rPr>
      <w:rFonts w:ascii="Times New Roman" w:eastAsia="MS Mincho"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7E3DC4"/>
    <w:rPr>
      <w:rFonts w:ascii="Times New Roman" w:eastAsia="MS Mincho" w:hAnsi="Times New Roman" w:cs="Times New Roman"/>
      <w:sz w:val="24"/>
      <w:szCs w:val="24"/>
      <w:lang w:val="es-ES" w:eastAsia="es-ES"/>
    </w:rPr>
  </w:style>
  <w:style w:type="character" w:customStyle="1" w:styleId="Ttulo2Car">
    <w:name w:val="Título 2 Car"/>
    <w:basedOn w:val="Fuentedeprrafopredeter"/>
    <w:link w:val="Ttulo2"/>
    <w:uiPriority w:val="9"/>
    <w:rsid w:val="00740182"/>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740182"/>
    <w:rPr>
      <w:rFonts w:asciiTheme="majorHAnsi" w:eastAsiaTheme="majorEastAsia" w:hAnsiTheme="majorHAnsi" w:cstheme="majorBidi"/>
      <w:color w:val="243F60" w:themeColor="accent1" w:themeShade="7F"/>
      <w:sz w:val="24"/>
      <w:szCs w:val="24"/>
    </w:rPr>
  </w:style>
  <w:style w:type="paragraph" w:styleId="TDC2">
    <w:name w:val="toc 2"/>
    <w:basedOn w:val="Normal"/>
    <w:next w:val="Normal"/>
    <w:autoRedefine/>
    <w:uiPriority w:val="39"/>
    <w:unhideWhenUsed/>
    <w:rsid w:val="00740182"/>
    <w:pPr>
      <w:spacing w:after="100"/>
      <w:ind w:left="220"/>
    </w:pPr>
  </w:style>
  <w:style w:type="paragraph" w:styleId="TDC3">
    <w:name w:val="toc 3"/>
    <w:basedOn w:val="Normal"/>
    <w:next w:val="Normal"/>
    <w:autoRedefine/>
    <w:uiPriority w:val="39"/>
    <w:unhideWhenUsed/>
    <w:rsid w:val="00740182"/>
    <w:pPr>
      <w:spacing w:after="100"/>
      <w:ind w:left="440"/>
    </w:pPr>
  </w:style>
  <w:style w:type="paragraph" w:styleId="TtuloTDC">
    <w:name w:val="TOC Heading"/>
    <w:basedOn w:val="Ttulo1"/>
    <w:next w:val="Normal"/>
    <w:uiPriority w:val="39"/>
    <w:unhideWhenUsed/>
    <w:qFormat/>
    <w:rsid w:val="00B056E5"/>
    <w:pPr>
      <w:keepLines/>
      <w:spacing w:after="0" w:line="259" w:lineRule="auto"/>
      <w:outlineLvl w:val="9"/>
    </w:pPr>
    <w:rPr>
      <w:rFonts w:asciiTheme="majorHAnsi" w:eastAsiaTheme="majorEastAsia" w:hAnsiTheme="majorHAnsi" w:cstheme="majorBidi"/>
      <w:b w:val="0"/>
      <w:bCs w:val="0"/>
      <w:color w:val="365F91" w:themeColor="accent1" w:themeShade="BF"/>
      <w:kern w:val="0"/>
      <w:lang w:val="es-CO" w:eastAsia="es-CO"/>
    </w:rPr>
  </w:style>
  <w:style w:type="paragraph" w:styleId="Textoindependiente">
    <w:name w:val="Body Text"/>
    <w:basedOn w:val="Normal"/>
    <w:link w:val="TextoindependienteCar"/>
    <w:uiPriority w:val="99"/>
    <w:semiHidden/>
    <w:unhideWhenUsed/>
    <w:rsid w:val="007968FF"/>
    <w:pPr>
      <w:spacing w:after="120"/>
    </w:pPr>
  </w:style>
  <w:style w:type="character" w:customStyle="1" w:styleId="TextoindependienteCar">
    <w:name w:val="Texto independiente Car"/>
    <w:basedOn w:val="Fuentedeprrafopredeter"/>
    <w:link w:val="Textoindependiente"/>
    <w:uiPriority w:val="99"/>
    <w:semiHidden/>
    <w:rsid w:val="007968FF"/>
  </w:style>
  <w:style w:type="table" w:customStyle="1" w:styleId="TableNormal">
    <w:name w:val="Table Normal"/>
    <w:uiPriority w:val="2"/>
    <w:semiHidden/>
    <w:unhideWhenUsed/>
    <w:qFormat/>
    <w:rsid w:val="00BA7B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A8"/>
    <w:pPr>
      <w:widowControl w:val="0"/>
      <w:autoSpaceDE w:val="0"/>
      <w:autoSpaceDN w:val="0"/>
      <w:spacing w:after="0" w:line="240" w:lineRule="auto"/>
    </w:pPr>
    <w:rPr>
      <w:rFonts w:ascii="Arial MT" w:eastAsia="Arial MT" w:hAnsi="Arial MT" w:cs="Arial MT"/>
      <w:lang w:val="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Ha Car,Bullet List Car,lp1 Car"/>
    <w:link w:val="Prrafodelista"/>
    <w:uiPriority w:val="34"/>
    <w:qFormat/>
    <w:rsid w:val="006D6B82"/>
  </w:style>
  <w:style w:type="character" w:styleId="Mencinsinresolver">
    <w:name w:val="Unresolved Mention"/>
    <w:basedOn w:val="Fuentedeprrafopredeter"/>
    <w:uiPriority w:val="99"/>
    <w:semiHidden/>
    <w:unhideWhenUsed/>
    <w:rsid w:val="004F7DEE"/>
    <w:rPr>
      <w:color w:val="605E5C"/>
      <w:shd w:val="clear" w:color="auto" w:fill="E1DFDD"/>
    </w:rPr>
  </w:style>
  <w:style w:type="paragraph" w:styleId="Revisin">
    <w:name w:val="Revision"/>
    <w:hidden/>
    <w:uiPriority w:val="99"/>
    <w:semiHidden/>
    <w:rsid w:val="004832E6"/>
    <w:pPr>
      <w:spacing w:after="0" w:line="240" w:lineRule="auto"/>
    </w:pPr>
  </w:style>
  <w:style w:type="character" w:styleId="Hipervnculovisitado">
    <w:name w:val="FollowedHyperlink"/>
    <w:basedOn w:val="Fuentedeprrafopredeter"/>
    <w:uiPriority w:val="99"/>
    <w:semiHidden/>
    <w:unhideWhenUsed/>
    <w:rsid w:val="00FF0F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45177947">
      <w:bodyDiv w:val="1"/>
      <w:marLeft w:val="0"/>
      <w:marRight w:val="0"/>
      <w:marTop w:val="0"/>
      <w:marBottom w:val="0"/>
      <w:divBdr>
        <w:top w:val="none" w:sz="0" w:space="0" w:color="auto"/>
        <w:left w:val="none" w:sz="0" w:space="0" w:color="auto"/>
        <w:bottom w:val="none" w:sz="0" w:space="0" w:color="auto"/>
        <w:right w:val="none" w:sz="0" w:space="0" w:color="auto"/>
      </w:divBdr>
    </w:div>
    <w:div w:id="50931773">
      <w:bodyDiv w:val="1"/>
      <w:marLeft w:val="0"/>
      <w:marRight w:val="0"/>
      <w:marTop w:val="0"/>
      <w:marBottom w:val="0"/>
      <w:divBdr>
        <w:top w:val="none" w:sz="0" w:space="0" w:color="auto"/>
        <w:left w:val="none" w:sz="0" w:space="0" w:color="auto"/>
        <w:bottom w:val="none" w:sz="0" w:space="0" w:color="auto"/>
        <w:right w:val="none" w:sz="0" w:space="0" w:color="auto"/>
      </w:divBdr>
    </w:div>
    <w:div w:id="13529810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14587947">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275331027">
      <w:bodyDiv w:val="1"/>
      <w:marLeft w:val="0"/>
      <w:marRight w:val="0"/>
      <w:marTop w:val="0"/>
      <w:marBottom w:val="0"/>
      <w:divBdr>
        <w:top w:val="none" w:sz="0" w:space="0" w:color="auto"/>
        <w:left w:val="none" w:sz="0" w:space="0" w:color="auto"/>
        <w:bottom w:val="none" w:sz="0" w:space="0" w:color="auto"/>
        <w:right w:val="none" w:sz="0" w:space="0" w:color="auto"/>
      </w:divBdr>
    </w:div>
    <w:div w:id="330984699">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393819996">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498935255">
      <w:bodyDiv w:val="1"/>
      <w:marLeft w:val="0"/>
      <w:marRight w:val="0"/>
      <w:marTop w:val="0"/>
      <w:marBottom w:val="0"/>
      <w:divBdr>
        <w:top w:val="none" w:sz="0" w:space="0" w:color="auto"/>
        <w:left w:val="none" w:sz="0" w:space="0" w:color="auto"/>
        <w:bottom w:val="none" w:sz="0" w:space="0" w:color="auto"/>
        <w:right w:val="none" w:sz="0" w:space="0" w:color="auto"/>
      </w:divBdr>
    </w:div>
    <w:div w:id="531847741">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606891321">
      <w:bodyDiv w:val="1"/>
      <w:marLeft w:val="0"/>
      <w:marRight w:val="0"/>
      <w:marTop w:val="0"/>
      <w:marBottom w:val="0"/>
      <w:divBdr>
        <w:top w:val="none" w:sz="0" w:space="0" w:color="auto"/>
        <w:left w:val="none" w:sz="0" w:space="0" w:color="auto"/>
        <w:bottom w:val="none" w:sz="0" w:space="0" w:color="auto"/>
        <w:right w:val="none" w:sz="0" w:space="0" w:color="auto"/>
      </w:divBdr>
    </w:div>
    <w:div w:id="6422771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772089435">
      <w:bodyDiv w:val="1"/>
      <w:marLeft w:val="0"/>
      <w:marRight w:val="0"/>
      <w:marTop w:val="0"/>
      <w:marBottom w:val="0"/>
      <w:divBdr>
        <w:top w:val="none" w:sz="0" w:space="0" w:color="auto"/>
        <w:left w:val="none" w:sz="0" w:space="0" w:color="auto"/>
        <w:bottom w:val="none" w:sz="0" w:space="0" w:color="auto"/>
        <w:right w:val="none" w:sz="0" w:space="0" w:color="auto"/>
      </w:divBdr>
    </w:div>
    <w:div w:id="794256546">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872960572">
      <w:bodyDiv w:val="1"/>
      <w:marLeft w:val="0"/>
      <w:marRight w:val="0"/>
      <w:marTop w:val="0"/>
      <w:marBottom w:val="0"/>
      <w:divBdr>
        <w:top w:val="none" w:sz="0" w:space="0" w:color="auto"/>
        <w:left w:val="none" w:sz="0" w:space="0" w:color="auto"/>
        <w:bottom w:val="none" w:sz="0" w:space="0" w:color="auto"/>
        <w:right w:val="none" w:sz="0" w:space="0" w:color="auto"/>
      </w:divBdr>
    </w:div>
    <w:div w:id="903684991">
      <w:bodyDiv w:val="1"/>
      <w:marLeft w:val="0"/>
      <w:marRight w:val="0"/>
      <w:marTop w:val="0"/>
      <w:marBottom w:val="0"/>
      <w:divBdr>
        <w:top w:val="none" w:sz="0" w:space="0" w:color="auto"/>
        <w:left w:val="none" w:sz="0" w:space="0" w:color="auto"/>
        <w:bottom w:val="none" w:sz="0" w:space="0" w:color="auto"/>
        <w:right w:val="none" w:sz="0" w:space="0" w:color="auto"/>
      </w:divBdr>
    </w:div>
    <w:div w:id="936448610">
      <w:bodyDiv w:val="1"/>
      <w:marLeft w:val="0"/>
      <w:marRight w:val="0"/>
      <w:marTop w:val="0"/>
      <w:marBottom w:val="0"/>
      <w:divBdr>
        <w:top w:val="none" w:sz="0" w:space="0" w:color="auto"/>
        <w:left w:val="none" w:sz="0" w:space="0" w:color="auto"/>
        <w:bottom w:val="none" w:sz="0" w:space="0" w:color="auto"/>
        <w:right w:val="none" w:sz="0" w:space="0" w:color="auto"/>
      </w:divBdr>
    </w:div>
    <w:div w:id="1037201456">
      <w:bodyDiv w:val="1"/>
      <w:marLeft w:val="0"/>
      <w:marRight w:val="0"/>
      <w:marTop w:val="0"/>
      <w:marBottom w:val="0"/>
      <w:divBdr>
        <w:top w:val="none" w:sz="0" w:space="0" w:color="auto"/>
        <w:left w:val="none" w:sz="0" w:space="0" w:color="auto"/>
        <w:bottom w:val="none" w:sz="0" w:space="0" w:color="auto"/>
        <w:right w:val="none" w:sz="0" w:space="0" w:color="auto"/>
      </w:divBdr>
    </w:div>
    <w:div w:id="1083256394">
      <w:bodyDiv w:val="1"/>
      <w:marLeft w:val="0"/>
      <w:marRight w:val="0"/>
      <w:marTop w:val="0"/>
      <w:marBottom w:val="0"/>
      <w:divBdr>
        <w:top w:val="none" w:sz="0" w:space="0" w:color="auto"/>
        <w:left w:val="none" w:sz="0" w:space="0" w:color="auto"/>
        <w:bottom w:val="none" w:sz="0" w:space="0" w:color="auto"/>
        <w:right w:val="none" w:sz="0" w:space="0" w:color="auto"/>
      </w:divBdr>
    </w:div>
    <w:div w:id="1116102287">
      <w:bodyDiv w:val="1"/>
      <w:marLeft w:val="0"/>
      <w:marRight w:val="0"/>
      <w:marTop w:val="0"/>
      <w:marBottom w:val="0"/>
      <w:divBdr>
        <w:top w:val="none" w:sz="0" w:space="0" w:color="auto"/>
        <w:left w:val="none" w:sz="0" w:space="0" w:color="auto"/>
        <w:bottom w:val="none" w:sz="0" w:space="0" w:color="auto"/>
        <w:right w:val="none" w:sz="0" w:space="0" w:color="auto"/>
      </w:divBdr>
    </w:div>
    <w:div w:id="1166941963">
      <w:bodyDiv w:val="1"/>
      <w:marLeft w:val="0"/>
      <w:marRight w:val="0"/>
      <w:marTop w:val="0"/>
      <w:marBottom w:val="0"/>
      <w:divBdr>
        <w:top w:val="none" w:sz="0" w:space="0" w:color="auto"/>
        <w:left w:val="none" w:sz="0" w:space="0" w:color="auto"/>
        <w:bottom w:val="none" w:sz="0" w:space="0" w:color="auto"/>
        <w:right w:val="none" w:sz="0" w:space="0" w:color="auto"/>
      </w:divBdr>
    </w:div>
    <w:div w:id="1209101605">
      <w:bodyDiv w:val="1"/>
      <w:marLeft w:val="0"/>
      <w:marRight w:val="0"/>
      <w:marTop w:val="0"/>
      <w:marBottom w:val="0"/>
      <w:divBdr>
        <w:top w:val="none" w:sz="0" w:space="0" w:color="auto"/>
        <w:left w:val="none" w:sz="0" w:space="0" w:color="auto"/>
        <w:bottom w:val="none" w:sz="0" w:space="0" w:color="auto"/>
        <w:right w:val="none" w:sz="0" w:space="0" w:color="auto"/>
      </w:divBdr>
    </w:div>
    <w:div w:id="1287085002">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39884926">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386877360">
      <w:bodyDiv w:val="1"/>
      <w:marLeft w:val="0"/>
      <w:marRight w:val="0"/>
      <w:marTop w:val="0"/>
      <w:marBottom w:val="0"/>
      <w:divBdr>
        <w:top w:val="none" w:sz="0" w:space="0" w:color="auto"/>
        <w:left w:val="none" w:sz="0" w:space="0" w:color="auto"/>
        <w:bottom w:val="none" w:sz="0" w:space="0" w:color="auto"/>
        <w:right w:val="none" w:sz="0" w:space="0" w:color="auto"/>
      </w:divBdr>
    </w:div>
    <w:div w:id="1418408382">
      <w:bodyDiv w:val="1"/>
      <w:marLeft w:val="0"/>
      <w:marRight w:val="0"/>
      <w:marTop w:val="0"/>
      <w:marBottom w:val="0"/>
      <w:divBdr>
        <w:top w:val="none" w:sz="0" w:space="0" w:color="auto"/>
        <w:left w:val="none" w:sz="0" w:space="0" w:color="auto"/>
        <w:bottom w:val="none" w:sz="0" w:space="0" w:color="auto"/>
        <w:right w:val="none" w:sz="0" w:space="0" w:color="auto"/>
      </w:divBdr>
    </w:div>
    <w:div w:id="1480926556">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30603629">
      <w:bodyDiv w:val="1"/>
      <w:marLeft w:val="0"/>
      <w:marRight w:val="0"/>
      <w:marTop w:val="0"/>
      <w:marBottom w:val="0"/>
      <w:divBdr>
        <w:top w:val="none" w:sz="0" w:space="0" w:color="auto"/>
        <w:left w:val="none" w:sz="0" w:space="0" w:color="auto"/>
        <w:bottom w:val="none" w:sz="0" w:space="0" w:color="auto"/>
        <w:right w:val="none" w:sz="0" w:space="0" w:color="auto"/>
      </w:divBdr>
    </w:div>
    <w:div w:id="1561595621">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597907770">
      <w:bodyDiv w:val="1"/>
      <w:marLeft w:val="0"/>
      <w:marRight w:val="0"/>
      <w:marTop w:val="0"/>
      <w:marBottom w:val="0"/>
      <w:divBdr>
        <w:top w:val="none" w:sz="0" w:space="0" w:color="auto"/>
        <w:left w:val="none" w:sz="0" w:space="0" w:color="auto"/>
        <w:bottom w:val="none" w:sz="0" w:space="0" w:color="auto"/>
        <w:right w:val="none" w:sz="0" w:space="0" w:color="auto"/>
      </w:divBdr>
    </w:div>
    <w:div w:id="1704864850">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32546730">
      <w:bodyDiv w:val="1"/>
      <w:marLeft w:val="0"/>
      <w:marRight w:val="0"/>
      <w:marTop w:val="0"/>
      <w:marBottom w:val="0"/>
      <w:divBdr>
        <w:top w:val="none" w:sz="0" w:space="0" w:color="auto"/>
        <w:left w:val="none" w:sz="0" w:space="0" w:color="auto"/>
        <w:bottom w:val="none" w:sz="0" w:space="0" w:color="auto"/>
        <w:right w:val="none" w:sz="0" w:space="0" w:color="auto"/>
      </w:divBdr>
    </w:div>
    <w:div w:id="1955284289">
      <w:bodyDiv w:val="1"/>
      <w:marLeft w:val="0"/>
      <w:marRight w:val="0"/>
      <w:marTop w:val="0"/>
      <w:marBottom w:val="0"/>
      <w:divBdr>
        <w:top w:val="none" w:sz="0" w:space="0" w:color="auto"/>
        <w:left w:val="none" w:sz="0" w:space="0" w:color="auto"/>
        <w:bottom w:val="none" w:sz="0" w:space="0" w:color="auto"/>
        <w:right w:val="none" w:sz="0" w:space="0" w:color="auto"/>
      </w:divBdr>
    </w:div>
    <w:div w:id="1964071218">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081907327">
      <w:bodyDiv w:val="1"/>
      <w:marLeft w:val="0"/>
      <w:marRight w:val="0"/>
      <w:marTop w:val="0"/>
      <w:marBottom w:val="0"/>
      <w:divBdr>
        <w:top w:val="none" w:sz="0" w:space="0" w:color="auto"/>
        <w:left w:val="none" w:sz="0" w:space="0" w:color="auto"/>
        <w:bottom w:val="none" w:sz="0" w:space="0" w:color="auto"/>
        <w:right w:val="none" w:sz="0" w:space="0" w:color="auto"/>
      </w:divBdr>
    </w:div>
    <w:div w:id="2130319972">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elacionciudadano@minhacienda.gov.c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lacionciudadano@minhacienda.gov.co"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hacienda.gov.co/transparencia/planeacion-presupuesto-informes-contables/planes/institucional/20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ormato_x0020_Documento xmlns="82ecf687-28d5-485b-a37e-d2c94b36a158" xsi:nil="true"/>
    <Nivel_x0020_Macroproceso xmlns="1d121436-e6f9-4fa4-bb3f-81f41704d615" xsi:nil="true"/>
    <Macroproceso xmlns="1d121436-e6f9-4fa4-bb3f-81f41704d615">Direccionamiento Estratégico</Macroproceso>
    <Proceso xmlns="1d121436-e6f9-4fa4-bb3f-81f41704d615">Est. 1.1 Planeación estratégica sectorial e institucional</Proceso>
    <Autores xmlns="82ecf687-28d5-485b-a37e-d2c94b36a158">
      <UserInfo>
        <DisplayName/>
        <AccountId xsi:nil="true"/>
        <AccountType/>
      </UserInfo>
    </Autores>
    <Idioma_x0020_Documento xmlns="82ecf687-28d5-485b-a37e-d2c94b36a158">Español</Idioma_x0020_Documento>
    <Dependencia xmlns="82ecf687-28d5-485b-a37e-d2c94b36a158" xsi:nil="true"/>
    <Fecha_x0020_del_x0020_Documento xmlns="82ecf687-28d5-485b-a37e-d2c94b36a158" xsi:nil="true"/>
    <Palabras_x0020_Claves xmlns="82ecf687-28d5-485b-a37e-d2c94b36a158" xsi:nil="true"/>
    <Resumen_x0020_del_x0020_Documento xmlns="82ecf687-28d5-485b-a37e-d2c94b36a158" xsi:nil="true"/>
    <Nivel xmlns="1d121436-e6f9-4fa4-bb3f-81f41704d615">40</Nivel>
    <Versión_x0020_Documento xmlns="1d121436-e6f9-4fa4-bb3f-81f41704d615" xsi:nil="true"/>
    <Año xmlns="1d121436-e6f9-4fa4-bb3f-81f41704d615">2010</Añ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cesos" ma:contentTypeID="0x010100573F15B938A7B6429AEA0C0F1940861C0045BFD1C53663AD49BBF44BA50A824273" ma:contentTypeVersion="12" ma:contentTypeDescription="Crear nuevo documento." ma:contentTypeScope="" ma:versionID="3bdf8c8d2e4e93f8e31ae25e76d1e80f">
  <xsd:schema xmlns:xsd="http://www.w3.org/2001/XMLSchema" xmlns:xs="http://www.w3.org/2001/XMLSchema" xmlns:p="http://schemas.microsoft.com/office/2006/metadata/properties" xmlns:ns2="1d121436-e6f9-4fa4-bb3f-81f41704d615" xmlns:ns3="82ecf687-28d5-485b-a37e-d2c94b36a158" xmlns:ns4="aac6e9ca-a293-4c82-8e9f-9055b12d24a8" targetNamespace="http://schemas.microsoft.com/office/2006/metadata/properties" ma:root="true" ma:fieldsID="3d36f2b250b22e6dc7e44147c8ef86fe" ns2:_="" ns3:_="" ns4:_="">
    <xsd:import namespace="1d121436-e6f9-4fa4-bb3f-81f41704d615"/>
    <xsd:import namespace="82ecf687-28d5-485b-a37e-d2c94b36a158"/>
    <xsd:import namespace="aac6e9ca-a293-4c82-8e9f-9055b12d24a8"/>
    <xsd:element name="properties">
      <xsd:complexType>
        <xsd:sequence>
          <xsd:element name="documentManagement">
            <xsd:complexType>
              <xsd:all>
                <xsd:element ref="ns2:Año" minOccurs="0"/>
                <xsd:element ref="ns3:Autores" minOccurs="0"/>
                <xsd:element ref="ns3:Dependencia" minOccurs="0"/>
                <xsd:element ref="ns3:Fecha_x0020_del_x0020_Documento" minOccurs="0"/>
                <xsd:element ref="ns3:Formato_x0020_Documento" minOccurs="0"/>
                <xsd:element ref="ns3:Idioma_x0020_Documento" minOccurs="0"/>
                <xsd:element ref="ns3:Palabras_x0020_Claves" minOccurs="0"/>
                <xsd:element ref="ns3:Resumen_x0020_del_x0020_Documento" minOccurs="0"/>
                <xsd:element ref="ns2:Versión_x0020_Documento" minOccurs="0"/>
                <xsd:element ref="ns2:Macroproceso" minOccurs="0"/>
                <xsd:element ref="ns2:Proceso" minOccurs="0"/>
                <xsd:element ref="ns2:Nivel" minOccurs="0"/>
                <xsd:element ref="ns2:Nivel_x0020_Macroproceso"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1436-e6f9-4fa4-bb3f-81f41704d615" elementFormDefault="qualified">
    <xsd:import namespace="http://schemas.microsoft.com/office/2006/documentManagement/types"/>
    <xsd:import namespace="http://schemas.microsoft.com/office/infopath/2007/PartnerControls"/>
    <xsd:element name="Año" ma:index="2" nillable="true" ma:displayName="Año" ma:default="2010" ma:format="Dropdown" ma:internalName="A_x00f1_o"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element name="Versión_x0020_Documento" ma:index="10" nillable="true" ma:displayName="Versión Documento" ma:format="Dropdown" ma:internalName="Versi_x00f3_n_x0020_Documento" ma:readOnly="false">
      <xsd:simpleType>
        <xsd:restriction base="dms:Choice">
          <xsd:enumeration value="Definitiva"/>
          <xsd:enumeration value="En Estudio"/>
          <xsd:enumeration value="Preliminar"/>
        </xsd:restriction>
      </xsd:simpleType>
    </xsd:element>
    <xsd:element name="Macroproceso" ma:index="11" nillable="true" ma:displayName="Macroproceso" ma:default="Direccionamiento Estratégico" ma:format="Dropdown" ma:internalName="Macroproceso" ma:readOnly="false">
      <xsd:simpleType>
        <xsd:restriction base="dms:Choice">
          <xsd:enumeration value="Direccionamiento Estratégico"/>
          <xsd:enumeration value="Coordinación de la Política Macroeconómica y Definición de la Política Fiscal"/>
          <xsd:enumeration value="Gestión Presupuestal de los Recursos de la Nación"/>
          <xsd:enumeration value="Administración de Recursos Económicos"/>
          <xsd:enumeration value="Intervención Económica"/>
          <xsd:enumeration value="Gestión Tecnológica"/>
          <xsd:enumeration value="Gestión Humana"/>
          <xsd:enumeration value="Gestión Financiera"/>
          <xsd:enumeration value="Gestión de Bienes y Servicios"/>
          <xsd:enumeration value="Gestión Jurídica"/>
          <xsd:enumeration value="Evaluación"/>
          <xsd:enumeration value="Gestión de Cliente"/>
          <xsd:enumeration value="Comunicación Estratégica"/>
          <xsd:enumeration value="Gestión Normativa"/>
          <xsd:enumeration value="Atención al Ciudadano y Derechos de Petición"/>
          <xsd:enumeration value="Gestión TIC y de la Información"/>
        </xsd:restriction>
      </xsd:simpleType>
    </xsd:element>
    <xsd:element name="Proceso" ma:index="12" nillable="true" ma:displayName="Proceso" ma:default="Est. 1.3 Gestión de Comunicaciones" ma:format="Dropdown" ma:internalName="Proceso" ma:readOnly="false">
      <xsd:simpleType>
        <xsd:restriction base="dms:Choice">
          <xsd:enumeration value="Est. 1.1 Formulación y Seguimiento a Planes institucionales y sectoriales"/>
          <xsd:enumeration value="Est. 1.1 Planeación estratégica sectorial e institucional"/>
          <xsd:enumeration value="Est. 1.2 Gestión de Relaciones con Inversionistas"/>
          <xsd:enumeration value="Est. 1.3 Gestión de Comunicaciones"/>
          <xsd:enumeration value="Est. 1.4 Administración del Sistema Único de Gestión"/>
          <xsd:enumeration value="Est. 1.4 Administración, mejoramiento e innovación del SUG"/>
          <xsd:enumeration value="Mis. 1.1 Coordinación y Seguimiento de la Política Macroeconómica y Fiscal"/>
          <xsd:enumeration value="Mis. 2.1 Programación Presupuestal de los recursos de la Nación"/>
          <xsd:enumeration value="Mis. 2.2 Administración y seguimiento a la ejecución presupuestal"/>
          <xsd:enumeration value="Mis. 3.1 Financiamiento Interno"/>
          <xsd:enumeration value="Mis. 3.2 Financiamiento a Entidades"/>
          <xsd:enumeration value="Mis. 3.3 Financiamiento con Organismos Multilaterales y Gobiernos"/>
          <xsd:enumeration value="Mis. 3.4 Gestión de Liquidez"/>
          <xsd:enumeration value="Mis. 3.5 Gestión de Ingresos, Pagos y Presentación de Estados Financieros"/>
          <xsd:enumeration value="Mis. 3.6 Administración de la Sobretasa de la Gasolina y ACPM"/>
          <xsd:enumeration value="Mis. 3.7 Gestión de exposición patrimonial de la Nación"/>
          <xsd:enumeration value="Mis. 3.7 Gestión de Particiones Estatales y Sistemas Cofinanciados de Transporte Masivo"/>
          <xsd:enumeration value="Mis. 3.8 Apoyo a la Estructuración de Proyectos para la Vinculación de Capital Privado en Sectores de Responsabilidad del Estado"/>
          <xsd:enumeration value="Mis. 3.9 Gestión de Bonos Pensionales"/>
          <xsd:enumeration value="Mis. 3.10 Gestión de Riesgo Fiscal"/>
          <xsd:enumeration value="Mis. 3.11 Apoyo, seguimiento y control del cubrimiento del pasivo pensional de las Entidades Territoriales"/>
          <xsd:enumeration value="Mis. 3.12 Financiamiento Externo"/>
          <xsd:enumeration value="Mis. 3.13 Administración del Sistema Integrado de Información Financiera (SIIF Nación)"/>
          <xsd:enumeration value="Mis. 3.14 Financiamiento Externo de la Nación y relaciones con Inversionistas"/>
          <xsd:enumeration value="Mis. 4.1 Asesoría Tributaria y Financiera a Entidades Territoriales"/>
          <xsd:enumeration value="Mis. 4.2 Monitoreo y Apoyo al Saneamiento Fiscal de Entidades Territoriales"/>
          <xsd:enumeration value="Mis. 4.3 Seguimiento al comportamiento financiero y fiscal del Sistema de Seguridad Social Integral"/>
          <xsd:enumeration value="Mis. 4.4 Expedición Normativa y Emisión de Conceptos"/>
          <xsd:enumeration value="Mis. 4.5 Coordinación de la Ejecución de la estrategia de Monitoreo, seguimiento y control al uso de recursos del Sistema General de Participaciones – SGP"/>
          <xsd:enumeration value="Mis. 4.6 Apoyo al Saneamiento Financiero Pensional de Entidades Estatales"/>
          <xsd:enumeration value="Mis. 4.7 Coordinación  y Seguimiento a los Asuntos Legislativos"/>
          <xsd:enumeration value="Mis.4.8 Viabilidad, monitoreo, seguimiento y evaluación de los Programas de Saneamiento Fiscal y Financiero de las Empresas Sociales del Estado"/>
          <xsd:enumeration value="Mis. 4.8 Viabilidad, monitoreo, seguimiento y evaluación de los Programas de Saneamiento Fiscal y Financiero de las Empresas Sociales del Estado"/>
          <xsd:enumeration value="Mis. 4.8 Viabilidad, modificación, monitoreo, seguimiento y evaluación de los Programas de Saneamiento Fiscal y Financiero de las Empresas Sociales del Estado"/>
          <xsd:enumeration value="Mis. 4.9 Participación en los Órganos Colegiados de Administración y Decisión del Sistema General de Regalías"/>
          <xsd:enumeration value="Apo. 1.1 Gestión de soluciones de software"/>
          <xsd:enumeration value="Apo. 1.2 Gestión y soporte  de la infraestructura tecnológica  y servicios tecnológicos"/>
          <xsd:enumeration value="Apo. 2.1 Administración de Planta de Personal"/>
          <xsd:enumeration value="Apo. 2.1 Administración de Personal"/>
          <xsd:enumeration value="Apo. 2.2 Desarrollo de Personal"/>
          <xsd:enumeration value="Apo. 2.3 Gestión de Comisión Interior o Exterior"/>
          <xsd:enumeration value="Apo. 2.4 Generación de la Nómina"/>
          <xsd:enumeration value="Apo. 2.5 Control Disciplinario Interno"/>
          <xsd:enumeration value="Apo. 3.1 Gestión Presupuestal del MHCP y del Marco de Gasto de Mediano Plazo del Sector Hacienda"/>
          <xsd:enumeration value="Apo. 3.2 Registro presupuestal y contable y pago de las obligaciones del MHCP"/>
          <xsd:enumeration value="Apo. 3.3 Preparación y presentación de los Estados Financieros del Ministerio de Hacienda y Crédito"/>
          <xsd:enumeration value="Apo. 4.1 Adquisición de Bienes y Servicios"/>
          <xsd:enumeration value="Apo. 4.2 Administración de Bienes y Servicios"/>
          <xsd:enumeration value="Apo. 4.3 Gestión de Información"/>
          <xsd:enumeration value="Apo. 4.4 Planeación y Gestión de Proyectos con Fondos de Organismos Multilaterales de Crédito"/>
          <xsd:enumeration value="Apo. 4.5 Gestión Ambiental"/>
          <xsd:enumeration value="Apo. 5.1 Defensa Judicial, pago de sentencias y conciliaciones"/>
          <xsd:enumeration value="Apo. 5.2 Atención a Derechos de Petición y Emisión de Conceptos Jurídicos"/>
          <xsd:enumeration value="Apo. 5.3 Cartera"/>
          <xsd:enumeration value="Eva. 1.1 Evaluación Independiente"/>
          <xsd:enumeration value="Esp. 1.1 Gestión de Servicio al Cliente"/>
          <xsd:enumeration value="Esp. 1.1 Atención al ciudadano e instituciones"/>
          <xsd:enumeration value="Mis.5.1 Expedición Normativa y Emisión de Conceptos"/>
          <xsd:enumeration value="Mis.5.2 Coordinación  y Seguimiento a los Asuntos Legislativos"/>
          <xsd:enumeration value="Apo.6.1 Atención al ciudadano e instituciones"/>
          <xsd:enumeration value="Apo.6.2 Atención a Derechos de Petición y Emisión de Conceptos Jurídicos"/>
          <xsd:enumeration value="Eva.1.2 Control Disciplinario Interno"/>
          <xsd:enumeration value="Apo.1.4 Gestión de Información"/>
          <xsd:enumeration value="Est.2.1 Gestión de Comunicaciones"/>
          <xsd:enumeration value="Apo.6.3 Gestión de Biblioteca"/>
          <xsd:enumeration value="Est.1.4 Administración y mejoramiento del SUG"/>
        </xsd:restriction>
      </xsd:simpleType>
    </xsd:element>
    <xsd:element name="Nivel" ma:index="13" nillable="true" ma:displayName="Nivel" ma:decimals="0" ma:internalName="Nivel" ma:readOnly="false" ma:percentage="FALSE">
      <xsd:simpleType>
        <xsd:restriction base="dms:Number"/>
      </xsd:simpleType>
    </xsd:element>
    <xsd:element name="Nivel_x0020_Macroproceso" ma:index="14" nillable="true" ma:displayName="Nivel Macroproceso" ma:decimals="0" ma:description="Para odenar la publicación de los macroprocesos:&#10;0 = Direccionamiento Estratégico&#10;1 = Coordinación y seg. de la política Macroeconómica y fiscal.&#10;2 = Gestión presupuestal de las entidades públicas.&#10;3 = Administración de recursos económicos&#10;4 = Intervención económica&#10;5 = Gestión Tecnológica&#10;6 = Gestión Humana&#10;7 = Gestión Financiera&#10;8 = Gestión de Bienes y Servicios&#10;9 = Gestión Jurídica&#10;10 = Evaluación&#10;11 = Gestión del Cliente" ma:internalName="Nivel_x0020_Macroproceso" ma:readOnly="false" ma:percentage="FALSE">
      <xsd:simpleType>
        <xsd:restriction base="dms:Number">
          <xsd:maxInclusive value="1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82ecf687-28d5-485b-a37e-d2c94b36a158" elementFormDefault="qualified">
    <xsd:import namespace="http://schemas.microsoft.com/office/2006/documentManagement/types"/>
    <xsd:import namespace="http://schemas.microsoft.com/office/infopath/2007/PartnerControls"/>
    <xsd:element name="Autores" ma:index="3" nillable="true" ma:displayName="Autores" ma:list="UserInfo" ma:SharePointGroup="0" ma:internalName="Autore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endencia" ma:index="4" nillable="true" ma:displayName="Dependencia" ma:format="Dropdown" ma:internalName="Dependencia" ma:readOnly="false">
      <xsd:simpleType>
        <xsd:restriction base="dms:Choice">
          <xsd:enumeration value="Despacho del Ministro de Hacienda y Cr. Pbco"/>
          <xsd:enumeration value="Dirección Administrativa"/>
          <xsd:enumeration value="Dirección de Tecnología"/>
          <xsd:enumeration value="Dirección General de Apoyo Fiscal"/>
          <xsd:enumeration value="Dirección General de Cr. Pbco. y del Tesoro Nal."/>
          <xsd:enumeration value="Dirección General de Política Macroeconómica"/>
          <xsd:enumeration value="Dirección General de Reg. Eco. de la Seguridad Social"/>
          <xsd:enumeration value="Dirección General de Regulación Financiera"/>
          <xsd:enumeration value="Dirección General de Presupuesto público Nacional"/>
          <xsd:enumeration value="Oficina de Control Disciplinario Interno"/>
          <xsd:enumeration value="Secretaría General"/>
          <xsd:enumeration value="Viceministerio General"/>
          <xsd:enumeration value="Viceministerio Técnico"/>
        </xsd:restriction>
      </xsd:simpleType>
    </xsd:element>
    <xsd:element name="Fecha_x0020_del_x0020_Documento" ma:index="5" nillable="true" ma:displayName="Fecha del Documento" ma:format="DateOnly" ma:internalName="Fecha_x0020_del_x0020_Documento" ma:readOnly="false">
      <xsd:simpleType>
        <xsd:restriction base="dms:DateTime"/>
      </xsd:simpleType>
    </xsd:element>
    <xsd:element name="Formato_x0020_Documento" ma:index="6" nillable="true" ma:displayName="Formato Documento" ma:format="Dropdown" ma:internalName="Formato_x0020_Documento" ma:readOnly="false">
      <xsd:simpleType>
        <xsd:restriction base="dms:Choice">
          <xsd:enumeration value="DOC"/>
          <xsd:enumeration value="PPT"/>
          <xsd:enumeration value="XLS"/>
          <xsd:enumeration value="PDF"/>
          <xsd:enumeration value="Outlook"/>
        </xsd:restriction>
      </xsd:simpleType>
    </xsd:element>
    <xsd:element name="Idioma_x0020_Documento" ma:index="7" nillable="true" ma:displayName="Idioma Documento" ma:default="Español" ma:format="Dropdown" ma:internalName="Idioma_x0020_Documento" ma:readOnly="false">
      <xsd:simpleType>
        <xsd:restriction base="dms:Choice">
          <xsd:enumeration value="Español"/>
          <xsd:enumeration value="Inglés"/>
          <xsd:enumeration value="Francés"/>
          <xsd:enumeration value="Alemán"/>
          <xsd:enumeration value="Japonés"/>
        </xsd:restriction>
      </xsd:simpleType>
    </xsd:element>
    <xsd:element name="Palabras_x0020_Claves" ma:index="8" nillable="true" ma:displayName="Palabras Claves" ma:internalName="Palabras_x0020_Claves" ma:readOnly="false">
      <xsd:simpleType>
        <xsd:restriction base="dms:Note">
          <xsd:maxLength value="255"/>
        </xsd:restriction>
      </xsd:simpleType>
    </xsd:element>
    <xsd:element name="Resumen_x0020_del_x0020_Documento" ma:index="9" nillable="true" ma:displayName="Resumen del Documento" ma:internalName="Resumen_x0020_del_x0020_Documen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2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E231A-FCF4-4E56-81F0-DB0A34FDE816}">
  <ds:schemaRefs>
    <ds:schemaRef ds:uri="http://schemas.openxmlformats.org/officeDocument/2006/bibliography"/>
  </ds:schemaRefs>
</ds:datastoreItem>
</file>

<file path=customXml/itemProps2.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82ecf687-28d5-485b-a37e-d2c94b36a158"/>
    <ds:schemaRef ds:uri="1d121436-e6f9-4fa4-bb3f-81f41704d615"/>
  </ds:schemaRefs>
</ds:datastoreItem>
</file>

<file path=customXml/itemProps3.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4.xml><?xml version="1.0" encoding="utf-8"?>
<ds:datastoreItem xmlns:ds="http://schemas.openxmlformats.org/officeDocument/2006/customXml" ds:itemID="{C14367EB-83E9-4F6D-8EBE-4B2FFFD4C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1436-e6f9-4fa4-bb3f-81f41704d615"/>
    <ds:schemaRef ds:uri="82ecf687-28d5-485b-a37e-d2c94b36a158"/>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14</Pages>
  <Words>3617</Words>
  <Characters>19897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Leonardo Martinez Puerto</cp:lastModifiedBy>
  <cp:revision>10</cp:revision>
  <dcterms:created xsi:type="dcterms:W3CDTF">2025-07-02T15:01:00Z</dcterms:created>
  <dcterms:modified xsi:type="dcterms:W3CDTF">2025-09-16T16:35:00Z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0x010100573F15B938A7B6429AEA0C0F1940861C0045BFD1C53663AD49BBF44BA50A824273</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ies>
</file>