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48769" w14:textId="5C2C9EC3" w:rsidR="00D16D88" w:rsidRDefault="00D16D88" w:rsidP="0089458E">
      <w:pPr>
        <w:spacing w:line="252" w:lineRule="auto"/>
        <w:jc w:val="center"/>
        <w:rPr>
          <w:rFonts w:ascii="Verdana" w:hAnsi="Verdana" w:cs="Arial"/>
          <w:b/>
          <w:bCs/>
          <w:sz w:val="21"/>
          <w:szCs w:val="21"/>
        </w:rPr>
      </w:pPr>
      <w:r>
        <w:rPr>
          <w:rFonts w:ascii="Verdana" w:hAnsi="Verdana" w:cs="Arial"/>
          <w:b/>
          <w:bCs/>
          <w:noProof/>
          <w:color w:val="00276B"/>
        </w:rPr>
        <w:drawing>
          <wp:anchor distT="0" distB="0" distL="114300" distR="114300" simplePos="0" relativeHeight="251659264" behindDoc="1" locked="0" layoutInCell="1" allowOverlap="1" wp14:anchorId="13882D40" wp14:editId="3B72BA69">
            <wp:simplePos x="0" y="0"/>
            <wp:positionH relativeFrom="page">
              <wp:align>right</wp:align>
            </wp:positionH>
            <wp:positionV relativeFrom="paragraph">
              <wp:posOffset>-1562174</wp:posOffset>
            </wp:positionV>
            <wp:extent cx="7772400" cy="10058400"/>
            <wp:effectExtent l="0" t="0" r="0" b="0"/>
            <wp:wrapNone/>
            <wp:docPr id="385787512" name="Imagen 1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87512" name="Imagen 13" descr="Interfaz de usuario gráfica, Sitio web&#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7DCD53C" w14:textId="77777777" w:rsidR="00D16D88" w:rsidRDefault="00D16D88" w:rsidP="0089458E">
      <w:pPr>
        <w:spacing w:line="252" w:lineRule="auto"/>
        <w:jc w:val="center"/>
        <w:rPr>
          <w:rFonts w:ascii="Verdana" w:hAnsi="Verdana" w:cs="Arial"/>
          <w:b/>
          <w:bCs/>
          <w:sz w:val="21"/>
          <w:szCs w:val="21"/>
        </w:rPr>
      </w:pPr>
    </w:p>
    <w:p w14:paraId="21912C28" w14:textId="2BF589F3" w:rsidR="00D16D88" w:rsidRDefault="00D16D88" w:rsidP="0089458E">
      <w:pPr>
        <w:spacing w:line="252" w:lineRule="auto"/>
        <w:jc w:val="center"/>
        <w:rPr>
          <w:rFonts w:ascii="Verdana" w:hAnsi="Verdana" w:cs="Arial"/>
          <w:b/>
          <w:bCs/>
          <w:sz w:val="21"/>
          <w:szCs w:val="21"/>
        </w:rPr>
      </w:pPr>
    </w:p>
    <w:p w14:paraId="1425AF9E" w14:textId="77777777" w:rsidR="00D16D88" w:rsidRDefault="00D16D88" w:rsidP="0089458E">
      <w:pPr>
        <w:spacing w:line="252" w:lineRule="auto"/>
        <w:jc w:val="center"/>
        <w:rPr>
          <w:rFonts w:ascii="Verdana" w:hAnsi="Verdana" w:cs="Arial"/>
          <w:b/>
          <w:bCs/>
          <w:sz w:val="21"/>
          <w:szCs w:val="21"/>
        </w:rPr>
      </w:pPr>
    </w:p>
    <w:p w14:paraId="1282C925" w14:textId="77777777" w:rsidR="00D16D88" w:rsidRDefault="00D16D88" w:rsidP="0089458E">
      <w:pPr>
        <w:spacing w:line="252" w:lineRule="auto"/>
        <w:jc w:val="center"/>
        <w:rPr>
          <w:rFonts w:ascii="Verdana" w:hAnsi="Verdana" w:cs="Arial"/>
          <w:b/>
          <w:bCs/>
          <w:sz w:val="21"/>
          <w:szCs w:val="21"/>
        </w:rPr>
      </w:pPr>
    </w:p>
    <w:p w14:paraId="35753065" w14:textId="77777777" w:rsidR="00D16D88" w:rsidRDefault="00D16D88" w:rsidP="0089458E">
      <w:pPr>
        <w:spacing w:line="252" w:lineRule="auto"/>
        <w:jc w:val="center"/>
        <w:rPr>
          <w:rFonts w:ascii="Verdana" w:hAnsi="Verdana" w:cs="Arial"/>
          <w:b/>
          <w:bCs/>
          <w:sz w:val="21"/>
          <w:szCs w:val="21"/>
        </w:rPr>
      </w:pPr>
    </w:p>
    <w:p w14:paraId="69180FB9" w14:textId="79B7047C" w:rsidR="00D16D88" w:rsidRDefault="00D16D88" w:rsidP="0089458E">
      <w:pPr>
        <w:spacing w:line="252" w:lineRule="auto"/>
        <w:jc w:val="center"/>
        <w:rPr>
          <w:rFonts w:ascii="Verdana" w:hAnsi="Verdana" w:cs="Arial"/>
          <w:b/>
          <w:bCs/>
          <w:sz w:val="21"/>
          <w:szCs w:val="21"/>
        </w:rPr>
      </w:pPr>
    </w:p>
    <w:p w14:paraId="799CE91C" w14:textId="77777777" w:rsidR="00D16D88" w:rsidRDefault="00D16D88" w:rsidP="0089458E">
      <w:pPr>
        <w:spacing w:line="252" w:lineRule="auto"/>
        <w:jc w:val="center"/>
        <w:rPr>
          <w:rFonts w:ascii="Verdana" w:hAnsi="Verdana" w:cs="Arial"/>
          <w:b/>
          <w:bCs/>
          <w:sz w:val="21"/>
          <w:szCs w:val="21"/>
        </w:rPr>
      </w:pPr>
    </w:p>
    <w:p w14:paraId="28E750A8" w14:textId="77777777" w:rsidR="00D16D88" w:rsidRDefault="00D16D88" w:rsidP="0089458E">
      <w:pPr>
        <w:spacing w:line="252" w:lineRule="auto"/>
        <w:jc w:val="center"/>
        <w:rPr>
          <w:rFonts w:ascii="Verdana" w:hAnsi="Verdana" w:cs="Arial"/>
          <w:b/>
          <w:bCs/>
          <w:sz w:val="21"/>
          <w:szCs w:val="21"/>
        </w:rPr>
      </w:pPr>
    </w:p>
    <w:p w14:paraId="30BB58BF" w14:textId="77777777" w:rsidR="00D16D88" w:rsidRDefault="00D16D88" w:rsidP="0089458E">
      <w:pPr>
        <w:spacing w:line="252" w:lineRule="auto"/>
        <w:jc w:val="center"/>
        <w:rPr>
          <w:rFonts w:ascii="Verdana" w:hAnsi="Verdana" w:cs="Arial"/>
          <w:b/>
          <w:bCs/>
          <w:sz w:val="21"/>
          <w:szCs w:val="21"/>
        </w:rPr>
      </w:pPr>
    </w:p>
    <w:p w14:paraId="589798FF" w14:textId="77777777" w:rsidR="00D16D88" w:rsidRDefault="00D16D88" w:rsidP="0089458E">
      <w:pPr>
        <w:spacing w:line="252" w:lineRule="auto"/>
        <w:jc w:val="center"/>
        <w:rPr>
          <w:rFonts w:ascii="Verdana" w:hAnsi="Verdana" w:cs="Arial"/>
          <w:b/>
          <w:bCs/>
          <w:sz w:val="21"/>
          <w:szCs w:val="21"/>
        </w:rPr>
      </w:pPr>
    </w:p>
    <w:p w14:paraId="74C2D10C" w14:textId="02990D05" w:rsidR="00D16D88" w:rsidRDefault="00D16D88" w:rsidP="0089458E">
      <w:pPr>
        <w:spacing w:line="252" w:lineRule="auto"/>
        <w:jc w:val="center"/>
        <w:rPr>
          <w:rFonts w:ascii="Verdana" w:hAnsi="Verdana" w:cs="Arial"/>
          <w:b/>
          <w:bCs/>
          <w:sz w:val="21"/>
          <w:szCs w:val="21"/>
        </w:rPr>
      </w:pPr>
    </w:p>
    <w:p w14:paraId="1192008C" w14:textId="77777777" w:rsidR="00D16D88" w:rsidRDefault="00D16D88" w:rsidP="0089458E">
      <w:pPr>
        <w:spacing w:line="252" w:lineRule="auto"/>
        <w:jc w:val="center"/>
        <w:rPr>
          <w:rFonts w:ascii="Verdana" w:hAnsi="Verdana" w:cs="Arial"/>
          <w:b/>
          <w:bCs/>
          <w:sz w:val="21"/>
          <w:szCs w:val="21"/>
        </w:rPr>
      </w:pPr>
    </w:p>
    <w:p w14:paraId="0F4CC291" w14:textId="77777777" w:rsidR="00D16D88" w:rsidRDefault="00D16D88" w:rsidP="0089458E">
      <w:pPr>
        <w:spacing w:line="252" w:lineRule="auto"/>
        <w:jc w:val="center"/>
        <w:rPr>
          <w:rFonts w:ascii="Verdana" w:hAnsi="Verdana" w:cs="Arial"/>
          <w:b/>
          <w:bCs/>
          <w:sz w:val="21"/>
          <w:szCs w:val="21"/>
        </w:rPr>
      </w:pPr>
    </w:p>
    <w:p w14:paraId="021E928C" w14:textId="77777777" w:rsidR="00D16D88" w:rsidRDefault="00D16D88" w:rsidP="0089458E">
      <w:pPr>
        <w:spacing w:line="252" w:lineRule="auto"/>
        <w:jc w:val="center"/>
        <w:rPr>
          <w:rFonts w:ascii="Verdana" w:hAnsi="Verdana" w:cs="Arial"/>
          <w:b/>
          <w:bCs/>
          <w:sz w:val="21"/>
          <w:szCs w:val="21"/>
        </w:rPr>
      </w:pPr>
    </w:p>
    <w:p w14:paraId="1FE90D70" w14:textId="77777777" w:rsidR="00D16D88" w:rsidRDefault="00D16D88" w:rsidP="0089458E">
      <w:pPr>
        <w:spacing w:line="252" w:lineRule="auto"/>
        <w:jc w:val="center"/>
        <w:rPr>
          <w:rFonts w:ascii="Verdana" w:hAnsi="Verdana" w:cs="Arial"/>
          <w:b/>
          <w:bCs/>
          <w:sz w:val="21"/>
          <w:szCs w:val="21"/>
        </w:rPr>
      </w:pPr>
    </w:p>
    <w:p w14:paraId="24DF3CC5" w14:textId="77777777" w:rsidR="00D16D88" w:rsidRDefault="00D16D88" w:rsidP="0089458E">
      <w:pPr>
        <w:spacing w:line="252" w:lineRule="auto"/>
        <w:jc w:val="center"/>
        <w:rPr>
          <w:rFonts w:ascii="Verdana" w:hAnsi="Verdana" w:cs="Arial"/>
          <w:b/>
          <w:bCs/>
          <w:sz w:val="21"/>
          <w:szCs w:val="21"/>
        </w:rPr>
      </w:pPr>
    </w:p>
    <w:p w14:paraId="448CE73F" w14:textId="77777777" w:rsidR="00D16D88" w:rsidRDefault="00D16D88" w:rsidP="0089458E">
      <w:pPr>
        <w:spacing w:line="252" w:lineRule="auto"/>
        <w:jc w:val="center"/>
        <w:rPr>
          <w:rFonts w:ascii="Verdana" w:hAnsi="Verdana" w:cs="Arial"/>
          <w:b/>
          <w:bCs/>
          <w:sz w:val="21"/>
          <w:szCs w:val="21"/>
        </w:rPr>
      </w:pPr>
    </w:p>
    <w:p w14:paraId="6E052C20" w14:textId="77777777" w:rsidR="00D16D88" w:rsidRDefault="00D16D88" w:rsidP="0089458E">
      <w:pPr>
        <w:spacing w:line="252" w:lineRule="auto"/>
        <w:jc w:val="center"/>
        <w:rPr>
          <w:rFonts w:ascii="Verdana" w:hAnsi="Verdana" w:cs="Arial"/>
          <w:b/>
          <w:bCs/>
          <w:sz w:val="21"/>
          <w:szCs w:val="21"/>
        </w:rPr>
      </w:pPr>
    </w:p>
    <w:p w14:paraId="1962A398" w14:textId="77777777" w:rsidR="00D16D88" w:rsidRDefault="00D16D88" w:rsidP="0089458E">
      <w:pPr>
        <w:spacing w:line="252" w:lineRule="auto"/>
        <w:jc w:val="center"/>
        <w:rPr>
          <w:rFonts w:ascii="Verdana" w:hAnsi="Verdana" w:cs="Arial"/>
          <w:b/>
          <w:bCs/>
          <w:sz w:val="21"/>
          <w:szCs w:val="21"/>
        </w:rPr>
      </w:pPr>
    </w:p>
    <w:p w14:paraId="1B2BD19A" w14:textId="77777777" w:rsidR="00D16D88" w:rsidRDefault="00D16D88" w:rsidP="0089458E">
      <w:pPr>
        <w:spacing w:line="252" w:lineRule="auto"/>
        <w:jc w:val="center"/>
        <w:rPr>
          <w:rFonts w:ascii="Verdana" w:hAnsi="Verdana" w:cs="Arial"/>
          <w:b/>
          <w:bCs/>
          <w:sz w:val="21"/>
          <w:szCs w:val="21"/>
        </w:rPr>
      </w:pPr>
    </w:p>
    <w:p w14:paraId="67E0FC4C" w14:textId="77777777" w:rsidR="00D16D88" w:rsidRDefault="00D16D88" w:rsidP="0089458E">
      <w:pPr>
        <w:spacing w:line="252" w:lineRule="auto"/>
        <w:jc w:val="center"/>
        <w:rPr>
          <w:rFonts w:ascii="Verdana" w:hAnsi="Verdana" w:cs="Arial"/>
          <w:b/>
          <w:bCs/>
          <w:sz w:val="21"/>
          <w:szCs w:val="21"/>
        </w:rPr>
      </w:pPr>
    </w:p>
    <w:p w14:paraId="3B278161" w14:textId="77777777" w:rsidR="00D16D88" w:rsidRDefault="00D16D88" w:rsidP="0089458E">
      <w:pPr>
        <w:spacing w:line="252" w:lineRule="auto"/>
        <w:jc w:val="center"/>
        <w:rPr>
          <w:rFonts w:ascii="Verdana" w:hAnsi="Verdana" w:cs="Arial"/>
          <w:b/>
          <w:bCs/>
          <w:sz w:val="21"/>
          <w:szCs w:val="21"/>
        </w:rPr>
      </w:pPr>
    </w:p>
    <w:p w14:paraId="5EDC5D9C" w14:textId="77777777" w:rsidR="00D16D88" w:rsidRDefault="00D16D88" w:rsidP="0089458E">
      <w:pPr>
        <w:spacing w:line="252" w:lineRule="auto"/>
        <w:jc w:val="center"/>
        <w:rPr>
          <w:rFonts w:ascii="Verdana" w:hAnsi="Verdana" w:cs="Arial"/>
          <w:b/>
          <w:bCs/>
          <w:sz w:val="21"/>
          <w:szCs w:val="21"/>
        </w:rPr>
      </w:pPr>
    </w:p>
    <w:p w14:paraId="698A681E" w14:textId="77777777" w:rsidR="00D16D88" w:rsidRDefault="00D16D88" w:rsidP="0089458E">
      <w:pPr>
        <w:spacing w:line="252" w:lineRule="auto"/>
        <w:jc w:val="center"/>
        <w:rPr>
          <w:rFonts w:ascii="Verdana" w:hAnsi="Verdana" w:cs="Arial"/>
          <w:b/>
          <w:bCs/>
          <w:sz w:val="21"/>
          <w:szCs w:val="21"/>
        </w:rPr>
      </w:pPr>
    </w:p>
    <w:p w14:paraId="2B975AB1" w14:textId="77777777" w:rsidR="00D16D88" w:rsidRDefault="00D16D88" w:rsidP="0089458E">
      <w:pPr>
        <w:spacing w:line="252" w:lineRule="auto"/>
        <w:jc w:val="center"/>
        <w:rPr>
          <w:rFonts w:ascii="Verdana" w:hAnsi="Verdana" w:cs="Arial"/>
          <w:b/>
          <w:bCs/>
          <w:sz w:val="21"/>
          <w:szCs w:val="21"/>
        </w:rPr>
      </w:pPr>
    </w:p>
    <w:p w14:paraId="6A726894" w14:textId="77777777" w:rsidR="00D16D88" w:rsidRDefault="00D16D88" w:rsidP="0089458E">
      <w:pPr>
        <w:spacing w:line="252" w:lineRule="auto"/>
        <w:jc w:val="center"/>
        <w:rPr>
          <w:rFonts w:ascii="Verdana" w:hAnsi="Verdana" w:cs="Arial"/>
          <w:b/>
          <w:bCs/>
          <w:sz w:val="21"/>
          <w:szCs w:val="21"/>
        </w:rPr>
      </w:pPr>
    </w:p>
    <w:p w14:paraId="52B037DA" w14:textId="77777777" w:rsidR="00D16D88" w:rsidRDefault="00D16D88" w:rsidP="0089458E">
      <w:pPr>
        <w:spacing w:line="252" w:lineRule="auto"/>
        <w:jc w:val="center"/>
        <w:rPr>
          <w:rFonts w:ascii="Verdana" w:hAnsi="Verdana" w:cs="Arial"/>
          <w:b/>
          <w:bCs/>
          <w:sz w:val="21"/>
          <w:szCs w:val="21"/>
        </w:rPr>
      </w:pPr>
    </w:p>
    <w:p w14:paraId="49C1B126" w14:textId="58ABAD7F" w:rsidR="00D16D88" w:rsidRDefault="00D16D88" w:rsidP="0089458E">
      <w:pPr>
        <w:spacing w:line="252" w:lineRule="auto"/>
        <w:jc w:val="center"/>
        <w:rPr>
          <w:rFonts w:ascii="Verdana" w:hAnsi="Verdana" w:cs="Arial"/>
          <w:b/>
          <w:bCs/>
          <w:sz w:val="21"/>
          <w:szCs w:val="21"/>
        </w:rPr>
      </w:pPr>
      <w:r>
        <w:rPr>
          <w:rFonts w:ascii="Verdana" w:hAnsi="Verdana"/>
          <w:noProof/>
        </w:rPr>
        <mc:AlternateContent>
          <mc:Choice Requires="wps">
            <w:drawing>
              <wp:anchor distT="0" distB="0" distL="114300" distR="114300" simplePos="0" relativeHeight="251661312" behindDoc="0" locked="0" layoutInCell="1" allowOverlap="1" wp14:anchorId="2E9B7139" wp14:editId="046A93EA">
                <wp:simplePos x="0" y="0"/>
                <wp:positionH relativeFrom="column">
                  <wp:posOffset>-144544</wp:posOffset>
                </wp:positionH>
                <wp:positionV relativeFrom="paragraph">
                  <wp:posOffset>187325</wp:posOffset>
                </wp:positionV>
                <wp:extent cx="2615609" cy="711200"/>
                <wp:effectExtent l="0" t="0" r="0" b="0"/>
                <wp:wrapNone/>
                <wp:docPr id="622495801" name="Cuadro de texto 11"/>
                <wp:cNvGraphicFramePr/>
                <a:graphic xmlns:a="http://schemas.openxmlformats.org/drawingml/2006/main">
                  <a:graphicData uri="http://schemas.microsoft.com/office/word/2010/wordprocessingShape">
                    <wps:wsp>
                      <wps:cNvSpPr txBox="1"/>
                      <wps:spPr>
                        <a:xfrm>
                          <a:off x="0" y="0"/>
                          <a:ext cx="2615609" cy="711200"/>
                        </a:xfrm>
                        <a:prstGeom prst="rect">
                          <a:avLst/>
                        </a:prstGeom>
                        <a:noFill/>
                        <a:ln w="6350">
                          <a:noFill/>
                        </a:ln>
                      </wps:spPr>
                      <wps:txbx>
                        <w:txbxContent>
                          <w:p w14:paraId="2BFF37E1" w14:textId="3280053B" w:rsidR="00D16D88" w:rsidRPr="00D16D88" w:rsidRDefault="00D16D88" w:rsidP="00D16D88">
                            <w:pPr>
                              <w:jc w:val="right"/>
                              <w:rPr>
                                <w:rFonts w:ascii="Verdana" w:hAnsi="Verdana"/>
                                <w:b/>
                                <w:bCs/>
                                <w:color w:val="308CA1"/>
                                <w:szCs w:val="22"/>
                                <w:lang w:val="es-CO"/>
                              </w:rPr>
                            </w:pPr>
                            <w:r>
                              <w:rPr>
                                <w:rFonts w:ascii="Verdana" w:hAnsi="Verdana"/>
                                <w:b/>
                                <w:bCs/>
                                <w:color w:val="308CA1"/>
                                <w:sz w:val="32"/>
                                <w:szCs w:val="28"/>
                                <w:lang w:val="es-CO"/>
                              </w:rPr>
                              <w:t>Anexo. Informe contable - FONSE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B7139" id="_x0000_t202" coordsize="21600,21600" o:spt="202" path="m,l,21600r21600,l21600,xe">
                <v:stroke joinstyle="miter"/>
                <v:path gradientshapeok="t" o:connecttype="rect"/>
              </v:shapetype>
              <v:shape id="Cuadro de texto 11" o:spid="_x0000_s1026" type="#_x0000_t202" style="position:absolute;left:0;text-align:left;margin-left:-11.4pt;margin-top:14.75pt;width:205.95pt;height: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" filled="f" stroked="f" strokeweight=".5pt">
                <v:textbox>
                  <w:txbxContent>
                    <w:p w14:paraId="2BFF37E1" w14:textId="3280053B" w:rsidR="00D16D88" w:rsidRPr="00D16D88" w:rsidRDefault="00D16D88" w:rsidP="00D16D88">
                      <w:pPr>
                        <w:jc w:val="right"/>
                        <w:rPr>
                          <w:rFonts w:ascii="Verdana" w:hAnsi="Verdana"/>
                          <w:b/>
                          <w:bCs/>
                          <w:color w:val="308CA1"/>
                          <w:szCs w:val="22"/>
                          <w:lang w:val="es-CO"/>
                        </w:rPr>
                      </w:pPr>
                      <w:r>
                        <w:rPr>
                          <w:rFonts w:ascii="Verdana" w:hAnsi="Verdana"/>
                          <w:b/>
                          <w:bCs/>
                          <w:color w:val="308CA1"/>
                          <w:sz w:val="32"/>
                          <w:szCs w:val="28"/>
                          <w:lang w:val="es-CO"/>
                        </w:rPr>
                        <w:t>Anexo. Informe contable - FONSE</w:t>
                      </w:r>
                    </w:p>
                  </w:txbxContent>
                </v:textbox>
              </v:shape>
            </w:pict>
          </mc:Fallback>
        </mc:AlternateContent>
      </w:r>
    </w:p>
    <w:p w14:paraId="2A19BA0B" w14:textId="03CB93A3" w:rsidR="00D16D88" w:rsidRDefault="00D16D88" w:rsidP="0089458E">
      <w:pPr>
        <w:spacing w:line="252" w:lineRule="auto"/>
        <w:jc w:val="center"/>
        <w:rPr>
          <w:rFonts w:ascii="Verdana" w:hAnsi="Verdana" w:cs="Arial"/>
          <w:b/>
          <w:bCs/>
          <w:sz w:val="21"/>
          <w:szCs w:val="21"/>
        </w:rPr>
      </w:pPr>
    </w:p>
    <w:p w14:paraId="69098DD3" w14:textId="5D1A13EC" w:rsidR="00D16D88" w:rsidRDefault="00D16D88" w:rsidP="0089458E">
      <w:pPr>
        <w:spacing w:line="252" w:lineRule="auto"/>
        <w:jc w:val="center"/>
        <w:rPr>
          <w:rFonts w:ascii="Verdana" w:hAnsi="Verdana" w:cs="Arial"/>
          <w:b/>
          <w:bCs/>
          <w:sz w:val="21"/>
          <w:szCs w:val="21"/>
        </w:rPr>
      </w:pPr>
    </w:p>
    <w:p w14:paraId="518408D6" w14:textId="7DE8527D" w:rsidR="00D16D88" w:rsidRDefault="00D16D88" w:rsidP="0089458E">
      <w:pPr>
        <w:spacing w:line="252" w:lineRule="auto"/>
        <w:jc w:val="center"/>
        <w:rPr>
          <w:rFonts w:ascii="Verdana" w:hAnsi="Verdana" w:cs="Arial"/>
          <w:b/>
          <w:bCs/>
          <w:sz w:val="21"/>
          <w:szCs w:val="21"/>
        </w:rPr>
      </w:pPr>
    </w:p>
    <w:p w14:paraId="16BDDA41" w14:textId="77777777" w:rsidR="00D16D88" w:rsidRDefault="00D16D88" w:rsidP="0089458E">
      <w:pPr>
        <w:spacing w:line="252" w:lineRule="auto"/>
        <w:jc w:val="center"/>
        <w:rPr>
          <w:rFonts w:ascii="Verdana" w:hAnsi="Verdana" w:cs="Arial"/>
          <w:b/>
          <w:bCs/>
          <w:sz w:val="21"/>
          <w:szCs w:val="21"/>
        </w:rPr>
      </w:pPr>
    </w:p>
    <w:p w14:paraId="72EB306B" w14:textId="77777777" w:rsidR="00D16D88" w:rsidRDefault="00D16D88" w:rsidP="0089458E">
      <w:pPr>
        <w:spacing w:line="252" w:lineRule="auto"/>
        <w:jc w:val="center"/>
        <w:rPr>
          <w:rFonts w:ascii="Verdana" w:hAnsi="Verdana" w:cs="Arial"/>
          <w:b/>
          <w:bCs/>
          <w:sz w:val="21"/>
          <w:szCs w:val="21"/>
        </w:rPr>
      </w:pPr>
    </w:p>
    <w:p w14:paraId="721313C0" w14:textId="77777777" w:rsidR="00D16D88" w:rsidRDefault="00D16D88" w:rsidP="0089458E">
      <w:pPr>
        <w:spacing w:line="252" w:lineRule="auto"/>
        <w:jc w:val="center"/>
        <w:rPr>
          <w:rFonts w:ascii="Verdana" w:hAnsi="Verdana" w:cs="Arial"/>
          <w:b/>
          <w:bCs/>
          <w:sz w:val="21"/>
          <w:szCs w:val="21"/>
        </w:rPr>
      </w:pPr>
    </w:p>
    <w:p w14:paraId="7B83ADAA" w14:textId="133B75A7" w:rsidR="00D16D88" w:rsidRDefault="00D16D88" w:rsidP="0089458E">
      <w:pPr>
        <w:spacing w:line="252" w:lineRule="auto"/>
        <w:jc w:val="center"/>
        <w:rPr>
          <w:rFonts w:ascii="Verdana" w:hAnsi="Verdana" w:cs="Arial"/>
          <w:b/>
          <w:bCs/>
          <w:sz w:val="21"/>
          <w:szCs w:val="21"/>
        </w:rPr>
      </w:pPr>
    </w:p>
    <w:p w14:paraId="6FB6B649" w14:textId="15BB9765" w:rsidR="00D16D88" w:rsidRDefault="00D16D88" w:rsidP="0089458E">
      <w:pPr>
        <w:spacing w:line="252" w:lineRule="auto"/>
        <w:jc w:val="center"/>
        <w:rPr>
          <w:rFonts w:ascii="Verdana" w:hAnsi="Verdana" w:cs="Arial"/>
          <w:b/>
          <w:bCs/>
          <w:sz w:val="21"/>
          <w:szCs w:val="21"/>
        </w:rPr>
      </w:pPr>
    </w:p>
    <w:p w14:paraId="628D60B6" w14:textId="77777777" w:rsidR="00D16D88" w:rsidRDefault="00D16D88" w:rsidP="0089458E">
      <w:pPr>
        <w:spacing w:line="252" w:lineRule="auto"/>
        <w:jc w:val="center"/>
        <w:rPr>
          <w:rFonts w:ascii="Verdana" w:hAnsi="Verdana" w:cs="Arial"/>
          <w:b/>
          <w:bCs/>
          <w:sz w:val="21"/>
          <w:szCs w:val="21"/>
        </w:rPr>
      </w:pPr>
    </w:p>
    <w:p w14:paraId="52191F51" w14:textId="77777777" w:rsidR="00D16D88" w:rsidRDefault="00D16D88" w:rsidP="0089458E">
      <w:pPr>
        <w:spacing w:line="252" w:lineRule="auto"/>
        <w:jc w:val="center"/>
        <w:rPr>
          <w:rFonts w:ascii="Verdana" w:hAnsi="Verdana" w:cs="Arial"/>
          <w:b/>
          <w:bCs/>
          <w:sz w:val="21"/>
          <w:szCs w:val="21"/>
        </w:rPr>
      </w:pPr>
    </w:p>
    <w:p w14:paraId="4C2718EF" w14:textId="77777777" w:rsidR="00D16D88" w:rsidRDefault="00D16D88" w:rsidP="0089458E">
      <w:pPr>
        <w:spacing w:line="252" w:lineRule="auto"/>
        <w:jc w:val="center"/>
        <w:rPr>
          <w:rFonts w:ascii="Verdana" w:hAnsi="Verdana" w:cs="Arial"/>
          <w:b/>
          <w:bCs/>
          <w:sz w:val="21"/>
          <w:szCs w:val="21"/>
        </w:rPr>
      </w:pPr>
    </w:p>
    <w:p w14:paraId="45517BBB" w14:textId="77777777" w:rsidR="00D16D88" w:rsidRDefault="00D16D88" w:rsidP="0089458E">
      <w:pPr>
        <w:spacing w:line="252" w:lineRule="auto"/>
        <w:jc w:val="center"/>
        <w:rPr>
          <w:rFonts w:ascii="Verdana" w:hAnsi="Verdana" w:cs="Arial"/>
          <w:b/>
          <w:bCs/>
          <w:sz w:val="21"/>
          <w:szCs w:val="21"/>
        </w:rPr>
      </w:pPr>
    </w:p>
    <w:p w14:paraId="63817820" w14:textId="77777777" w:rsidR="00D16D88" w:rsidRDefault="00D16D88" w:rsidP="0089458E">
      <w:pPr>
        <w:spacing w:line="252" w:lineRule="auto"/>
        <w:jc w:val="center"/>
        <w:rPr>
          <w:rFonts w:ascii="Verdana" w:hAnsi="Verdana" w:cs="Arial"/>
          <w:b/>
          <w:bCs/>
          <w:sz w:val="21"/>
          <w:szCs w:val="21"/>
        </w:rPr>
      </w:pPr>
    </w:p>
    <w:p w14:paraId="54295814" w14:textId="62048C26" w:rsidR="00C7482C" w:rsidRPr="009A2763" w:rsidRDefault="00C7482C" w:rsidP="0089458E">
      <w:pPr>
        <w:spacing w:line="252" w:lineRule="auto"/>
        <w:jc w:val="center"/>
        <w:rPr>
          <w:rFonts w:ascii="Verdana" w:hAnsi="Verdana" w:cs="Arial"/>
          <w:b/>
          <w:bCs/>
          <w:sz w:val="21"/>
          <w:szCs w:val="21"/>
        </w:rPr>
      </w:pPr>
      <w:r w:rsidRPr="009A2763">
        <w:rPr>
          <w:rFonts w:ascii="Verdana" w:hAnsi="Verdana" w:cs="Arial"/>
          <w:b/>
          <w:bCs/>
          <w:sz w:val="21"/>
          <w:szCs w:val="21"/>
        </w:rPr>
        <w:lastRenderedPageBreak/>
        <w:t xml:space="preserve">ACTA DE INFORME DE GESTIÓN </w:t>
      </w:r>
    </w:p>
    <w:p w14:paraId="0CADC9C7" w14:textId="72EADCCA" w:rsidR="002E732D" w:rsidRPr="009A2763" w:rsidRDefault="002E732D" w:rsidP="0089458E">
      <w:pPr>
        <w:spacing w:line="252" w:lineRule="auto"/>
        <w:jc w:val="center"/>
        <w:rPr>
          <w:rFonts w:ascii="Verdana" w:hAnsi="Verdana" w:cs="Arial"/>
          <w:b/>
          <w:bCs/>
          <w:sz w:val="21"/>
          <w:szCs w:val="21"/>
        </w:rPr>
      </w:pPr>
      <w:r w:rsidRPr="009A2763">
        <w:rPr>
          <w:rFonts w:ascii="Verdana" w:hAnsi="Verdana" w:cs="Arial"/>
          <w:b/>
          <w:bCs/>
          <w:sz w:val="21"/>
          <w:szCs w:val="21"/>
        </w:rPr>
        <w:t>ANEXO</w:t>
      </w:r>
      <w:r w:rsidR="00C7482C" w:rsidRPr="009A2763">
        <w:rPr>
          <w:rFonts w:ascii="Verdana" w:hAnsi="Verdana" w:cs="Arial"/>
          <w:b/>
          <w:bCs/>
          <w:sz w:val="21"/>
          <w:szCs w:val="21"/>
        </w:rPr>
        <w:t xml:space="preserve"> - </w:t>
      </w:r>
      <w:r w:rsidRPr="009A2763">
        <w:rPr>
          <w:rFonts w:ascii="Verdana" w:hAnsi="Verdana" w:cs="Arial"/>
          <w:b/>
          <w:bCs/>
          <w:sz w:val="21"/>
          <w:szCs w:val="21"/>
        </w:rPr>
        <w:t>INFORME CONTABLE</w:t>
      </w:r>
      <w:r w:rsidR="001E1771" w:rsidRPr="009A2763">
        <w:rPr>
          <w:rFonts w:ascii="Verdana" w:hAnsi="Verdana" w:cs="Arial"/>
          <w:b/>
          <w:bCs/>
          <w:sz w:val="21"/>
          <w:szCs w:val="21"/>
        </w:rPr>
        <w:t xml:space="preserve"> POR CAMBIO DE REPRESENTANTE LEGAL </w:t>
      </w:r>
    </w:p>
    <w:p w14:paraId="590E897A" w14:textId="4AC7923C" w:rsidR="00350FF4" w:rsidRPr="009A2763" w:rsidRDefault="00BC39CF" w:rsidP="0089458E">
      <w:pPr>
        <w:spacing w:line="252" w:lineRule="auto"/>
        <w:jc w:val="center"/>
        <w:rPr>
          <w:rFonts w:ascii="Verdana" w:hAnsi="Verdana" w:cs="Arial"/>
          <w:b/>
          <w:bCs/>
          <w:sz w:val="21"/>
          <w:szCs w:val="21"/>
        </w:rPr>
      </w:pPr>
      <w:r w:rsidRPr="009A2763">
        <w:rPr>
          <w:rFonts w:ascii="Verdana" w:hAnsi="Verdana" w:cs="Arial"/>
          <w:b/>
          <w:bCs/>
          <w:sz w:val="21"/>
          <w:szCs w:val="21"/>
        </w:rPr>
        <w:t xml:space="preserve">ENTIDAD CONTABLE PÚBLICA </w:t>
      </w:r>
      <w:r w:rsidR="002E732D" w:rsidRPr="009A2763">
        <w:rPr>
          <w:rFonts w:ascii="Verdana" w:hAnsi="Verdana" w:cs="Arial"/>
          <w:b/>
          <w:bCs/>
          <w:sz w:val="21"/>
          <w:szCs w:val="21"/>
        </w:rPr>
        <w:t>FONDO DE SOSTENIBILIDAD FINANCIERA DEL SECTOR ELÉCTRICO (FONSE) -PATRIMONIO AUTÓNOMO</w:t>
      </w:r>
    </w:p>
    <w:p w14:paraId="3024AD21" w14:textId="78F4BBAF" w:rsidR="00FD53B5" w:rsidRPr="002E732D" w:rsidRDefault="00FD53B5" w:rsidP="0089458E">
      <w:pPr>
        <w:spacing w:line="252" w:lineRule="auto"/>
        <w:jc w:val="center"/>
        <w:rPr>
          <w:rFonts w:ascii="Arial" w:hAnsi="Arial" w:cs="Arial"/>
          <w:b/>
          <w:bCs/>
          <w:sz w:val="22"/>
          <w:szCs w:val="22"/>
        </w:rPr>
      </w:pPr>
    </w:p>
    <w:p w14:paraId="54CAA591" w14:textId="5014EE54" w:rsidR="0040538E" w:rsidRDefault="005347FD" w:rsidP="0089458E">
      <w:pPr>
        <w:spacing w:line="252" w:lineRule="auto"/>
        <w:rPr>
          <w:rFonts w:ascii="Arial" w:hAnsi="Arial" w:cs="Arial"/>
          <w:sz w:val="22"/>
          <w:szCs w:val="22"/>
        </w:rPr>
      </w:pPr>
      <w:r>
        <w:rPr>
          <w:rFonts w:ascii="Arial" w:hAnsi="Arial" w:cs="Arial"/>
          <w:sz w:val="22"/>
          <w:szCs w:val="22"/>
        </w:rPr>
        <w:t xml:space="preserve"> </w:t>
      </w:r>
    </w:p>
    <w:p w14:paraId="4B4182A1" w14:textId="77777777" w:rsidR="00BC7C47" w:rsidRPr="009A2763" w:rsidRDefault="00BC7C47" w:rsidP="0089458E">
      <w:pPr>
        <w:autoSpaceDE w:val="0"/>
        <w:autoSpaceDN w:val="0"/>
        <w:adjustRightInd w:val="0"/>
        <w:spacing w:line="252" w:lineRule="auto"/>
        <w:jc w:val="both"/>
        <w:rPr>
          <w:rFonts w:ascii="Verdana" w:hAnsi="Verdana" w:cs="Arial"/>
          <w:sz w:val="21"/>
          <w:szCs w:val="21"/>
        </w:rPr>
      </w:pPr>
      <w:r w:rsidRPr="009A2763">
        <w:rPr>
          <w:rFonts w:ascii="Verdana" w:hAnsi="Verdana" w:cs="Arial"/>
          <w:sz w:val="21"/>
          <w:szCs w:val="21"/>
        </w:rPr>
        <w:t xml:space="preserve">En el marco de lo definido en la Ley 951 de 2005, que establece la obligación que tienen los servidores públicos y particulares mencionados en la misma, de presentar a quienes los sustituyan legalmente una vez se separen de sus cargos o finalicen su administración, un informe sobre los asuntos de su competencia y sobre la gestión de los recursos financieros, humanos y administrativos que tuvieron asignados para el ejercicio de sus funciones, la Contaduría General de la Nación (CGN) expidió la Resolución 172 del 13 de junio de 2023, mediante la que definió los criterios para la elaboración del informe contable cuando se produzca cambio de representante legal. </w:t>
      </w:r>
    </w:p>
    <w:p w14:paraId="2B3D2904" w14:textId="77777777" w:rsidR="00BC7C47" w:rsidRPr="009A2763" w:rsidRDefault="00BC7C47" w:rsidP="0089458E">
      <w:pPr>
        <w:autoSpaceDE w:val="0"/>
        <w:autoSpaceDN w:val="0"/>
        <w:adjustRightInd w:val="0"/>
        <w:spacing w:line="252" w:lineRule="auto"/>
        <w:jc w:val="both"/>
        <w:rPr>
          <w:rFonts w:ascii="Verdana" w:hAnsi="Verdana" w:cs="Arial"/>
          <w:sz w:val="21"/>
          <w:szCs w:val="21"/>
        </w:rPr>
      </w:pPr>
    </w:p>
    <w:p w14:paraId="5E4706BB" w14:textId="21492206" w:rsidR="00FA1434" w:rsidRPr="009A2763" w:rsidRDefault="00BC7C47" w:rsidP="0089458E">
      <w:pPr>
        <w:autoSpaceDE w:val="0"/>
        <w:autoSpaceDN w:val="0"/>
        <w:adjustRightInd w:val="0"/>
        <w:spacing w:line="252" w:lineRule="auto"/>
        <w:jc w:val="both"/>
        <w:rPr>
          <w:rFonts w:ascii="Verdana" w:hAnsi="Verdana" w:cs="Arial"/>
          <w:sz w:val="21"/>
          <w:szCs w:val="21"/>
        </w:rPr>
      </w:pPr>
      <w:r w:rsidRPr="009A2763">
        <w:rPr>
          <w:rFonts w:ascii="Verdana" w:hAnsi="Verdana" w:cs="Arial"/>
          <w:sz w:val="21"/>
          <w:szCs w:val="21"/>
        </w:rPr>
        <w:t xml:space="preserve">En este contexto, en cumplimiento de lo señalado por la Contaduría General de la Nación, y con el propósito de evidenciar el estado del proceso contable y de los sistemas que lo soportan, así como de garantizar el normal desarrollo del mismo, </w:t>
      </w:r>
      <w:r w:rsidR="005E1F3D" w:rsidRPr="009A2763">
        <w:rPr>
          <w:rFonts w:ascii="Verdana" w:hAnsi="Verdana" w:cs="Arial"/>
          <w:sz w:val="21"/>
          <w:szCs w:val="21"/>
        </w:rPr>
        <w:t>a continuación se presenta</w:t>
      </w:r>
      <w:r w:rsidR="00D07593" w:rsidRPr="009A2763">
        <w:rPr>
          <w:rFonts w:ascii="Verdana" w:hAnsi="Verdana" w:cs="Arial"/>
          <w:sz w:val="21"/>
          <w:szCs w:val="21"/>
        </w:rPr>
        <w:t xml:space="preserve"> el detalle de los principales aspectos que </w:t>
      </w:r>
      <w:r w:rsidR="006C53BE" w:rsidRPr="009A2763">
        <w:rPr>
          <w:rFonts w:ascii="Verdana" w:hAnsi="Verdana" w:cs="Arial"/>
          <w:sz w:val="21"/>
          <w:szCs w:val="21"/>
        </w:rPr>
        <w:t>integran</w:t>
      </w:r>
      <w:r w:rsidR="005E1F3D" w:rsidRPr="009A2763">
        <w:rPr>
          <w:rFonts w:ascii="Verdana" w:hAnsi="Verdana" w:cs="Arial"/>
          <w:sz w:val="21"/>
          <w:szCs w:val="21"/>
        </w:rPr>
        <w:t xml:space="preserve"> el informe contable correspondiente a la entidad contable pública </w:t>
      </w:r>
      <w:r w:rsidR="008E37E9" w:rsidRPr="009A2763">
        <w:rPr>
          <w:rFonts w:ascii="Verdana" w:hAnsi="Verdana" w:cs="Arial"/>
          <w:sz w:val="21"/>
          <w:szCs w:val="21"/>
        </w:rPr>
        <w:t>Fondo de Sostenibilidad Financiera del Sector Eléctrico (FONSE)</w:t>
      </w:r>
      <w:r w:rsidR="00FA1434" w:rsidRPr="009A2763">
        <w:rPr>
          <w:rFonts w:ascii="Verdana" w:hAnsi="Verdana" w:cs="Arial"/>
          <w:sz w:val="21"/>
          <w:szCs w:val="21"/>
        </w:rPr>
        <w:t xml:space="preserve">, identificada por la CGN con código de consolidación </w:t>
      </w:r>
      <w:r w:rsidR="00547969" w:rsidRPr="009A2763">
        <w:rPr>
          <w:rFonts w:ascii="Verdana" w:hAnsi="Verdana" w:cs="Arial"/>
          <w:sz w:val="21"/>
          <w:szCs w:val="21"/>
        </w:rPr>
        <w:t>923272994</w:t>
      </w:r>
      <w:r w:rsidR="00C12665" w:rsidRPr="009A2763">
        <w:rPr>
          <w:rFonts w:ascii="Verdana" w:hAnsi="Verdana" w:cs="Arial"/>
          <w:sz w:val="21"/>
          <w:szCs w:val="21"/>
        </w:rPr>
        <w:t>.</w:t>
      </w:r>
    </w:p>
    <w:p w14:paraId="18955D49" w14:textId="77777777" w:rsidR="00BD360E" w:rsidRPr="009A2763" w:rsidRDefault="00BD360E" w:rsidP="0089458E">
      <w:pPr>
        <w:autoSpaceDE w:val="0"/>
        <w:autoSpaceDN w:val="0"/>
        <w:adjustRightInd w:val="0"/>
        <w:spacing w:line="252" w:lineRule="auto"/>
        <w:jc w:val="both"/>
        <w:rPr>
          <w:rFonts w:ascii="Verdana" w:hAnsi="Verdana" w:cs="Arial"/>
          <w:sz w:val="21"/>
          <w:szCs w:val="21"/>
        </w:rPr>
      </w:pPr>
    </w:p>
    <w:p w14:paraId="71D3AD5B" w14:textId="45321B3F" w:rsidR="005E1F3D" w:rsidRPr="009A2763" w:rsidRDefault="00191A2A" w:rsidP="0089458E">
      <w:pPr>
        <w:autoSpaceDE w:val="0"/>
        <w:autoSpaceDN w:val="0"/>
        <w:adjustRightInd w:val="0"/>
        <w:spacing w:line="252" w:lineRule="auto"/>
        <w:jc w:val="both"/>
        <w:rPr>
          <w:rFonts w:ascii="Verdana" w:hAnsi="Verdana" w:cs="Arial"/>
          <w:b/>
          <w:bCs/>
          <w:sz w:val="21"/>
          <w:szCs w:val="21"/>
        </w:rPr>
      </w:pPr>
      <w:r w:rsidRPr="009A2763">
        <w:rPr>
          <w:rFonts w:ascii="Verdana" w:hAnsi="Verdana" w:cs="Arial"/>
          <w:b/>
          <w:bCs/>
          <w:sz w:val="21"/>
          <w:szCs w:val="21"/>
        </w:rPr>
        <w:t xml:space="preserve">a. </w:t>
      </w:r>
      <w:r w:rsidR="00F95060" w:rsidRPr="009A2763">
        <w:rPr>
          <w:rFonts w:ascii="Verdana" w:hAnsi="Verdana" w:cs="Arial"/>
          <w:b/>
          <w:bCs/>
          <w:sz w:val="21"/>
          <w:szCs w:val="21"/>
        </w:rPr>
        <w:t>Situación</w:t>
      </w:r>
      <w:r w:rsidR="00391DB0" w:rsidRPr="009A2763">
        <w:rPr>
          <w:rFonts w:ascii="Verdana" w:eastAsia="Calibri" w:hAnsi="Verdana" w:cs="Arial"/>
          <w:b/>
          <w:bCs/>
          <w:sz w:val="21"/>
          <w:szCs w:val="21"/>
          <w:lang w:val="es-CO"/>
        </w:rPr>
        <w:t xml:space="preserve"> de los sistemas de información que soportan el proceso contable</w:t>
      </w:r>
    </w:p>
    <w:p w14:paraId="3021256A" w14:textId="77777777" w:rsidR="00BD360E" w:rsidRPr="009A2763" w:rsidRDefault="00BD360E" w:rsidP="0089458E">
      <w:pPr>
        <w:spacing w:line="252" w:lineRule="auto"/>
        <w:jc w:val="both"/>
        <w:rPr>
          <w:rFonts w:ascii="Verdana" w:hAnsi="Verdana" w:cs="Arial"/>
          <w:sz w:val="21"/>
          <w:szCs w:val="21"/>
          <w:lang w:val="es-CO"/>
        </w:rPr>
      </w:pPr>
    </w:p>
    <w:p w14:paraId="462DCE5F" w14:textId="46DD3AAF" w:rsidR="00D04D21" w:rsidRPr="009A2763" w:rsidRDefault="00D04D21" w:rsidP="0089458E">
      <w:pPr>
        <w:spacing w:line="252" w:lineRule="auto"/>
        <w:jc w:val="both"/>
        <w:rPr>
          <w:rFonts w:ascii="Verdana" w:hAnsi="Verdana" w:cs="Arial"/>
          <w:sz w:val="21"/>
          <w:szCs w:val="21"/>
          <w:lang w:val="es-CO"/>
        </w:rPr>
      </w:pPr>
      <w:r w:rsidRPr="009A2763">
        <w:rPr>
          <w:rFonts w:ascii="Verdana" w:hAnsi="Verdana" w:cs="Arial"/>
          <w:sz w:val="21"/>
          <w:szCs w:val="21"/>
          <w:lang w:val="es-CO"/>
        </w:rPr>
        <w:t>El artículo 146 de la Ley 2010 de 2019</w:t>
      </w:r>
      <w:r w:rsidRPr="009A2763">
        <w:rPr>
          <w:rStyle w:val="Refdenotaalpie"/>
          <w:rFonts w:ascii="Verdana" w:hAnsi="Verdana" w:cs="Arial"/>
          <w:sz w:val="21"/>
          <w:szCs w:val="21"/>
          <w:lang w:val="es-CO"/>
        </w:rPr>
        <w:footnoteReference w:id="1"/>
      </w:r>
      <w:r w:rsidRPr="009A2763">
        <w:rPr>
          <w:rFonts w:ascii="Verdana" w:hAnsi="Verdana" w:cs="Arial"/>
          <w:sz w:val="21"/>
          <w:szCs w:val="21"/>
          <w:lang w:val="es-CO"/>
        </w:rPr>
        <w:t xml:space="preserve"> creó el Fondo de Sostenibilidad Financiera del Sector Eléctrico (FONSE) (en adelante FONSE) como un patrimonio autónomo adscrito al Ministerio de Hacienda y Crédito Público (MHCP), con el fin exclusivo de garantizar la continuidad de la prestación de energía en la Costa Caribe.</w:t>
      </w:r>
    </w:p>
    <w:p w14:paraId="6652E2FC" w14:textId="77777777" w:rsidR="00D04D21" w:rsidRPr="009A2763" w:rsidRDefault="00D04D21" w:rsidP="0089458E">
      <w:pPr>
        <w:spacing w:line="252" w:lineRule="auto"/>
        <w:jc w:val="both"/>
        <w:rPr>
          <w:rFonts w:ascii="Verdana" w:hAnsi="Verdana" w:cs="Arial"/>
          <w:sz w:val="21"/>
          <w:szCs w:val="21"/>
          <w:lang w:val="es-CO"/>
        </w:rPr>
      </w:pPr>
    </w:p>
    <w:p w14:paraId="14DABA89" w14:textId="77777777" w:rsidR="00D04D21" w:rsidRPr="009A2763" w:rsidRDefault="00D04D21" w:rsidP="0089458E">
      <w:pPr>
        <w:spacing w:line="252" w:lineRule="auto"/>
        <w:jc w:val="both"/>
        <w:rPr>
          <w:rFonts w:ascii="Verdana" w:hAnsi="Verdana" w:cs="Arial"/>
          <w:sz w:val="21"/>
          <w:szCs w:val="21"/>
          <w:lang w:val="es-CO"/>
        </w:rPr>
      </w:pPr>
      <w:r w:rsidRPr="009A2763">
        <w:rPr>
          <w:rFonts w:ascii="Verdana" w:hAnsi="Verdana" w:cs="Arial"/>
          <w:sz w:val="21"/>
          <w:szCs w:val="21"/>
          <w:lang w:val="es-CO"/>
        </w:rPr>
        <w:t>Por su parte, el Decreto Legislativo 809 de 2020</w:t>
      </w:r>
      <w:r w:rsidRPr="009A2763">
        <w:rPr>
          <w:rStyle w:val="Refdenotaalpie"/>
          <w:rFonts w:ascii="Verdana" w:hAnsi="Verdana" w:cs="Arial"/>
          <w:sz w:val="21"/>
          <w:szCs w:val="21"/>
          <w:lang w:val="es-CO"/>
        </w:rPr>
        <w:footnoteReference w:id="2"/>
      </w:r>
      <w:r w:rsidRPr="009A2763">
        <w:rPr>
          <w:rFonts w:ascii="Verdana" w:hAnsi="Verdana" w:cs="Arial"/>
          <w:sz w:val="21"/>
          <w:szCs w:val="21"/>
          <w:lang w:val="es-CO"/>
        </w:rPr>
        <w:t xml:space="preserve"> dispuso que el FONSE puede otorgar créditos directos al Fondo Empresarial de la Superintendencia de Servicios Públicos Domiciliarios, para destinarlos a solventar las necesidades de recursos asociadas a la implementación de esquemas de solución de largo plazo, derivados de los procesos de toma de posesión de las empresas de servicios públicos domiciliarios que se encuentren en curso, los cuales se hayan visto afectados por la situación de emergencia sanitaria.</w:t>
      </w:r>
    </w:p>
    <w:p w14:paraId="2632DD35" w14:textId="77777777" w:rsidR="00D04D21" w:rsidRPr="009A2763" w:rsidRDefault="00D04D21" w:rsidP="0089458E">
      <w:pPr>
        <w:spacing w:line="252" w:lineRule="auto"/>
        <w:jc w:val="both"/>
        <w:rPr>
          <w:rFonts w:ascii="Verdana" w:hAnsi="Verdana" w:cs="Arial"/>
          <w:sz w:val="21"/>
          <w:szCs w:val="21"/>
          <w:lang w:val="es-CO"/>
        </w:rPr>
      </w:pPr>
    </w:p>
    <w:p w14:paraId="085D0004" w14:textId="77777777" w:rsidR="00D04D21" w:rsidRPr="009A2763" w:rsidRDefault="00D04D21" w:rsidP="0089458E">
      <w:pPr>
        <w:spacing w:line="252" w:lineRule="auto"/>
        <w:jc w:val="both"/>
        <w:rPr>
          <w:rFonts w:ascii="Verdana" w:hAnsi="Verdana" w:cs="Arial"/>
          <w:sz w:val="21"/>
          <w:szCs w:val="21"/>
          <w:lang w:val="es-CO"/>
        </w:rPr>
      </w:pPr>
      <w:r w:rsidRPr="009A2763">
        <w:rPr>
          <w:rFonts w:ascii="Verdana" w:hAnsi="Verdana" w:cs="Arial"/>
          <w:sz w:val="21"/>
          <w:szCs w:val="21"/>
          <w:lang w:val="es-CO"/>
        </w:rPr>
        <w:lastRenderedPageBreak/>
        <w:t xml:space="preserve">Asimismo, el Decreto 809 de 2020 estableció que el MHCP, a través de la </w:t>
      </w:r>
      <w:r w:rsidRPr="009A2763">
        <w:rPr>
          <w:rFonts w:ascii="Verdana" w:eastAsiaTheme="minorHAnsi" w:hAnsi="Verdana" w:cs="Arial"/>
          <w:sz w:val="21"/>
          <w:szCs w:val="21"/>
          <w:lang w:val="es-CO" w:eastAsia="en-US"/>
        </w:rPr>
        <w:t>Dirección General de Crédito Público y del Tesoro Nacional (</w:t>
      </w:r>
      <w:r w:rsidRPr="009A2763">
        <w:rPr>
          <w:rFonts w:ascii="Verdana" w:hAnsi="Verdana" w:cs="Arial"/>
          <w:sz w:val="21"/>
          <w:szCs w:val="21"/>
          <w:lang w:val="es-CO"/>
        </w:rPr>
        <w:t>DGCPTN), podrá otorgar créditos de tesorería al FONSE, en los montos que éste requiera, para proveer los préstamos antes descritos y establece las condiciones en que serán otorgados.</w:t>
      </w:r>
    </w:p>
    <w:p w14:paraId="72D6510C" w14:textId="77777777" w:rsidR="00D04D21" w:rsidRPr="009A2763" w:rsidRDefault="00D04D21" w:rsidP="0089458E">
      <w:pPr>
        <w:spacing w:line="252" w:lineRule="auto"/>
        <w:jc w:val="both"/>
        <w:rPr>
          <w:rFonts w:ascii="Verdana" w:hAnsi="Verdana" w:cs="Arial"/>
          <w:sz w:val="21"/>
          <w:szCs w:val="21"/>
          <w:lang w:val="es-CO"/>
        </w:rPr>
      </w:pPr>
    </w:p>
    <w:p w14:paraId="22F03106" w14:textId="77777777" w:rsidR="00D04D21" w:rsidRPr="009A2763" w:rsidRDefault="00D04D21" w:rsidP="0089458E">
      <w:pPr>
        <w:spacing w:line="252" w:lineRule="auto"/>
        <w:jc w:val="both"/>
        <w:rPr>
          <w:rFonts w:ascii="Verdana" w:hAnsi="Verdana" w:cs="Arial"/>
          <w:sz w:val="21"/>
          <w:szCs w:val="21"/>
        </w:rPr>
      </w:pPr>
      <w:r w:rsidRPr="009A2763">
        <w:rPr>
          <w:rFonts w:ascii="Verdana" w:hAnsi="Verdana" w:cs="Arial"/>
          <w:sz w:val="21"/>
          <w:szCs w:val="21"/>
        </w:rPr>
        <w:t>Conforme lo anterior, el Decreto 1265 de 2020</w:t>
      </w:r>
      <w:r w:rsidRPr="009A2763">
        <w:rPr>
          <w:rStyle w:val="Refdenotaalpie"/>
          <w:rFonts w:ascii="Verdana" w:hAnsi="Verdana" w:cs="Arial"/>
          <w:sz w:val="21"/>
          <w:szCs w:val="21"/>
        </w:rPr>
        <w:footnoteReference w:id="3"/>
      </w:r>
      <w:r w:rsidRPr="009A2763">
        <w:rPr>
          <w:rFonts w:ascii="Verdana" w:hAnsi="Verdana" w:cs="Arial"/>
          <w:sz w:val="21"/>
          <w:szCs w:val="21"/>
        </w:rPr>
        <w:t xml:space="preserve"> le definió al FONSE, entre otros aspectos, su naturaleza, objeto, administración, los recursos con que se puede financiar, el uso que le puede dar a los mismos, los requisitos para el otorgamiento de los créditos y las condiciones financieras en que serán otorgados al Fondo Empresarial de la Superintendencia de Servicios Públicos Domiciliarios (SSPD). </w:t>
      </w:r>
    </w:p>
    <w:p w14:paraId="739569CD" w14:textId="77777777" w:rsidR="00D04D21" w:rsidRPr="009A2763" w:rsidRDefault="00D04D21" w:rsidP="0089458E">
      <w:pPr>
        <w:spacing w:line="252" w:lineRule="auto"/>
        <w:jc w:val="both"/>
        <w:rPr>
          <w:rFonts w:ascii="Verdana" w:hAnsi="Verdana" w:cs="Arial"/>
          <w:sz w:val="21"/>
          <w:szCs w:val="21"/>
        </w:rPr>
      </w:pPr>
    </w:p>
    <w:p w14:paraId="4608C745" w14:textId="77777777" w:rsidR="00D04D21" w:rsidRPr="009A2763" w:rsidRDefault="00D04D21" w:rsidP="0089458E">
      <w:pPr>
        <w:spacing w:line="252" w:lineRule="auto"/>
        <w:jc w:val="both"/>
        <w:rPr>
          <w:rFonts w:ascii="Verdana" w:hAnsi="Verdana" w:cs="Arial"/>
          <w:sz w:val="21"/>
          <w:szCs w:val="21"/>
        </w:rPr>
      </w:pPr>
      <w:r w:rsidRPr="009A2763">
        <w:rPr>
          <w:rFonts w:ascii="Verdana" w:hAnsi="Verdana" w:cs="Arial"/>
          <w:sz w:val="21"/>
          <w:szCs w:val="21"/>
        </w:rPr>
        <w:t xml:space="preserve">De este modo, el señalado Decreto 1265, planteó: </w:t>
      </w:r>
    </w:p>
    <w:p w14:paraId="59D18E30" w14:textId="77777777" w:rsidR="00D04D21" w:rsidRPr="009A2763" w:rsidRDefault="00D04D21" w:rsidP="0089458E">
      <w:pPr>
        <w:spacing w:line="252" w:lineRule="auto"/>
        <w:ind w:left="284"/>
        <w:jc w:val="both"/>
        <w:rPr>
          <w:rFonts w:ascii="Verdana" w:hAnsi="Verdana" w:cs="Arial"/>
          <w:sz w:val="21"/>
          <w:szCs w:val="21"/>
        </w:rPr>
      </w:pPr>
    </w:p>
    <w:p w14:paraId="5748A565" w14:textId="77777777" w:rsidR="00D04D21" w:rsidRPr="009A2763" w:rsidRDefault="00D04D21" w:rsidP="0089458E">
      <w:pPr>
        <w:tabs>
          <w:tab w:val="left" w:pos="8931"/>
        </w:tabs>
        <w:spacing w:line="252" w:lineRule="auto"/>
        <w:ind w:left="284"/>
        <w:jc w:val="both"/>
        <w:rPr>
          <w:rFonts w:ascii="Verdana" w:hAnsi="Verdana" w:cs="Arial"/>
          <w:i/>
          <w:sz w:val="21"/>
          <w:szCs w:val="21"/>
          <w:shd w:val="clear" w:color="auto" w:fill="FFFFFF"/>
        </w:rPr>
      </w:pPr>
      <w:r w:rsidRPr="009A2763">
        <w:rPr>
          <w:rFonts w:ascii="Verdana" w:hAnsi="Verdana" w:cs="Arial"/>
          <w:b/>
          <w:bCs/>
          <w:i/>
          <w:sz w:val="21"/>
          <w:szCs w:val="21"/>
          <w:shd w:val="clear" w:color="auto" w:fill="FFFFFF"/>
        </w:rPr>
        <w:t>“ARTÍCULO 2.21.1.</w:t>
      </w:r>
      <w:r w:rsidRPr="009A2763">
        <w:rPr>
          <w:rFonts w:ascii="Verdana" w:hAnsi="Verdana" w:cs="Arial"/>
          <w:i/>
          <w:sz w:val="21"/>
          <w:szCs w:val="21"/>
          <w:shd w:val="clear" w:color="auto" w:fill="FFFFFF"/>
        </w:rPr>
        <w:t xml:space="preserve"> Naturaleza. </w:t>
      </w:r>
      <w:r w:rsidRPr="009A2763">
        <w:rPr>
          <w:rFonts w:ascii="Verdana" w:hAnsi="Verdana" w:cs="Arial"/>
          <w:i/>
          <w:sz w:val="21"/>
          <w:szCs w:val="21"/>
          <w:u w:val="single"/>
          <w:shd w:val="clear" w:color="auto" w:fill="FFFFFF"/>
        </w:rPr>
        <w:t>El Fondo de Sostenibilidad Financiera del Sector Eléctrico</w:t>
      </w:r>
      <w:r w:rsidRPr="009A2763">
        <w:rPr>
          <w:rFonts w:ascii="Verdana" w:hAnsi="Verdana" w:cs="Arial"/>
          <w:i/>
          <w:sz w:val="21"/>
          <w:szCs w:val="21"/>
          <w:shd w:val="clear" w:color="auto" w:fill="FFFFFF"/>
        </w:rPr>
        <w:t xml:space="preserve"> - </w:t>
      </w:r>
      <w:r w:rsidRPr="009A2763">
        <w:rPr>
          <w:rFonts w:ascii="Verdana" w:hAnsi="Verdana" w:cs="Arial"/>
          <w:i/>
          <w:sz w:val="21"/>
          <w:szCs w:val="21"/>
          <w:u w:val="single"/>
          <w:shd w:val="clear" w:color="auto" w:fill="FFFFFF"/>
        </w:rPr>
        <w:t>FONSE es un patrimonio autónomo, adscrito al Ministerio de Hacienda y Crédito Público</w:t>
      </w:r>
      <w:r w:rsidRPr="009A2763">
        <w:rPr>
          <w:rFonts w:ascii="Verdana" w:hAnsi="Verdana" w:cs="Arial"/>
          <w:i/>
          <w:sz w:val="21"/>
          <w:szCs w:val="21"/>
          <w:shd w:val="clear" w:color="auto" w:fill="FFFFFF"/>
        </w:rPr>
        <w:t>, administrado por este o la entidad que este designe.</w:t>
      </w:r>
    </w:p>
    <w:p w14:paraId="18FE0B5B" w14:textId="77777777" w:rsidR="00D04D21" w:rsidRPr="009A2763" w:rsidRDefault="00D04D21" w:rsidP="0089458E">
      <w:pPr>
        <w:tabs>
          <w:tab w:val="left" w:pos="8931"/>
        </w:tabs>
        <w:spacing w:line="252" w:lineRule="auto"/>
        <w:ind w:left="284"/>
        <w:jc w:val="both"/>
        <w:rPr>
          <w:rFonts w:ascii="Verdana" w:hAnsi="Verdana" w:cs="Arial"/>
          <w:i/>
          <w:sz w:val="21"/>
          <w:szCs w:val="21"/>
          <w:shd w:val="clear" w:color="auto" w:fill="FFFFFF"/>
        </w:rPr>
      </w:pPr>
    </w:p>
    <w:p w14:paraId="6506589B" w14:textId="77777777" w:rsidR="00D04D21" w:rsidRPr="009A2763" w:rsidRDefault="00D04D21" w:rsidP="0089458E">
      <w:pPr>
        <w:tabs>
          <w:tab w:val="left" w:pos="8931"/>
        </w:tabs>
        <w:spacing w:line="252" w:lineRule="auto"/>
        <w:ind w:left="284"/>
        <w:jc w:val="both"/>
        <w:rPr>
          <w:rFonts w:ascii="Verdana" w:hAnsi="Verdana" w:cs="Arial"/>
          <w:i/>
          <w:sz w:val="21"/>
          <w:szCs w:val="21"/>
          <w:shd w:val="clear" w:color="auto" w:fill="FFFFFF"/>
        </w:rPr>
      </w:pPr>
      <w:r w:rsidRPr="009A2763">
        <w:rPr>
          <w:rFonts w:ascii="Verdana" w:hAnsi="Verdana" w:cs="Arial"/>
          <w:b/>
          <w:bCs/>
          <w:i/>
          <w:sz w:val="21"/>
          <w:szCs w:val="21"/>
          <w:shd w:val="clear" w:color="auto" w:fill="FFFFFF"/>
        </w:rPr>
        <w:t>ARTÍCULO 2.21.2</w:t>
      </w:r>
      <w:r w:rsidRPr="009A2763">
        <w:rPr>
          <w:rFonts w:ascii="Verdana" w:hAnsi="Verdana" w:cs="Arial"/>
          <w:sz w:val="21"/>
          <w:szCs w:val="21"/>
        </w:rPr>
        <w:t xml:space="preserve">. </w:t>
      </w:r>
      <w:r w:rsidRPr="009A2763">
        <w:rPr>
          <w:rFonts w:ascii="Verdana" w:hAnsi="Verdana" w:cs="Arial"/>
          <w:i/>
          <w:sz w:val="21"/>
          <w:szCs w:val="21"/>
          <w:shd w:val="clear" w:color="auto" w:fill="FFFFFF"/>
        </w:rPr>
        <w:t xml:space="preserve">Objeto. El FONSE tendrá por objeto la inversión de recursos en instrumentos de capital emitidos por empresas de servicios públicos de energía oficiales o mixtas, incluyendo acciones con condiciones especiales de participación, dividendos y/o recompra, entre otras, con el fin de garantizar la continuidad de la prestación de energía en la Costa Caribe. </w:t>
      </w:r>
    </w:p>
    <w:p w14:paraId="3F821524" w14:textId="77777777" w:rsidR="00D04D21" w:rsidRPr="009A2763" w:rsidRDefault="00D04D21" w:rsidP="0089458E">
      <w:pPr>
        <w:tabs>
          <w:tab w:val="left" w:pos="8931"/>
        </w:tabs>
        <w:spacing w:line="252" w:lineRule="auto"/>
        <w:ind w:left="284"/>
        <w:jc w:val="both"/>
        <w:rPr>
          <w:rFonts w:ascii="Verdana" w:hAnsi="Verdana" w:cs="Arial"/>
          <w:i/>
          <w:sz w:val="21"/>
          <w:szCs w:val="21"/>
          <w:shd w:val="clear" w:color="auto" w:fill="FFFFFF"/>
        </w:rPr>
      </w:pPr>
    </w:p>
    <w:p w14:paraId="7C71CFF4" w14:textId="77777777" w:rsidR="00D04D21" w:rsidRPr="009A2763" w:rsidRDefault="00D04D21" w:rsidP="0089458E">
      <w:pPr>
        <w:tabs>
          <w:tab w:val="left" w:pos="8931"/>
        </w:tabs>
        <w:spacing w:line="252" w:lineRule="auto"/>
        <w:ind w:left="284"/>
        <w:jc w:val="both"/>
        <w:rPr>
          <w:rFonts w:ascii="Verdana" w:hAnsi="Verdana" w:cs="Arial"/>
          <w:i/>
          <w:sz w:val="21"/>
          <w:szCs w:val="21"/>
          <w:shd w:val="clear" w:color="auto" w:fill="FFFFFF"/>
        </w:rPr>
      </w:pPr>
      <w:r w:rsidRPr="009A2763">
        <w:rPr>
          <w:rFonts w:ascii="Verdana" w:hAnsi="Verdana" w:cs="Arial"/>
          <w:i/>
          <w:sz w:val="21"/>
          <w:szCs w:val="21"/>
          <w:shd w:val="clear" w:color="auto" w:fill="FFFFFF"/>
        </w:rPr>
        <w:t xml:space="preserve">Adicionalmente, el FONSE podrá otorgar créditos directos al Fondo Empresarial de la Superintendencia de Servicios Públicos Domiciliarios para destinarlos a solventar las necesidades de recursos asociadas a la implementación de esquemas de solución de largo plazo derivados de los procesos de toma de posesión de las empresas de servicios públicos domiciliarios, los cuales se hayan visto afectados por la situación de emergencia sanitaria declarada por el Ministerio de Salud y Protección Social y que por tanto requieran del apoyo del Fondo Empresarial de la Superintendencia de Servicios Públicos Domiciliarios para garantizarlos. Dichos créditos podrán otorgarse desde la </w:t>
      </w:r>
      <w:proofErr w:type="gramStart"/>
      <w:r w:rsidRPr="009A2763">
        <w:rPr>
          <w:rFonts w:ascii="Verdana" w:hAnsi="Verdana" w:cs="Arial"/>
          <w:i/>
          <w:sz w:val="21"/>
          <w:szCs w:val="21"/>
          <w:shd w:val="clear" w:color="auto" w:fill="FFFFFF"/>
        </w:rPr>
        <w:t>entrada en vigencia</w:t>
      </w:r>
      <w:proofErr w:type="gramEnd"/>
      <w:r w:rsidRPr="009A2763">
        <w:rPr>
          <w:rFonts w:ascii="Verdana" w:hAnsi="Verdana" w:cs="Arial"/>
          <w:i/>
          <w:sz w:val="21"/>
          <w:szCs w:val="21"/>
          <w:shd w:val="clear" w:color="auto" w:fill="FFFFFF"/>
        </w:rPr>
        <w:t xml:space="preserve"> del presente Decreto y hasta el 31 de diciembre de 2020</w:t>
      </w:r>
    </w:p>
    <w:p w14:paraId="3543C797" w14:textId="77777777" w:rsidR="00D04D21" w:rsidRPr="009A2763" w:rsidRDefault="00D04D21" w:rsidP="0089458E">
      <w:pPr>
        <w:tabs>
          <w:tab w:val="left" w:pos="8931"/>
        </w:tabs>
        <w:spacing w:line="252" w:lineRule="auto"/>
        <w:ind w:left="284"/>
        <w:jc w:val="both"/>
        <w:rPr>
          <w:rFonts w:ascii="Verdana" w:hAnsi="Verdana" w:cs="Arial"/>
          <w:i/>
          <w:sz w:val="21"/>
          <w:szCs w:val="21"/>
          <w:shd w:val="clear" w:color="auto" w:fill="FFFFFF"/>
        </w:rPr>
      </w:pPr>
    </w:p>
    <w:p w14:paraId="044CC0C1" w14:textId="77777777" w:rsidR="00D04D21" w:rsidRPr="009A2763" w:rsidRDefault="00D04D21" w:rsidP="0089458E">
      <w:pPr>
        <w:tabs>
          <w:tab w:val="left" w:pos="8931"/>
        </w:tabs>
        <w:spacing w:line="252" w:lineRule="auto"/>
        <w:ind w:left="284"/>
        <w:jc w:val="both"/>
        <w:rPr>
          <w:rFonts w:ascii="Verdana" w:hAnsi="Verdana" w:cs="Arial"/>
          <w:i/>
          <w:sz w:val="21"/>
          <w:szCs w:val="21"/>
          <w:shd w:val="clear" w:color="auto" w:fill="FFFFFF"/>
        </w:rPr>
      </w:pPr>
      <w:r w:rsidRPr="009A2763">
        <w:rPr>
          <w:rFonts w:ascii="Verdana" w:hAnsi="Verdana" w:cs="Arial"/>
          <w:i/>
          <w:sz w:val="21"/>
          <w:szCs w:val="21"/>
          <w:shd w:val="clear" w:color="auto" w:fill="FFFFFF"/>
        </w:rPr>
        <w:t>(…)</w:t>
      </w:r>
    </w:p>
    <w:p w14:paraId="0F8B57E0" w14:textId="77777777" w:rsidR="00D04D21" w:rsidRPr="009A2763" w:rsidRDefault="00D04D21" w:rsidP="0089458E">
      <w:pPr>
        <w:tabs>
          <w:tab w:val="left" w:pos="8931"/>
        </w:tabs>
        <w:spacing w:line="252" w:lineRule="auto"/>
        <w:ind w:left="284"/>
        <w:jc w:val="both"/>
        <w:rPr>
          <w:rFonts w:ascii="Verdana" w:hAnsi="Verdana" w:cs="Arial"/>
          <w:i/>
          <w:sz w:val="21"/>
          <w:szCs w:val="21"/>
          <w:shd w:val="clear" w:color="auto" w:fill="FFFFFF"/>
        </w:rPr>
      </w:pPr>
    </w:p>
    <w:p w14:paraId="6FB6E2D8" w14:textId="77777777" w:rsidR="00D04D21" w:rsidRPr="009A2763" w:rsidRDefault="00D04D21" w:rsidP="0089458E">
      <w:pPr>
        <w:tabs>
          <w:tab w:val="left" w:pos="8931"/>
        </w:tabs>
        <w:spacing w:line="252" w:lineRule="auto"/>
        <w:ind w:left="284"/>
        <w:jc w:val="both"/>
        <w:rPr>
          <w:rFonts w:ascii="Verdana" w:hAnsi="Verdana" w:cs="Arial"/>
          <w:i/>
          <w:sz w:val="21"/>
          <w:szCs w:val="21"/>
          <w:lang w:val="es-CO"/>
        </w:rPr>
      </w:pPr>
      <w:r w:rsidRPr="009A2763">
        <w:rPr>
          <w:rFonts w:ascii="Verdana" w:hAnsi="Verdana" w:cs="Arial"/>
          <w:b/>
          <w:i/>
          <w:sz w:val="21"/>
          <w:szCs w:val="21"/>
          <w:lang w:val="es-CO"/>
        </w:rPr>
        <w:t>ARTÍCULO 2.21.5 Administración del FONSE.</w:t>
      </w:r>
      <w:r w:rsidRPr="009A2763">
        <w:rPr>
          <w:rFonts w:ascii="Verdana" w:hAnsi="Verdana" w:cs="Arial"/>
          <w:i/>
          <w:sz w:val="21"/>
          <w:szCs w:val="21"/>
          <w:lang w:val="es-CO"/>
        </w:rPr>
        <w:t xml:space="preserve"> </w:t>
      </w:r>
      <w:r w:rsidRPr="009A2763">
        <w:rPr>
          <w:rFonts w:ascii="Verdana" w:hAnsi="Verdana" w:cs="Arial"/>
          <w:i/>
          <w:sz w:val="21"/>
          <w:szCs w:val="21"/>
          <w:u w:val="single"/>
          <w:lang w:val="es-CO"/>
        </w:rPr>
        <w:t>El Ministerio de Hacienda y Crédito Público administrará el FONSE</w:t>
      </w:r>
      <w:r w:rsidRPr="009A2763">
        <w:rPr>
          <w:rFonts w:ascii="Verdana" w:hAnsi="Verdana" w:cs="Arial"/>
          <w:i/>
          <w:sz w:val="21"/>
          <w:szCs w:val="21"/>
          <w:lang w:val="es-CO"/>
        </w:rPr>
        <w:t>, con plena observancia de los principios previstos en el artículo 209 de la Constitución Política y de forma independiente a los demás fondos y recursos administrados por el mismo.</w:t>
      </w:r>
    </w:p>
    <w:p w14:paraId="56297AB1" w14:textId="77777777" w:rsidR="00D04D21" w:rsidRPr="009A2763" w:rsidRDefault="00D04D21" w:rsidP="0089458E">
      <w:pPr>
        <w:tabs>
          <w:tab w:val="left" w:pos="8931"/>
        </w:tabs>
        <w:spacing w:line="252" w:lineRule="auto"/>
        <w:ind w:left="284"/>
        <w:jc w:val="both"/>
        <w:rPr>
          <w:rFonts w:ascii="Verdana" w:hAnsi="Verdana" w:cs="Arial"/>
          <w:i/>
          <w:sz w:val="21"/>
          <w:szCs w:val="21"/>
          <w:lang w:val="es-CO"/>
        </w:rPr>
      </w:pPr>
    </w:p>
    <w:p w14:paraId="1054CCD1" w14:textId="77777777" w:rsidR="00D04D21" w:rsidRPr="009A2763" w:rsidRDefault="00D04D21" w:rsidP="0089458E">
      <w:pPr>
        <w:tabs>
          <w:tab w:val="left" w:pos="8931"/>
        </w:tabs>
        <w:spacing w:line="252" w:lineRule="auto"/>
        <w:ind w:left="284"/>
        <w:jc w:val="both"/>
        <w:rPr>
          <w:rFonts w:ascii="Verdana" w:hAnsi="Verdana" w:cs="Arial"/>
          <w:i/>
          <w:sz w:val="21"/>
          <w:szCs w:val="21"/>
          <w:lang w:val="es-CO"/>
        </w:rPr>
      </w:pPr>
      <w:bookmarkStart w:id="0" w:name="_Hlk64557980"/>
      <w:r w:rsidRPr="009A2763">
        <w:rPr>
          <w:rFonts w:ascii="Verdana" w:hAnsi="Verdana" w:cs="Arial"/>
          <w:i/>
          <w:sz w:val="21"/>
          <w:szCs w:val="21"/>
          <w:u w:val="single"/>
          <w:lang w:val="es-CO"/>
        </w:rPr>
        <w:lastRenderedPageBreak/>
        <w:t>El Ministerio de Hacienda y Crédito Público</w:t>
      </w:r>
      <w:r w:rsidRPr="009A2763">
        <w:rPr>
          <w:rFonts w:ascii="Verdana" w:hAnsi="Verdana" w:cs="Arial"/>
          <w:i/>
          <w:sz w:val="21"/>
          <w:szCs w:val="21"/>
          <w:lang w:val="es-CO"/>
        </w:rPr>
        <w:t xml:space="preserve">, a través de sus dependencias competentes, </w:t>
      </w:r>
      <w:r w:rsidRPr="009A2763">
        <w:rPr>
          <w:rFonts w:ascii="Verdana" w:hAnsi="Verdana" w:cs="Arial"/>
          <w:i/>
          <w:sz w:val="21"/>
          <w:szCs w:val="21"/>
          <w:u w:val="single"/>
          <w:lang w:val="es-CO"/>
        </w:rPr>
        <w:t>tendrá las siguientes funciones en relación con la dirección, administración y ordenación de las inversiones u operaciones de crédito del FONSE</w:t>
      </w:r>
      <w:r w:rsidRPr="009A2763">
        <w:rPr>
          <w:rFonts w:ascii="Verdana" w:hAnsi="Verdana" w:cs="Arial"/>
          <w:i/>
          <w:sz w:val="21"/>
          <w:szCs w:val="21"/>
          <w:lang w:val="es-CO"/>
        </w:rPr>
        <w:t>:</w:t>
      </w:r>
    </w:p>
    <w:p w14:paraId="204232B6" w14:textId="77777777" w:rsidR="00D04D21" w:rsidRPr="009A2763" w:rsidRDefault="00D04D21" w:rsidP="0089458E">
      <w:pPr>
        <w:tabs>
          <w:tab w:val="left" w:pos="8931"/>
        </w:tabs>
        <w:spacing w:line="252" w:lineRule="auto"/>
        <w:ind w:left="284"/>
        <w:jc w:val="both"/>
        <w:rPr>
          <w:rFonts w:ascii="Verdana" w:hAnsi="Verdana" w:cs="Arial"/>
          <w:i/>
          <w:sz w:val="21"/>
          <w:szCs w:val="21"/>
          <w:lang w:val="es-CO"/>
        </w:rPr>
      </w:pPr>
    </w:p>
    <w:p w14:paraId="26A04038" w14:textId="77777777" w:rsidR="00D04D21" w:rsidRPr="009A2763" w:rsidRDefault="00D04D21" w:rsidP="0089458E">
      <w:pPr>
        <w:tabs>
          <w:tab w:val="left" w:pos="8931"/>
        </w:tabs>
        <w:spacing w:line="252" w:lineRule="auto"/>
        <w:ind w:left="284"/>
        <w:jc w:val="both"/>
        <w:rPr>
          <w:rFonts w:ascii="Verdana" w:hAnsi="Verdana" w:cs="Arial"/>
          <w:i/>
          <w:sz w:val="21"/>
          <w:szCs w:val="21"/>
          <w:lang w:val="es-CO"/>
        </w:rPr>
      </w:pPr>
      <w:r w:rsidRPr="009A2763">
        <w:rPr>
          <w:rFonts w:ascii="Verdana" w:hAnsi="Verdana" w:cs="Arial"/>
          <w:i/>
          <w:sz w:val="21"/>
          <w:szCs w:val="21"/>
          <w:lang w:val="es-CO"/>
        </w:rPr>
        <w:t>1. Realizar las operaciones y las actividades administrativas, financieras, presupuestales y contables del Fondo, de acuerdo con las disposiciones legales y reglamentarias.</w:t>
      </w:r>
    </w:p>
    <w:p w14:paraId="6CCC5E7C" w14:textId="77777777" w:rsidR="00D04D21" w:rsidRPr="009A2763" w:rsidRDefault="00D04D21" w:rsidP="0089458E">
      <w:pPr>
        <w:tabs>
          <w:tab w:val="left" w:pos="8931"/>
        </w:tabs>
        <w:spacing w:line="252" w:lineRule="auto"/>
        <w:ind w:left="284"/>
        <w:jc w:val="both"/>
        <w:rPr>
          <w:rFonts w:ascii="Verdana" w:hAnsi="Verdana" w:cs="Arial"/>
          <w:i/>
          <w:sz w:val="21"/>
          <w:szCs w:val="21"/>
          <w:lang w:val="es-CO"/>
        </w:rPr>
      </w:pPr>
    </w:p>
    <w:p w14:paraId="7751B973" w14:textId="77777777" w:rsidR="00D04D21" w:rsidRPr="009A2763" w:rsidRDefault="00D04D21" w:rsidP="0089458E">
      <w:pPr>
        <w:tabs>
          <w:tab w:val="left" w:pos="8931"/>
        </w:tabs>
        <w:spacing w:line="252" w:lineRule="auto"/>
        <w:ind w:left="284"/>
        <w:jc w:val="both"/>
        <w:rPr>
          <w:rFonts w:ascii="Verdana" w:hAnsi="Verdana" w:cs="Arial"/>
          <w:i/>
          <w:sz w:val="21"/>
          <w:szCs w:val="21"/>
          <w:lang w:val="es-CO"/>
        </w:rPr>
      </w:pPr>
      <w:r w:rsidRPr="009A2763">
        <w:rPr>
          <w:rFonts w:ascii="Verdana" w:hAnsi="Verdana" w:cs="Arial"/>
          <w:i/>
          <w:sz w:val="21"/>
          <w:szCs w:val="21"/>
          <w:u w:val="single"/>
          <w:lang w:val="es-CO"/>
        </w:rPr>
        <w:t>2. Llevar, a través de la Unidad de Gestión General, la contabilidad de acuerdo con los términos establecidos por la Contaduría General de la Nación</w:t>
      </w:r>
      <w:r w:rsidRPr="009A2763">
        <w:rPr>
          <w:rFonts w:ascii="Verdana" w:hAnsi="Verdana" w:cs="Arial"/>
          <w:i/>
          <w:sz w:val="21"/>
          <w:szCs w:val="21"/>
          <w:lang w:val="es-CO"/>
        </w:rPr>
        <w:t xml:space="preserve"> (…)”. </w:t>
      </w:r>
      <w:r w:rsidRPr="009A2763">
        <w:rPr>
          <w:rFonts w:ascii="Verdana" w:hAnsi="Verdana" w:cs="Arial"/>
          <w:sz w:val="21"/>
          <w:szCs w:val="21"/>
          <w:lang w:val="es-CO"/>
        </w:rPr>
        <w:t>(Subrayado fuera de texto).</w:t>
      </w:r>
      <w:bookmarkEnd w:id="0"/>
    </w:p>
    <w:p w14:paraId="15445B1B" w14:textId="77777777" w:rsidR="00D04D21" w:rsidRPr="009A2763" w:rsidRDefault="00D04D21" w:rsidP="0089458E">
      <w:pPr>
        <w:spacing w:line="252" w:lineRule="auto"/>
        <w:ind w:left="284"/>
        <w:jc w:val="both"/>
        <w:rPr>
          <w:rFonts w:ascii="Verdana" w:hAnsi="Verdana" w:cs="Arial"/>
          <w:sz w:val="21"/>
          <w:szCs w:val="21"/>
        </w:rPr>
      </w:pPr>
    </w:p>
    <w:p w14:paraId="7A67C4B1" w14:textId="77777777" w:rsidR="00D04D21" w:rsidRPr="009A2763" w:rsidRDefault="00D04D21" w:rsidP="0089458E">
      <w:pPr>
        <w:spacing w:line="252" w:lineRule="auto"/>
        <w:jc w:val="both"/>
        <w:rPr>
          <w:rFonts w:ascii="Verdana" w:hAnsi="Verdana" w:cs="Arial"/>
          <w:sz w:val="21"/>
          <w:szCs w:val="21"/>
        </w:rPr>
      </w:pPr>
      <w:r w:rsidRPr="009A2763">
        <w:rPr>
          <w:rFonts w:ascii="Verdana" w:hAnsi="Verdana" w:cs="Arial"/>
          <w:sz w:val="21"/>
          <w:szCs w:val="21"/>
        </w:rPr>
        <w:t xml:space="preserve">Ahora bien, con relación a la regulación dispuesta por la Contaduría General de la Nación, la Resolución 156 de 2018, estableció: </w:t>
      </w:r>
    </w:p>
    <w:p w14:paraId="79F1A8BE" w14:textId="77777777" w:rsidR="00D04D21" w:rsidRPr="009A2763" w:rsidRDefault="00D04D21" w:rsidP="0089458E">
      <w:pPr>
        <w:spacing w:line="252" w:lineRule="auto"/>
        <w:jc w:val="both"/>
        <w:rPr>
          <w:rFonts w:ascii="Verdana" w:hAnsi="Verdana" w:cs="Arial"/>
          <w:sz w:val="21"/>
          <w:szCs w:val="21"/>
        </w:rPr>
      </w:pPr>
    </w:p>
    <w:p w14:paraId="46E37756" w14:textId="77777777" w:rsidR="00D04D21" w:rsidRPr="009A2763" w:rsidRDefault="00D04D21" w:rsidP="0089458E">
      <w:pPr>
        <w:spacing w:line="252" w:lineRule="auto"/>
        <w:ind w:left="284" w:right="49"/>
        <w:jc w:val="both"/>
        <w:rPr>
          <w:rFonts w:ascii="Verdana" w:hAnsi="Verdana" w:cs="Arial"/>
          <w:i/>
          <w:sz w:val="21"/>
          <w:szCs w:val="21"/>
        </w:rPr>
      </w:pPr>
      <w:r w:rsidRPr="009A2763">
        <w:rPr>
          <w:rFonts w:ascii="Verdana" w:hAnsi="Verdana" w:cs="Arial"/>
          <w:i/>
          <w:sz w:val="21"/>
          <w:szCs w:val="21"/>
        </w:rPr>
        <w:t>“ARTICULO 2. Modificar el artículo 59 de la Resolución 354 de 2007, el cual quedará así:</w:t>
      </w:r>
    </w:p>
    <w:p w14:paraId="1F65F0E4" w14:textId="77777777" w:rsidR="00D04D21" w:rsidRPr="009A2763" w:rsidRDefault="00D04D21" w:rsidP="0089458E">
      <w:pPr>
        <w:spacing w:line="252" w:lineRule="auto"/>
        <w:ind w:right="49"/>
        <w:jc w:val="both"/>
        <w:rPr>
          <w:rFonts w:ascii="Verdana" w:hAnsi="Verdana" w:cs="Arial"/>
          <w:i/>
          <w:sz w:val="21"/>
          <w:szCs w:val="21"/>
        </w:rPr>
      </w:pPr>
    </w:p>
    <w:p w14:paraId="24D71BB8" w14:textId="77777777" w:rsidR="00D04D21" w:rsidRPr="009A2763" w:rsidRDefault="00D04D21" w:rsidP="0089458E">
      <w:pPr>
        <w:tabs>
          <w:tab w:val="left" w:pos="8931"/>
        </w:tabs>
        <w:spacing w:line="252" w:lineRule="auto"/>
        <w:ind w:left="284" w:right="49"/>
        <w:jc w:val="both"/>
        <w:rPr>
          <w:rFonts w:ascii="Verdana" w:hAnsi="Verdana" w:cs="Arial"/>
          <w:i/>
          <w:sz w:val="21"/>
          <w:szCs w:val="21"/>
        </w:rPr>
      </w:pPr>
      <w:r w:rsidRPr="009A2763">
        <w:rPr>
          <w:rFonts w:ascii="Verdana" w:hAnsi="Verdana" w:cs="Arial"/>
          <w:i/>
          <w:sz w:val="21"/>
          <w:szCs w:val="21"/>
        </w:rPr>
        <w:t>ARTÍCULO 5. Ámbito de aplicación. El Régimen de Contabilidad Pública debe ser aplicado por:</w:t>
      </w:r>
    </w:p>
    <w:p w14:paraId="6B4F20DB" w14:textId="77777777" w:rsidR="00D04D21" w:rsidRPr="009A2763" w:rsidRDefault="00D04D21" w:rsidP="0089458E">
      <w:pPr>
        <w:tabs>
          <w:tab w:val="left" w:pos="8931"/>
        </w:tabs>
        <w:spacing w:line="252" w:lineRule="auto"/>
        <w:ind w:left="284" w:right="49"/>
        <w:jc w:val="both"/>
        <w:rPr>
          <w:rFonts w:ascii="Verdana" w:hAnsi="Verdana" w:cs="Arial"/>
          <w:i/>
          <w:sz w:val="21"/>
          <w:szCs w:val="21"/>
        </w:rPr>
      </w:pPr>
    </w:p>
    <w:p w14:paraId="55AC688B" w14:textId="77777777" w:rsidR="00D04D21" w:rsidRPr="009A2763" w:rsidRDefault="00D04D21" w:rsidP="0089458E">
      <w:pPr>
        <w:tabs>
          <w:tab w:val="left" w:pos="8931"/>
        </w:tabs>
        <w:spacing w:line="252" w:lineRule="auto"/>
        <w:ind w:left="284" w:right="49"/>
        <w:jc w:val="both"/>
        <w:rPr>
          <w:rFonts w:ascii="Verdana" w:hAnsi="Verdana" w:cs="Arial"/>
          <w:i/>
          <w:sz w:val="21"/>
          <w:szCs w:val="21"/>
        </w:rPr>
      </w:pPr>
      <w:r w:rsidRPr="009A2763">
        <w:rPr>
          <w:rFonts w:ascii="Verdana" w:hAnsi="Verdana" w:cs="Arial"/>
          <w:i/>
          <w:sz w:val="21"/>
          <w:szCs w:val="21"/>
        </w:rPr>
        <w:t>1) las entidades u organismos que integran las Ramas del Poder Público en sus diferentes niveles y sectores, las cuales integrarán a su información la de los patrimonios autónomos que constituyan y la de los fondos sin personería jurídica que le sean asignados;</w:t>
      </w:r>
    </w:p>
    <w:p w14:paraId="5233876B" w14:textId="77777777" w:rsidR="00D04D21" w:rsidRPr="009A2763" w:rsidRDefault="00D04D21" w:rsidP="0089458E">
      <w:pPr>
        <w:tabs>
          <w:tab w:val="left" w:pos="8931"/>
        </w:tabs>
        <w:spacing w:line="252" w:lineRule="auto"/>
        <w:ind w:left="284" w:right="49"/>
        <w:jc w:val="both"/>
        <w:rPr>
          <w:rFonts w:ascii="Verdana" w:hAnsi="Verdana" w:cs="Arial"/>
          <w:i/>
          <w:sz w:val="21"/>
          <w:szCs w:val="21"/>
        </w:rPr>
      </w:pPr>
    </w:p>
    <w:p w14:paraId="1DDEF56E" w14:textId="77777777" w:rsidR="00D04D21" w:rsidRPr="009A2763" w:rsidRDefault="00D04D21" w:rsidP="0089458E">
      <w:pPr>
        <w:tabs>
          <w:tab w:val="left" w:pos="8931"/>
        </w:tabs>
        <w:spacing w:line="252" w:lineRule="auto"/>
        <w:ind w:left="284" w:right="49"/>
        <w:jc w:val="both"/>
        <w:rPr>
          <w:rFonts w:ascii="Verdana" w:hAnsi="Verdana" w:cs="Arial"/>
          <w:i/>
          <w:sz w:val="21"/>
          <w:szCs w:val="21"/>
        </w:rPr>
      </w:pPr>
      <w:r w:rsidRPr="009A2763">
        <w:rPr>
          <w:rFonts w:ascii="Verdana" w:hAnsi="Verdana" w:cs="Arial"/>
          <w:i/>
          <w:sz w:val="21"/>
          <w:szCs w:val="21"/>
        </w:rPr>
        <w:t xml:space="preserve">2) </w:t>
      </w:r>
      <w:r w:rsidRPr="009A2763">
        <w:rPr>
          <w:rFonts w:ascii="Verdana" w:hAnsi="Verdana" w:cs="Arial"/>
          <w:i/>
          <w:sz w:val="21"/>
          <w:szCs w:val="21"/>
          <w:u w:val="single"/>
        </w:rPr>
        <w:t>los patrimonios autónomos cuya constitución sea obligatoria en virtud de una disposición legal y estén a cargo de una entidad pública, con independencia de que sean administrados por una sociedad fiduciaria pública o privada</w:t>
      </w:r>
      <w:r w:rsidRPr="009A2763">
        <w:rPr>
          <w:rFonts w:ascii="Verdana" w:hAnsi="Verdana" w:cs="Arial"/>
          <w:i/>
          <w:sz w:val="21"/>
          <w:szCs w:val="21"/>
        </w:rPr>
        <w:t xml:space="preserve"> (…)” </w:t>
      </w:r>
      <w:r w:rsidRPr="009A2763">
        <w:rPr>
          <w:rFonts w:ascii="Verdana" w:hAnsi="Verdana" w:cs="Arial"/>
          <w:sz w:val="21"/>
          <w:szCs w:val="21"/>
        </w:rPr>
        <w:t xml:space="preserve">(Subrayado fuera de texto). </w:t>
      </w:r>
    </w:p>
    <w:p w14:paraId="0D7A4379" w14:textId="77777777" w:rsidR="00D04D21" w:rsidRPr="009A2763" w:rsidRDefault="00D04D21" w:rsidP="0089458E">
      <w:pPr>
        <w:spacing w:line="252" w:lineRule="auto"/>
        <w:ind w:left="284" w:right="333"/>
        <w:jc w:val="both"/>
        <w:rPr>
          <w:rFonts w:ascii="Verdana" w:hAnsi="Verdana" w:cs="Arial"/>
          <w:sz w:val="21"/>
          <w:szCs w:val="21"/>
        </w:rPr>
      </w:pPr>
      <w:r w:rsidRPr="009A2763">
        <w:rPr>
          <w:rFonts w:ascii="Verdana" w:hAnsi="Verdana" w:cs="Arial"/>
          <w:sz w:val="21"/>
          <w:szCs w:val="21"/>
        </w:rPr>
        <w:tab/>
      </w:r>
    </w:p>
    <w:p w14:paraId="267B2983" w14:textId="43D1F4C9" w:rsidR="00D04D21" w:rsidRPr="009A2763" w:rsidRDefault="00D04D21" w:rsidP="0089458E">
      <w:pPr>
        <w:spacing w:line="252" w:lineRule="auto"/>
        <w:jc w:val="both"/>
        <w:rPr>
          <w:rFonts w:ascii="Verdana" w:hAnsi="Verdana" w:cs="Arial"/>
          <w:sz w:val="21"/>
          <w:szCs w:val="21"/>
        </w:rPr>
      </w:pPr>
      <w:r w:rsidRPr="009A2763">
        <w:rPr>
          <w:rFonts w:ascii="Verdana" w:hAnsi="Verdana" w:cs="Arial"/>
          <w:sz w:val="21"/>
          <w:szCs w:val="21"/>
        </w:rPr>
        <w:t xml:space="preserve">Por lo anterior, y toda vez que el Fondo de Sostenibilidad Financiera del Sector Eléctrico (FONSE) fue constituido como un patrimonio autónomo, se determinó que se debe llevar </w:t>
      </w:r>
      <w:r w:rsidR="00211084" w:rsidRPr="009A2763">
        <w:rPr>
          <w:rFonts w:ascii="Verdana" w:hAnsi="Verdana" w:cs="Arial"/>
          <w:sz w:val="21"/>
          <w:szCs w:val="21"/>
        </w:rPr>
        <w:t>su</w:t>
      </w:r>
      <w:r w:rsidR="00423136" w:rsidRPr="009A2763">
        <w:rPr>
          <w:rFonts w:ascii="Verdana" w:hAnsi="Verdana" w:cs="Arial"/>
          <w:sz w:val="21"/>
          <w:szCs w:val="21"/>
        </w:rPr>
        <w:t xml:space="preserve"> </w:t>
      </w:r>
      <w:r w:rsidRPr="009A2763">
        <w:rPr>
          <w:rFonts w:ascii="Verdana" w:hAnsi="Verdana" w:cs="Arial"/>
          <w:sz w:val="21"/>
          <w:szCs w:val="21"/>
        </w:rPr>
        <w:t xml:space="preserve">contabilidad de forma independiente a la de la Entidad Contable Pública 011500000-Ministerio de Hacienda y Crédito Público – Gestión General, y reportar </w:t>
      </w:r>
      <w:r w:rsidR="00423136" w:rsidRPr="009A2763">
        <w:rPr>
          <w:rFonts w:ascii="Verdana" w:hAnsi="Verdana" w:cs="Arial"/>
          <w:sz w:val="21"/>
          <w:szCs w:val="21"/>
        </w:rPr>
        <w:t>su</w:t>
      </w:r>
      <w:r w:rsidRPr="009A2763">
        <w:rPr>
          <w:rFonts w:ascii="Verdana" w:hAnsi="Verdana" w:cs="Arial"/>
          <w:sz w:val="21"/>
          <w:szCs w:val="21"/>
        </w:rPr>
        <w:t xml:space="preserve"> información a través del CHIP con un código de consolidación diferente al asignado para la Entidad Contable Pública 011500000- Ministerio de Hacienda y Crédito Público- Gestión General. </w:t>
      </w:r>
    </w:p>
    <w:p w14:paraId="5DF4550A" w14:textId="77777777" w:rsidR="00D04D21" w:rsidRPr="009A2763" w:rsidRDefault="00D04D21" w:rsidP="0089458E">
      <w:pPr>
        <w:spacing w:line="252" w:lineRule="auto"/>
        <w:jc w:val="both"/>
        <w:rPr>
          <w:rFonts w:ascii="Verdana" w:hAnsi="Verdana" w:cs="Arial"/>
          <w:sz w:val="21"/>
          <w:szCs w:val="21"/>
        </w:rPr>
      </w:pPr>
    </w:p>
    <w:p w14:paraId="016F414B" w14:textId="10932BE0" w:rsidR="00D04D21" w:rsidRPr="009A2763" w:rsidRDefault="00D04D21" w:rsidP="0089458E">
      <w:pPr>
        <w:spacing w:line="252" w:lineRule="auto"/>
        <w:jc w:val="both"/>
        <w:rPr>
          <w:rFonts w:ascii="Verdana" w:hAnsi="Verdana" w:cs="Arial"/>
          <w:sz w:val="21"/>
          <w:szCs w:val="21"/>
          <w:lang w:val="es-CO"/>
        </w:rPr>
      </w:pPr>
      <w:r w:rsidRPr="009A2763">
        <w:rPr>
          <w:rFonts w:ascii="Verdana" w:hAnsi="Verdana" w:cs="Arial"/>
          <w:sz w:val="21"/>
          <w:szCs w:val="21"/>
        </w:rPr>
        <w:t>Para tal efecto, y con el fin de efectuar los reportes de información a la Contaduría General de la Nación y demás usuarios estratégicos del CHIP, mediante comunicación 20201300050461 del 23 de octubre de 2020</w:t>
      </w:r>
      <w:r w:rsidR="009C0074" w:rsidRPr="009A2763">
        <w:rPr>
          <w:rFonts w:ascii="Verdana" w:hAnsi="Verdana" w:cs="Arial"/>
          <w:sz w:val="21"/>
          <w:szCs w:val="21"/>
        </w:rPr>
        <w:t>,</w:t>
      </w:r>
      <w:r w:rsidRPr="009A2763">
        <w:rPr>
          <w:rFonts w:ascii="Verdana" w:hAnsi="Verdana" w:cs="Arial"/>
          <w:sz w:val="21"/>
          <w:szCs w:val="21"/>
        </w:rPr>
        <w:t xml:space="preserve"> la Contaduría General de la Nación incluyó al Fondo de Sostenibilidad Financiera del Sector Eléctrico en el Sistema Consolidador de </w:t>
      </w:r>
      <w:r w:rsidRPr="009A2763">
        <w:rPr>
          <w:rFonts w:ascii="Verdana" w:hAnsi="Verdana" w:cs="Arial"/>
          <w:sz w:val="21"/>
          <w:szCs w:val="21"/>
        </w:rPr>
        <w:lastRenderedPageBreak/>
        <w:t>Hacienda e Información Pública (CHIP) con el código institucional 923272994. Asimismo, según lo definido por la CGN para la preparación de su información, el FONSE debe aplicar el Marco Normativo para Entidades de Gobierno anexo a la Resolución 533 de 2015.</w:t>
      </w:r>
    </w:p>
    <w:p w14:paraId="242899DD" w14:textId="77777777" w:rsidR="00D04D21" w:rsidRPr="009A2763" w:rsidRDefault="00D04D21" w:rsidP="0089458E">
      <w:pPr>
        <w:spacing w:line="252" w:lineRule="auto"/>
        <w:jc w:val="both"/>
        <w:rPr>
          <w:rFonts w:ascii="Verdana" w:eastAsiaTheme="minorHAnsi" w:hAnsi="Verdana" w:cs="Arial"/>
          <w:sz w:val="21"/>
          <w:szCs w:val="21"/>
          <w:lang w:val="es-CO" w:eastAsia="en-US"/>
        </w:rPr>
      </w:pPr>
    </w:p>
    <w:p w14:paraId="5628698E" w14:textId="1D87938F" w:rsidR="00124EFC" w:rsidRPr="009A2763" w:rsidRDefault="00124EFC" w:rsidP="0089458E">
      <w:pPr>
        <w:spacing w:line="252" w:lineRule="auto"/>
        <w:jc w:val="both"/>
        <w:rPr>
          <w:rFonts w:ascii="Verdana" w:hAnsi="Verdana" w:cs="Arial"/>
          <w:sz w:val="21"/>
          <w:szCs w:val="21"/>
        </w:rPr>
      </w:pPr>
      <w:r w:rsidRPr="009A2763">
        <w:rPr>
          <w:rFonts w:ascii="Verdana" w:hAnsi="Verdana" w:cs="Arial"/>
          <w:sz w:val="21"/>
          <w:szCs w:val="21"/>
        </w:rPr>
        <w:t xml:space="preserve">Así las cosas, </w:t>
      </w:r>
      <w:r w:rsidR="007E6A79" w:rsidRPr="009A2763">
        <w:rPr>
          <w:rFonts w:ascii="Verdana" w:hAnsi="Verdana" w:cs="Arial"/>
          <w:sz w:val="21"/>
          <w:szCs w:val="21"/>
        </w:rPr>
        <w:t>l</w:t>
      </w:r>
      <w:r w:rsidRPr="009A2763">
        <w:rPr>
          <w:rFonts w:ascii="Verdana" w:hAnsi="Verdana" w:cs="Arial"/>
          <w:sz w:val="21"/>
          <w:szCs w:val="21"/>
        </w:rPr>
        <w:t xml:space="preserve">a identificación, clasificación, registro, revelación, análisis, interpretación y comunicación de la información contable del FONSE, se lleva a cabo a través del Grupo de Contabilidad de la Subdirección Financiera del Ministerio de Hacienda y Crédito Público. </w:t>
      </w:r>
    </w:p>
    <w:p w14:paraId="7ECAD79E" w14:textId="22CBD721" w:rsidR="00D04D21" w:rsidRPr="009A2763" w:rsidRDefault="00D04D21" w:rsidP="0089458E">
      <w:pPr>
        <w:autoSpaceDE w:val="0"/>
        <w:autoSpaceDN w:val="0"/>
        <w:spacing w:line="252" w:lineRule="auto"/>
        <w:jc w:val="both"/>
        <w:rPr>
          <w:rFonts w:ascii="Verdana" w:hAnsi="Verdana" w:cs="Arial"/>
          <w:sz w:val="21"/>
          <w:szCs w:val="21"/>
        </w:rPr>
      </w:pPr>
    </w:p>
    <w:p w14:paraId="48AC9CD1" w14:textId="2A1C0C5C" w:rsidR="00124EFC" w:rsidRPr="009A2763" w:rsidRDefault="00124EFC" w:rsidP="0089458E">
      <w:pPr>
        <w:autoSpaceDE w:val="0"/>
        <w:autoSpaceDN w:val="0"/>
        <w:adjustRightInd w:val="0"/>
        <w:spacing w:line="252" w:lineRule="auto"/>
        <w:jc w:val="both"/>
        <w:rPr>
          <w:rFonts w:ascii="Verdana" w:eastAsiaTheme="minorHAnsi" w:hAnsi="Verdana" w:cs="Arial"/>
          <w:i/>
          <w:sz w:val="21"/>
          <w:szCs w:val="21"/>
          <w:lang w:val="es-CO" w:eastAsia="en-US"/>
        </w:rPr>
      </w:pPr>
      <w:r w:rsidRPr="009A2763">
        <w:rPr>
          <w:rFonts w:ascii="Verdana" w:eastAsiaTheme="minorHAnsi" w:hAnsi="Verdana" w:cs="Arial"/>
          <w:sz w:val="21"/>
          <w:szCs w:val="21"/>
          <w:lang w:val="es-CO" w:eastAsia="en-US"/>
        </w:rPr>
        <w:t>De otra parte,</w:t>
      </w:r>
      <w:r w:rsidRPr="009A2763">
        <w:rPr>
          <w:rFonts w:ascii="Verdana" w:eastAsiaTheme="minorHAnsi" w:hAnsi="Verdana" w:cs="Arial"/>
          <w:b/>
          <w:color w:val="2F5395"/>
          <w:sz w:val="21"/>
          <w:szCs w:val="21"/>
          <w:lang w:val="es-CO" w:eastAsia="en-US"/>
        </w:rPr>
        <w:t xml:space="preserve"> </w:t>
      </w:r>
      <w:r w:rsidRPr="009A2763">
        <w:rPr>
          <w:rFonts w:ascii="Verdana" w:eastAsiaTheme="minorHAnsi" w:hAnsi="Verdana" w:cs="Arial"/>
          <w:sz w:val="21"/>
          <w:szCs w:val="21"/>
          <w:lang w:val="es-CO" w:eastAsia="en-US"/>
        </w:rPr>
        <w:t xml:space="preserve">para el reconocimiento, medición y revelación de los hechos, transacciones y operaciones del FONSE, el Grupo de Contabilidad ha definido métodos y prácticas contables, de carácter específico, que se encuentran documentados en el Manual de Políticas denominado </w:t>
      </w:r>
      <w:r w:rsidRPr="009A2763">
        <w:rPr>
          <w:rFonts w:ascii="Verdana" w:eastAsiaTheme="minorHAnsi" w:hAnsi="Verdana" w:cs="Arial"/>
          <w:i/>
          <w:sz w:val="21"/>
          <w:szCs w:val="21"/>
          <w:lang w:val="es-CO" w:eastAsia="en-US"/>
        </w:rPr>
        <w:t xml:space="preserve">“Apo3.Man.5. Manual de Políticas Contables - Fondo de Sostenibilidad Financiera del Sector Eléctrico (FONSE)”, </w:t>
      </w:r>
      <w:r w:rsidRPr="009A2763">
        <w:rPr>
          <w:rFonts w:ascii="Verdana" w:eastAsiaTheme="minorHAnsi" w:hAnsi="Verdana" w:cs="Arial"/>
          <w:sz w:val="21"/>
          <w:szCs w:val="21"/>
          <w:lang w:val="es-CO" w:eastAsia="en-US"/>
        </w:rPr>
        <w:t>adoptado mediante Resolución 2429 de 2020</w:t>
      </w:r>
      <w:r w:rsidR="009102E9" w:rsidRPr="009A2763">
        <w:rPr>
          <w:rFonts w:ascii="Verdana" w:eastAsiaTheme="minorHAnsi" w:hAnsi="Verdana" w:cs="Arial"/>
          <w:sz w:val="21"/>
          <w:szCs w:val="21"/>
          <w:lang w:val="es-CO" w:eastAsia="en-US"/>
        </w:rPr>
        <w:t xml:space="preserve"> y sus correspondientes </w:t>
      </w:r>
      <w:r w:rsidR="00246A30" w:rsidRPr="009A2763">
        <w:rPr>
          <w:rFonts w:ascii="Verdana" w:eastAsiaTheme="minorHAnsi" w:hAnsi="Verdana" w:cs="Arial"/>
          <w:sz w:val="21"/>
          <w:szCs w:val="21"/>
          <w:lang w:val="es-CO" w:eastAsia="en-US"/>
        </w:rPr>
        <w:t>actualizaciones</w:t>
      </w:r>
      <w:r w:rsidR="009102E9" w:rsidRPr="009A2763">
        <w:rPr>
          <w:rFonts w:ascii="Verdana" w:eastAsiaTheme="minorHAnsi" w:hAnsi="Verdana" w:cs="Arial"/>
          <w:sz w:val="21"/>
          <w:szCs w:val="21"/>
          <w:lang w:val="es-CO" w:eastAsia="en-US"/>
        </w:rPr>
        <w:t xml:space="preserve">. </w:t>
      </w:r>
    </w:p>
    <w:p w14:paraId="2108C8C8" w14:textId="77777777" w:rsidR="00124EFC" w:rsidRPr="009A2763" w:rsidRDefault="00124EFC" w:rsidP="0089458E">
      <w:pPr>
        <w:spacing w:line="252" w:lineRule="auto"/>
        <w:ind w:left="284" w:hanging="284"/>
        <w:rPr>
          <w:rFonts w:ascii="Verdana" w:eastAsiaTheme="minorHAnsi" w:hAnsi="Verdana" w:cs="Arial"/>
          <w:b/>
          <w:color w:val="2F5395"/>
          <w:sz w:val="21"/>
          <w:szCs w:val="21"/>
          <w:lang w:val="es-CO" w:eastAsia="en-US"/>
        </w:rPr>
      </w:pPr>
    </w:p>
    <w:p w14:paraId="326BE591" w14:textId="67A46285" w:rsidR="0073696C" w:rsidRPr="009A2763" w:rsidRDefault="007E6A79" w:rsidP="0089458E">
      <w:pPr>
        <w:spacing w:line="252" w:lineRule="auto"/>
        <w:jc w:val="both"/>
        <w:rPr>
          <w:rFonts w:ascii="Verdana" w:eastAsiaTheme="minorHAnsi" w:hAnsi="Verdana" w:cs="Arial"/>
          <w:sz w:val="21"/>
          <w:szCs w:val="21"/>
          <w:lang w:val="es-CO" w:eastAsia="en-US"/>
        </w:rPr>
      </w:pPr>
      <w:r w:rsidRPr="009A2763">
        <w:rPr>
          <w:rFonts w:ascii="Verdana" w:eastAsiaTheme="minorHAnsi" w:hAnsi="Verdana" w:cs="Arial"/>
          <w:sz w:val="21"/>
          <w:szCs w:val="21"/>
          <w:lang w:val="es-CO" w:eastAsia="en-US"/>
        </w:rPr>
        <w:t>En este contexto</w:t>
      </w:r>
      <w:r w:rsidR="00124EFC" w:rsidRPr="009A2763">
        <w:rPr>
          <w:rFonts w:ascii="Verdana" w:eastAsiaTheme="minorHAnsi" w:hAnsi="Verdana" w:cs="Arial"/>
          <w:sz w:val="21"/>
          <w:szCs w:val="21"/>
          <w:lang w:val="es-CO" w:eastAsia="en-US"/>
        </w:rPr>
        <w:t>, el registro de las transacciones y operaciones</w:t>
      </w:r>
      <w:r w:rsidRPr="009A2763">
        <w:rPr>
          <w:rFonts w:ascii="Verdana" w:eastAsiaTheme="minorHAnsi" w:hAnsi="Verdana" w:cs="Arial"/>
          <w:sz w:val="21"/>
          <w:szCs w:val="21"/>
          <w:lang w:val="es-CO" w:eastAsia="en-US"/>
        </w:rPr>
        <w:t xml:space="preserve"> del FONSE</w:t>
      </w:r>
      <w:r w:rsidR="00124EFC" w:rsidRPr="009A2763">
        <w:rPr>
          <w:rFonts w:ascii="Verdana" w:eastAsiaTheme="minorHAnsi" w:hAnsi="Verdana" w:cs="Arial"/>
          <w:sz w:val="21"/>
          <w:szCs w:val="21"/>
          <w:lang w:val="es-CO" w:eastAsia="en-US"/>
        </w:rPr>
        <w:t xml:space="preserve"> se realiza con fundamento en los documentos soporte debidamente legalizados y registrados en los libros de contabilidad, auxiliares y principales, siguiendo ordenadamente el proceso contable, desde la identificación, clasificación, reconocimiento y registro de los hechos económicos, hasta la preparación y presentación de los estados financieros, empleando para tal efecto el</w:t>
      </w:r>
      <w:r w:rsidRPr="009A2763">
        <w:rPr>
          <w:rFonts w:ascii="Verdana" w:eastAsiaTheme="minorHAnsi" w:hAnsi="Verdana" w:cs="Arial"/>
          <w:sz w:val="21"/>
          <w:szCs w:val="21"/>
          <w:lang w:val="es-CO" w:eastAsia="en-US"/>
        </w:rPr>
        <w:t xml:space="preserve"> módulo contable del </w:t>
      </w:r>
      <w:r w:rsidR="00124EFC" w:rsidRPr="009A2763">
        <w:rPr>
          <w:rFonts w:ascii="Verdana" w:eastAsiaTheme="minorHAnsi" w:hAnsi="Verdana" w:cs="Arial"/>
          <w:sz w:val="21"/>
          <w:szCs w:val="21"/>
          <w:lang w:val="es-CO" w:eastAsia="en-US"/>
        </w:rPr>
        <w:t>aplicativo</w:t>
      </w:r>
      <w:r w:rsidR="00FC49FA" w:rsidRPr="009A2763">
        <w:rPr>
          <w:rFonts w:ascii="Verdana" w:eastAsiaTheme="minorHAnsi" w:hAnsi="Verdana" w:cs="Arial"/>
          <w:sz w:val="21"/>
          <w:szCs w:val="21"/>
          <w:lang w:val="es-CO" w:eastAsia="en-US"/>
        </w:rPr>
        <w:t xml:space="preserve"> </w:t>
      </w:r>
      <w:r w:rsidR="00942E9F" w:rsidRPr="009A2763">
        <w:rPr>
          <w:rFonts w:ascii="Verdana" w:eastAsiaTheme="minorHAnsi" w:hAnsi="Verdana" w:cs="Arial"/>
          <w:sz w:val="21"/>
          <w:szCs w:val="21"/>
          <w:lang w:val="es-CO" w:eastAsia="en-US"/>
        </w:rPr>
        <w:t xml:space="preserve">“Financiero” de </w:t>
      </w:r>
      <w:r w:rsidR="00FC49FA" w:rsidRPr="009A2763">
        <w:rPr>
          <w:rFonts w:ascii="Verdana" w:eastAsiaTheme="minorHAnsi" w:hAnsi="Verdana" w:cs="Arial"/>
          <w:sz w:val="21"/>
          <w:szCs w:val="21"/>
          <w:lang w:val="es-CO" w:eastAsia="en-US"/>
        </w:rPr>
        <w:t>Oracle</w:t>
      </w:r>
      <w:r w:rsidR="00AB69A4" w:rsidRPr="009A2763">
        <w:rPr>
          <w:rFonts w:ascii="Verdana" w:eastAsiaTheme="minorHAnsi" w:hAnsi="Verdana" w:cs="Arial"/>
          <w:sz w:val="21"/>
          <w:szCs w:val="21"/>
          <w:lang w:val="es-CO" w:eastAsia="en-US"/>
        </w:rPr>
        <w:t xml:space="preserve">, el cual </w:t>
      </w:r>
      <w:r w:rsidR="001367AC" w:rsidRPr="009A2763">
        <w:rPr>
          <w:rFonts w:ascii="Verdana" w:eastAsiaTheme="minorHAnsi" w:hAnsi="Verdana" w:cs="Arial"/>
          <w:sz w:val="21"/>
          <w:szCs w:val="21"/>
          <w:lang w:val="es-CO" w:eastAsia="en-US"/>
        </w:rPr>
        <w:t xml:space="preserve">ha permitido </w:t>
      </w:r>
      <w:r w:rsidR="0073696C" w:rsidRPr="009A2763">
        <w:rPr>
          <w:rFonts w:ascii="Verdana" w:eastAsiaTheme="minorHAnsi" w:hAnsi="Verdana" w:cs="Arial"/>
          <w:sz w:val="21"/>
          <w:szCs w:val="21"/>
          <w:lang w:val="es-CO" w:eastAsia="en-US"/>
        </w:rPr>
        <w:t xml:space="preserve">generar </w:t>
      </w:r>
      <w:r w:rsidR="00E725CD" w:rsidRPr="009A2763">
        <w:rPr>
          <w:rFonts w:ascii="Verdana" w:eastAsiaTheme="minorHAnsi" w:hAnsi="Verdana" w:cs="Arial"/>
          <w:sz w:val="21"/>
          <w:szCs w:val="21"/>
          <w:lang w:val="es-CO" w:eastAsia="en-US"/>
        </w:rPr>
        <w:t>el juego completo de</w:t>
      </w:r>
      <w:r w:rsidR="00857B85" w:rsidRPr="009A2763">
        <w:rPr>
          <w:rFonts w:ascii="Verdana" w:eastAsiaTheme="minorHAnsi" w:hAnsi="Verdana" w:cs="Arial"/>
          <w:sz w:val="21"/>
          <w:szCs w:val="21"/>
          <w:lang w:val="es-CO" w:eastAsia="en-US"/>
        </w:rPr>
        <w:t xml:space="preserve"> </w:t>
      </w:r>
      <w:r w:rsidR="0073696C" w:rsidRPr="009A2763">
        <w:rPr>
          <w:rFonts w:ascii="Verdana" w:eastAsiaTheme="minorHAnsi" w:hAnsi="Verdana" w:cs="Arial"/>
          <w:sz w:val="21"/>
          <w:szCs w:val="21"/>
          <w:lang w:val="es-CO" w:eastAsia="en-US"/>
        </w:rPr>
        <w:t>Estados Financieros de la Entidad a 31 de diciembre de 2020</w:t>
      </w:r>
      <w:r w:rsidR="002D3979" w:rsidRPr="009A2763">
        <w:rPr>
          <w:rFonts w:ascii="Verdana" w:eastAsiaTheme="minorHAnsi" w:hAnsi="Verdana" w:cs="Arial"/>
          <w:sz w:val="21"/>
          <w:szCs w:val="21"/>
          <w:lang w:val="es-CO" w:eastAsia="en-US"/>
        </w:rPr>
        <w:t xml:space="preserve">, </w:t>
      </w:r>
      <w:r w:rsidR="00857B85" w:rsidRPr="009A2763">
        <w:rPr>
          <w:rFonts w:ascii="Verdana" w:eastAsiaTheme="minorHAnsi" w:hAnsi="Verdana" w:cs="Arial"/>
          <w:sz w:val="21"/>
          <w:szCs w:val="21"/>
          <w:lang w:val="es-CO" w:eastAsia="en-US"/>
        </w:rPr>
        <w:t>2021</w:t>
      </w:r>
      <w:r w:rsidR="00874A67" w:rsidRPr="009A2763">
        <w:rPr>
          <w:rFonts w:ascii="Verdana" w:eastAsiaTheme="minorHAnsi" w:hAnsi="Verdana" w:cs="Arial"/>
          <w:sz w:val="21"/>
          <w:szCs w:val="21"/>
          <w:lang w:val="es-CO" w:eastAsia="en-US"/>
        </w:rPr>
        <w:t xml:space="preserve">, </w:t>
      </w:r>
      <w:r w:rsidR="002D3979" w:rsidRPr="009A2763">
        <w:rPr>
          <w:rFonts w:ascii="Verdana" w:eastAsiaTheme="minorHAnsi" w:hAnsi="Verdana" w:cs="Arial"/>
          <w:sz w:val="21"/>
          <w:szCs w:val="21"/>
          <w:lang w:val="es-CO" w:eastAsia="en-US"/>
        </w:rPr>
        <w:t>2022</w:t>
      </w:r>
      <w:r w:rsidR="00874A67" w:rsidRPr="009A2763">
        <w:rPr>
          <w:rFonts w:ascii="Verdana" w:eastAsiaTheme="minorHAnsi" w:hAnsi="Verdana" w:cs="Arial"/>
          <w:sz w:val="21"/>
          <w:szCs w:val="21"/>
          <w:lang w:val="es-CO" w:eastAsia="en-US"/>
        </w:rPr>
        <w:t>, 2023</w:t>
      </w:r>
      <w:r w:rsidR="0073696C" w:rsidRPr="009A2763">
        <w:rPr>
          <w:rFonts w:ascii="Verdana" w:eastAsiaTheme="minorHAnsi" w:hAnsi="Verdana" w:cs="Arial"/>
          <w:sz w:val="21"/>
          <w:szCs w:val="21"/>
          <w:lang w:val="es-CO" w:eastAsia="en-US"/>
        </w:rPr>
        <w:t xml:space="preserve">, </w:t>
      </w:r>
      <w:r w:rsidR="00943F89" w:rsidRPr="009A2763">
        <w:rPr>
          <w:rFonts w:ascii="Verdana" w:eastAsiaTheme="minorHAnsi" w:hAnsi="Verdana" w:cs="Arial"/>
          <w:sz w:val="21"/>
          <w:szCs w:val="21"/>
          <w:lang w:val="es-CO" w:eastAsia="en-US"/>
        </w:rPr>
        <w:t xml:space="preserve">así como </w:t>
      </w:r>
      <w:r w:rsidR="0073696C" w:rsidRPr="009A2763">
        <w:rPr>
          <w:rFonts w:ascii="Verdana" w:eastAsiaTheme="minorHAnsi" w:hAnsi="Verdana" w:cs="Arial"/>
          <w:sz w:val="21"/>
          <w:szCs w:val="21"/>
          <w:lang w:val="es-CO" w:eastAsia="en-US"/>
        </w:rPr>
        <w:t xml:space="preserve">los </w:t>
      </w:r>
      <w:r w:rsidR="00691544" w:rsidRPr="009A2763">
        <w:rPr>
          <w:rFonts w:ascii="Verdana" w:eastAsiaTheme="minorHAnsi" w:hAnsi="Verdana" w:cs="Arial"/>
          <w:sz w:val="21"/>
          <w:szCs w:val="21"/>
          <w:lang w:val="es-CO" w:eastAsia="en-US"/>
        </w:rPr>
        <w:t>corres</w:t>
      </w:r>
      <w:r w:rsidR="00395425" w:rsidRPr="009A2763">
        <w:rPr>
          <w:rFonts w:ascii="Verdana" w:eastAsiaTheme="minorHAnsi" w:hAnsi="Verdana" w:cs="Arial"/>
          <w:sz w:val="21"/>
          <w:szCs w:val="21"/>
          <w:lang w:val="es-CO" w:eastAsia="en-US"/>
        </w:rPr>
        <w:t xml:space="preserve">pondientes </w:t>
      </w:r>
      <w:r w:rsidR="0073696C" w:rsidRPr="009A2763">
        <w:rPr>
          <w:rFonts w:ascii="Verdana" w:eastAsiaTheme="minorHAnsi" w:hAnsi="Verdana" w:cs="Arial"/>
          <w:sz w:val="21"/>
          <w:szCs w:val="21"/>
          <w:lang w:val="es-CO" w:eastAsia="en-US"/>
        </w:rPr>
        <w:t>informes financieros y contables</w:t>
      </w:r>
      <w:r w:rsidR="00AE5E3E" w:rsidRPr="009A2763">
        <w:rPr>
          <w:rFonts w:ascii="Verdana" w:eastAsiaTheme="minorHAnsi" w:hAnsi="Verdana" w:cs="Arial"/>
          <w:sz w:val="21"/>
          <w:szCs w:val="21"/>
          <w:lang w:val="es-CO" w:eastAsia="en-US"/>
        </w:rPr>
        <w:t>.</w:t>
      </w:r>
    </w:p>
    <w:p w14:paraId="2F0931D0" w14:textId="77777777" w:rsidR="0073696C" w:rsidRPr="009A2763" w:rsidRDefault="0073696C" w:rsidP="0089458E">
      <w:pPr>
        <w:spacing w:line="252" w:lineRule="auto"/>
        <w:jc w:val="both"/>
        <w:rPr>
          <w:rFonts w:ascii="Verdana" w:eastAsiaTheme="minorHAnsi" w:hAnsi="Verdana" w:cs="Arial"/>
          <w:sz w:val="21"/>
          <w:szCs w:val="21"/>
          <w:lang w:val="es-CO" w:eastAsia="en-US"/>
        </w:rPr>
      </w:pPr>
    </w:p>
    <w:p w14:paraId="7702BBD8" w14:textId="66E1A445" w:rsidR="00124EFC" w:rsidRPr="009A2763" w:rsidRDefault="0073696C" w:rsidP="0089458E">
      <w:pPr>
        <w:spacing w:line="252" w:lineRule="auto"/>
        <w:jc w:val="both"/>
        <w:rPr>
          <w:rFonts w:ascii="Verdana" w:eastAsiaTheme="minorHAnsi" w:hAnsi="Verdana" w:cs="Arial"/>
          <w:sz w:val="21"/>
          <w:szCs w:val="21"/>
          <w:lang w:val="es-CO" w:eastAsia="en-US"/>
        </w:rPr>
      </w:pPr>
      <w:r w:rsidRPr="009A2763">
        <w:rPr>
          <w:rFonts w:ascii="Verdana" w:eastAsiaTheme="minorHAnsi" w:hAnsi="Verdana" w:cs="Arial"/>
          <w:sz w:val="21"/>
          <w:szCs w:val="21"/>
          <w:lang w:val="es-CO" w:eastAsia="en-US"/>
        </w:rPr>
        <w:t xml:space="preserve">De este modo, se concluye que el sistema de información que soporta el proceso contable del FONSE </w:t>
      </w:r>
      <w:r w:rsidR="00AB69A4" w:rsidRPr="009A2763">
        <w:rPr>
          <w:rFonts w:ascii="Verdana" w:eastAsiaTheme="minorHAnsi" w:hAnsi="Verdana" w:cs="Arial"/>
          <w:sz w:val="21"/>
          <w:szCs w:val="21"/>
          <w:lang w:val="es-CO" w:eastAsia="en-US"/>
        </w:rPr>
        <w:t xml:space="preserve">se encuentra actualizado con el registro de la información hasta el </w:t>
      </w:r>
      <w:r w:rsidR="00D00D85" w:rsidRPr="009A2763">
        <w:rPr>
          <w:rFonts w:ascii="Verdana" w:eastAsiaTheme="minorHAnsi" w:hAnsi="Verdana" w:cs="Arial"/>
          <w:b/>
          <w:bCs/>
          <w:sz w:val="21"/>
          <w:szCs w:val="21"/>
          <w:lang w:val="es-CO" w:eastAsia="en-US"/>
        </w:rPr>
        <w:t xml:space="preserve">30 de </w:t>
      </w:r>
      <w:r w:rsidR="006E3C4F" w:rsidRPr="009A2763">
        <w:rPr>
          <w:rFonts w:ascii="Verdana" w:eastAsiaTheme="minorHAnsi" w:hAnsi="Verdana" w:cs="Arial"/>
          <w:b/>
          <w:bCs/>
          <w:sz w:val="21"/>
          <w:szCs w:val="21"/>
          <w:lang w:val="es-CO" w:eastAsia="en-US"/>
        </w:rPr>
        <w:t>noviembre de 2024</w:t>
      </w:r>
      <w:r w:rsidR="00AB69A4" w:rsidRPr="009A2763">
        <w:rPr>
          <w:rFonts w:ascii="Verdana" w:eastAsiaTheme="minorHAnsi" w:hAnsi="Verdana" w:cs="Arial"/>
          <w:sz w:val="21"/>
          <w:szCs w:val="21"/>
          <w:lang w:val="es-CO" w:eastAsia="en-US"/>
        </w:rPr>
        <w:t xml:space="preserve">. </w:t>
      </w:r>
      <w:r w:rsidR="00124EFC" w:rsidRPr="009A2763">
        <w:rPr>
          <w:rFonts w:ascii="Verdana" w:eastAsiaTheme="minorHAnsi" w:hAnsi="Verdana" w:cs="Arial"/>
          <w:sz w:val="21"/>
          <w:szCs w:val="21"/>
          <w:lang w:val="es-CO" w:eastAsia="en-US"/>
        </w:rPr>
        <w:t xml:space="preserve"> </w:t>
      </w:r>
    </w:p>
    <w:p w14:paraId="21B3F382" w14:textId="77777777" w:rsidR="00091B81" w:rsidRPr="009A2763" w:rsidRDefault="00091B81" w:rsidP="0089458E">
      <w:pPr>
        <w:spacing w:line="252" w:lineRule="auto"/>
        <w:jc w:val="both"/>
        <w:rPr>
          <w:rFonts w:ascii="Verdana" w:eastAsiaTheme="minorHAnsi" w:hAnsi="Verdana" w:cs="Arial"/>
          <w:sz w:val="21"/>
          <w:szCs w:val="21"/>
          <w:lang w:val="es-CO" w:eastAsia="en-US"/>
        </w:rPr>
      </w:pPr>
    </w:p>
    <w:p w14:paraId="240E0058" w14:textId="4C81EF90" w:rsidR="00091B81" w:rsidRPr="009A2763" w:rsidRDefault="00D7313B" w:rsidP="0089458E">
      <w:pPr>
        <w:autoSpaceDE w:val="0"/>
        <w:autoSpaceDN w:val="0"/>
        <w:spacing w:line="252" w:lineRule="auto"/>
        <w:jc w:val="both"/>
        <w:rPr>
          <w:rFonts w:ascii="Verdana" w:eastAsia="Calibri" w:hAnsi="Verdana" w:cs="Arial"/>
          <w:sz w:val="21"/>
          <w:szCs w:val="21"/>
        </w:rPr>
      </w:pPr>
      <w:r w:rsidRPr="009A2763">
        <w:rPr>
          <w:rFonts w:ascii="Verdana" w:eastAsia="Calibri" w:hAnsi="Verdana" w:cs="Arial"/>
          <w:sz w:val="21"/>
          <w:szCs w:val="21"/>
          <w:lang w:val="es-CO"/>
        </w:rPr>
        <w:t xml:space="preserve">Ahora </w:t>
      </w:r>
      <w:r w:rsidR="006D3012" w:rsidRPr="009A2763">
        <w:rPr>
          <w:rFonts w:ascii="Verdana" w:eastAsia="Calibri" w:hAnsi="Verdana" w:cs="Arial"/>
          <w:sz w:val="21"/>
          <w:szCs w:val="21"/>
          <w:lang w:val="es-CO"/>
        </w:rPr>
        <w:t>bien</w:t>
      </w:r>
      <w:r w:rsidR="00091B81" w:rsidRPr="009A2763">
        <w:rPr>
          <w:rFonts w:ascii="Verdana" w:eastAsia="Calibri" w:hAnsi="Verdana" w:cs="Arial"/>
          <w:sz w:val="21"/>
          <w:szCs w:val="21"/>
          <w:lang w:val="es-CO"/>
        </w:rPr>
        <w:t>,</w:t>
      </w:r>
      <w:r w:rsidR="006D3012" w:rsidRPr="009A2763">
        <w:rPr>
          <w:rFonts w:ascii="Verdana" w:eastAsia="Calibri" w:hAnsi="Verdana" w:cs="Arial"/>
          <w:sz w:val="21"/>
          <w:szCs w:val="21"/>
          <w:lang w:val="es-CO"/>
        </w:rPr>
        <w:t xml:space="preserve"> como complemento de lo anterior</w:t>
      </w:r>
      <w:r w:rsidR="00785368" w:rsidRPr="009A2763">
        <w:rPr>
          <w:rFonts w:ascii="Verdana" w:eastAsia="Calibri" w:hAnsi="Verdana" w:cs="Arial"/>
          <w:sz w:val="21"/>
          <w:szCs w:val="21"/>
          <w:lang w:val="es-CO"/>
        </w:rPr>
        <w:t>,</w:t>
      </w:r>
      <w:r w:rsidR="006D3012" w:rsidRPr="009A2763">
        <w:rPr>
          <w:rFonts w:ascii="Verdana" w:eastAsia="Calibri" w:hAnsi="Verdana" w:cs="Arial"/>
          <w:sz w:val="21"/>
          <w:szCs w:val="21"/>
          <w:lang w:val="es-CO"/>
        </w:rPr>
        <w:t xml:space="preserve"> </w:t>
      </w:r>
      <w:r w:rsidR="00730185" w:rsidRPr="009A2763">
        <w:rPr>
          <w:rFonts w:ascii="Verdana" w:eastAsia="Calibri" w:hAnsi="Verdana" w:cs="Arial"/>
          <w:sz w:val="21"/>
          <w:szCs w:val="21"/>
          <w:lang w:val="es-CO"/>
        </w:rPr>
        <w:t xml:space="preserve">y en cuanto al estado de </w:t>
      </w:r>
      <w:r w:rsidR="00FC15A2" w:rsidRPr="009A2763">
        <w:rPr>
          <w:rFonts w:ascii="Verdana" w:eastAsia="Calibri" w:hAnsi="Verdana" w:cs="Arial"/>
          <w:sz w:val="21"/>
          <w:szCs w:val="21"/>
          <w:lang w:val="es-CO"/>
        </w:rPr>
        <w:t xml:space="preserve">la situación financiera y </w:t>
      </w:r>
      <w:r w:rsidR="00785368" w:rsidRPr="009A2763">
        <w:rPr>
          <w:rFonts w:ascii="Verdana" w:eastAsia="Calibri" w:hAnsi="Verdana" w:cs="Arial"/>
          <w:sz w:val="21"/>
          <w:szCs w:val="21"/>
          <w:lang w:val="es-CO"/>
        </w:rPr>
        <w:t>d</w:t>
      </w:r>
      <w:r w:rsidR="00FC15A2" w:rsidRPr="009A2763">
        <w:rPr>
          <w:rFonts w:ascii="Verdana" w:eastAsia="Calibri" w:hAnsi="Verdana" w:cs="Arial"/>
          <w:sz w:val="21"/>
          <w:szCs w:val="21"/>
          <w:lang w:val="es-CO"/>
        </w:rPr>
        <w:t xml:space="preserve">e resultados del FONSE a 30 de noviembre de 2024, </w:t>
      </w:r>
      <w:r w:rsidR="00091B81" w:rsidRPr="009A2763">
        <w:rPr>
          <w:rFonts w:ascii="Verdana" w:eastAsia="Calibri" w:hAnsi="Verdana" w:cs="Arial"/>
          <w:sz w:val="21"/>
          <w:szCs w:val="21"/>
        </w:rPr>
        <w:t xml:space="preserve">es conveniente precisar lo siguiente: </w:t>
      </w:r>
    </w:p>
    <w:p w14:paraId="482FF79A" w14:textId="77777777" w:rsidR="00091B81" w:rsidRPr="009A2763" w:rsidRDefault="00091B81" w:rsidP="0089458E">
      <w:pPr>
        <w:autoSpaceDE w:val="0"/>
        <w:autoSpaceDN w:val="0"/>
        <w:spacing w:line="252" w:lineRule="auto"/>
        <w:jc w:val="both"/>
        <w:rPr>
          <w:rFonts w:ascii="Verdana" w:eastAsia="Calibri" w:hAnsi="Verdana" w:cs="Arial"/>
          <w:sz w:val="21"/>
          <w:szCs w:val="21"/>
        </w:rPr>
      </w:pPr>
    </w:p>
    <w:p w14:paraId="733A9B4B" w14:textId="77777777" w:rsidR="00091B81" w:rsidRPr="009A2763" w:rsidRDefault="00091B81" w:rsidP="0089458E">
      <w:pPr>
        <w:autoSpaceDE w:val="0"/>
        <w:autoSpaceDN w:val="0"/>
        <w:spacing w:line="252" w:lineRule="auto"/>
        <w:jc w:val="both"/>
        <w:rPr>
          <w:rFonts w:ascii="Verdana" w:eastAsia="Calibri" w:hAnsi="Verdana" w:cs="Arial"/>
          <w:sz w:val="21"/>
          <w:szCs w:val="21"/>
          <w:lang w:val="es-CO"/>
        </w:rPr>
      </w:pPr>
      <w:r w:rsidRPr="009A2763">
        <w:rPr>
          <w:rFonts w:ascii="Verdana" w:eastAsia="Calibri" w:hAnsi="Verdana" w:cs="Arial"/>
          <w:sz w:val="21"/>
          <w:szCs w:val="21"/>
          <w:lang w:val="es-CO"/>
        </w:rPr>
        <w:t xml:space="preserve">Teniendo en cuenta que el Decreto 809 de 2020 estableció que el MHCP, a través de la Dirección General de Crédito Público y del Tesoro Nacional (DGCPTN), podrá otorgar créditos de tesorería al FONSE, en los montos que éste requiera, para proveer  préstamos y estableció las condiciones en que serán otorgados, </w:t>
      </w:r>
      <w:r w:rsidRPr="009A2763">
        <w:rPr>
          <w:rFonts w:ascii="Verdana" w:eastAsia="Calibri" w:hAnsi="Verdana" w:cs="Arial"/>
          <w:sz w:val="21"/>
          <w:szCs w:val="21"/>
        </w:rPr>
        <w:t xml:space="preserve">el 28 de septiembre de 2020 </w:t>
      </w:r>
      <w:r w:rsidRPr="009A2763">
        <w:rPr>
          <w:rFonts w:ascii="Verdana" w:eastAsia="Calibri" w:hAnsi="Verdana" w:cs="Arial"/>
          <w:sz w:val="21"/>
          <w:szCs w:val="21"/>
          <w:lang w:val="es-CO"/>
        </w:rPr>
        <w:t xml:space="preserve">la Dirección General de Crédito Público y del Tesoro Nacional </w:t>
      </w:r>
      <w:r w:rsidRPr="009A2763">
        <w:rPr>
          <w:rFonts w:ascii="Verdana" w:eastAsia="Calibri" w:hAnsi="Verdana" w:cs="Arial"/>
          <w:sz w:val="21"/>
          <w:szCs w:val="21"/>
        </w:rPr>
        <w:t>otorgó al FONSE un crédito de tesorería por la suma de $</w:t>
      </w:r>
      <w:r w:rsidRPr="009A2763">
        <w:rPr>
          <w:rFonts w:ascii="Verdana" w:eastAsia="Calibri" w:hAnsi="Verdana" w:cs="Arial"/>
          <w:sz w:val="21"/>
          <w:szCs w:val="21"/>
          <w:lang w:val="es-CO"/>
        </w:rPr>
        <w:t>1.988.609.729.959,00, en virtud del pagaré No.011 -2020l y con las siguientes condiciones:  </w:t>
      </w:r>
    </w:p>
    <w:p w14:paraId="2A648FF9" w14:textId="77777777" w:rsidR="00091B81" w:rsidRPr="00CD599B" w:rsidRDefault="00091B81" w:rsidP="0089458E">
      <w:pPr>
        <w:autoSpaceDE w:val="0"/>
        <w:autoSpaceDN w:val="0"/>
        <w:spacing w:line="252" w:lineRule="auto"/>
        <w:jc w:val="both"/>
        <w:rPr>
          <w:rFonts w:ascii="Arial" w:eastAsia="Calibri" w:hAnsi="Arial" w:cs="Arial"/>
          <w:sz w:val="22"/>
          <w:szCs w:val="22"/>
          <w:lang w:val="es-CO"/>
        </w:rPr>
      </w:pPr>
      <w:r w:rsidRPr="00CD599B">
        <w:rPr>
          <w:rFonts w:ascii="Arial" w:eastAsia="Calibri" w:hAnsi="Arial" w:cs="Arial"/>
          <w:sz w:val="22"/>
          <w:szCs w:val="22"/>
          <w:lang w:val="es-CO"/>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5130"/>
      </w:tblGrid>
      <w:tr w:rsidR="00091B81" w:rsidRPr="00CD599B" w14:paraId="2237EAC5" w14:textId="77777777" w:rsidTr="00CA14B9">
        <w:trPr>
          <w:trHeight w:val="300"/>
          <w:tblHeader/>
          <w:jc w:val="center"/>
        </w:trPr>
        <w:tc>
          <w:tcPr>
            <w:tcW w:w="7335" w:type="dxa"/>
            <w:gridSpan w:val="2"/>
            <w:tcBorders>
              <w:top w:val="single" w:sz="6" w:space="0" w:color="B18940"/>
              <w:left w:val="single" w:sz="6" w:space="0" w:color="B18940"/>
              <w:bottom w:val="single" w:sz="6" w:space="0" w:color="B18940"/>
              <w:right w:val="single" w:sz="6" w:space="0" w:color="B18940"/>
            </w:tcBorders>
            <w:shd w:val="clear" w:color="auto" w:fill="B18940"/>
            <w:vAlign w:val="center"/>
            <w:hideMark/>
          </w:tcPr>
          <w:p w14:paraId="6EF40385" w14:textId="77777777" w:rsidR="00091B81" w:rsidRPr="00CD599B" w:rsidRDefault="00091B81" w:rsidP="0089458E">
            <w:pPr>
              <w:autoSpaceDE w:val="0"/>
              <w:autoSpaceDN w:val="0"/>
              <w:spacing w:line="252" w:lineRule="auto"/>
              <w:jc w:val="center"/>
              <w:rPr>
                <w:rFonts w:ascii="Verdana" w:eastAsia="Calibri" w:hAnsi="Verdana" w:cs="Arial"/>
                <w:color w:val="FFFFFF" w:themeColor="background1"/>
                <w:sz w:val="20"/>
                <w:szCs w:val="20"/>
                <w:lang w:val="es-CO"/>
              </w:rPr>
            </w:pPr>
            <w:r w:rsidRPr="00CD599B">
              <w:rPr>
                <w:rFonts w:ascii="Verdana" w:eastAsia="Calibri" w:hAnsi="Verdana" w:cs="Arial"/>
                <w:b/>
                <w:bCs/>
                <w:i/>
                <w:iCs/>
                <w:color w:val="FFFFFF" w:themeColor="background1"/>
                <w:sz w:val="20"/>
                <w:szCs w:val="20"/>
                <w:lang w:val="es-CO"/>
              </w:rPr>
              <w:lastRenderedPageBreak/>
              <w:t>Condiciones del Crédito</w:t>
            </w:r>
          </w:p>
        </w:tc>
      </w:tr>
      <w:tr w:rsidR="00091B81" w:rsidRPr="00CD599B" w14:paraId="51553A97"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56365F4E"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b/>
                <w:bCs/>
                <w:sz w:val="20"/>
                <w:szCs w:val="20"/>
                <w:lang w:val="es-CO"/>
              </w:rPr>
              <w:t>Desembolso</w:t>
            </w:r>
            <w:r w:rsidRPr="00CD599B">
              <w:rPr>
                <w:rFonts w:ascii="Verdana" w:eastAsia="Calibri" w:hAnsi="Verdana" w:cs="Arial"/>
                <w:sz w:val="20"/>
                <w:szCs w:val="20"/>
                <w:lang w:val="es-CO"/>
              </w:rPr>
              <w:t>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7EF32812"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Un (1) desembolso por valor de $1.988.609.729.959 </w:t>
            </w:r>
          </w:p>
        </w:tc>
      </w:tr>
      <w:tr w:rsidR="00091B81" w:rsidRPr="00CD599B" w14:paraId="3D039ACC"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4DB59D07"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b/>
                <w:bCs/>
                <w:sz w:val="20"/>
                <w:szCs w:val="20"/>
                <w:lang w:val="es-CO"/>
              </w:rPr>
              <w:t>Fecha Desembolso</w:t>
            </w:r>
            <w:r w:rsidRPr="00CD599B">
              <w:rPr>
                <w:rFonts w:ascii="Verdana" w:eastAsia="Calibri" w:hAnsi="Verdana" w:cs="Arial"/>
                <w:sz w:val="20"/>
                <w:szCs w:val="20"/>
                <w:lang w:val="es-CO"/>
              </w:rPr>
              <w:t>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4B55FE24"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28 de septiembre 2020 </w:t>
            </w:r>
          </w:p>
        </w:tc>
      </w:tr>
      <w:tr w:rsidR="00091B81" w:rsidRPr="00CD599B" w14:paraId="1BD2E766"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4E565747"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b/>
                <w:bCs/>
                <w:sz w:val="20"/>
                <w:szCs w:val="20"/>
                <w:lang w:val="es-CO"/>
              </w:rPr>
              <w:t>Fecha de Vencimiento</w:t>
            </w:r>
            <w:r w:rsidRPr="00CD599B">
              <w:rPr>
                <w:rFonts w:ascii="Verdana" w:eastAsia="Calibri" w:hAnsi="Verdana" w:cs="Arial"/>
                <w:sz w:val="20"/>
                <w:szCs w:val="20"/>
                <w:lang w:val="es-CO"/>
              </w:rPr>
              <w:t>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615F3075"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28 de septiembre de 2021</w:t>
            </w:r>
            <w:r w:rsidRPr="00CD599B">
              <w:rPr>
                <w:rFonts w:ascii="Verdana" w:eastAsia="Calibri" w:hAnsi="Verdana" w:cs="Arial"/>
                <w:sz w:val="20"/>
                <w:szCs w:val="20"/>
                <w:vertAlign w:val="superscript"/>
                <w:lang w:val="es-CO"/>
              </w:rPr>
              <w:t>1</w:t>
            </w:r>
            <w:r w:rsidRPr="00CD599B">
              <w:rPr>
                <w:rFonts w:ascii="Verdana" w:eastAsia="Calibri" w:hAnsi="Verdana" w:cs="Arial"/>
                <w:sz w:val="20"/>
                <w:szCs w:val="20"/>
                <w:lang w:val="es-CO"/>
              </w:rPr>
              <w:t> </w:t>
            </w:r>
          </w:p>
        </w:tc>
      </w:tr>
      <w:tr w:rsidR="00091B81" w:rsidRPr="00CD599B" w14:paraId="32EC204C"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0504074E"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b/>
                <w:bCs/>
                <w:sz w:val="20"/>
                <w:szCs w:val="20"/>
                <w:lang w:val="es-CO"/>
              </w:rPr>
              <w:t> Plazo</w:t>
            </w:r>
            <w:r w:rsidRPr="00CD599B">
              <w:rPr>
                <w:rFonts w:ascii="Verdana" w:eastAsia="Calibri" w:hAnsi="Verdana" w:cs="Arial"/>
                <w:sz w:val="20"/>
                <w:szCs w:val="20"/>
                <w:lang w:val="es-CO"/>
              </w:rPr>
              <w:t>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0698E73F"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 12 meses </w:t>
            </w:r>
          </w:p>
        </w:tc>
      </w:tr>
      <w:tr w:rsidR="00091B81" w:rsidRPr="00CD599B" w14:paraId="2FCFFE3E"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279FD73B"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b/>
                <w:bCs/>
                <w:sz w:val="20"/>
                <w:szCs w:val="20"/>
                <w:lang w:val="es-CO"/>
              </w:rPr>
              <w:t> Tasa de Rendimiento</w:t>
            </w:r>
            <w:r w:rsidRPr="00CD599B">
              <w:rPr>
                <w:rFonts w:ascii="Verdana" w:eastAsia="Calibri" w:hAnsi="Verdana" w:cs="Arial"/>
                <w:sz w:val="20"/>
                <w:szCs w:val="20"/>
                <w:lang w:val="es-CO"/>
              </w:rPr>
              <w:t>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3A10C12F"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 Cero por ciento (0%)  </w:t>
            </w:r>
          </w:p>
        </w:tc>
      </w:tr>
      <w:tr w:rsidR="00091B81" w:rsidRPr="00CD599B" w14:paraId="30FEBB3C"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59596604"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b/>
                <w:bCs/>
                <w:sz w:val="20"/>
                <w:szCs w:val="20"/>
                <w:lang w:val="es-CO"/>
              </w:rPr>
              <w:t>Renovación</w:t>
            </w:r>
            <w:r w:rsidRPr="00CD599B">
              <w:rPr>
                <w:rFonts w:ascii="Verdana" w:eastAsia="Calibri" w:hAnsi="Verdana" w:cs="Arial"/>
                <w:sz w:val="20"/>
                <w:szCs w:val="20"/>
                <w:lang w:val="es-CO"/>
              </w:rPr>
              <w:t>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55AB8AF5"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El crédito se podrá renovar cada 12 meses, sin que el financiamiento temporal supere el 31 de diciembre de 2022 </w:t>
            </w:r>
          </w:p>
        </w:tc>
      </w:tr>
      <w:tr w:rsidR="00091B81" w:rsidRPr="00CD599B" w14:paraId="404A9087"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3761CBA8"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b/>
                <w:bCs/>
                <w:sz w:val="20"/>
                <w:szCs w:val="20"/>
                <w:lang w:val="es-CO"/>
              </w:rPr>
              <w:t> Garantías</w:t>
            </w:r>
            <w:r w:rsidRPr="00CD599B">
              <w:rPr>
                <w:rFonts w:ascii="Verdana" w:eastAsia="Calibri" w:hAnsi="Verdana" w:cs="Arial"/>
                <w:sz w:val="20"/>
                <w:szCs w:val="20"/>
                <w:lang w:val="es-CO"/>
              </w:rPr>
              <w:t>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3DCEC439"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Esta operación no requiere de garantías adicionales a las establecidas en el Decreto Legislativo 809 de 2020 </w:t>
            </w:r>
          </w:p>
        </w:tc>
      </w:tr>
    </w:tbl>
    <w:p w14:paraId="3B01E0AD" w14:textId="77777777" w:rsidR="005675A8" w:rsidRDefault="005675A8" w:rsidP="0089458E">
      <w:pPr>
        <w:autoSpaceDE w:val="0"/>
        <w:autoSpaceDN w:val="0"/>
        <w:spacing w:line="252" w:lineRule="auto"/>
        <w:jc w:val="both"/>
        <w:rPr>
          <w:rFonts w:ascii="Arial" w:eastAsia="Calibri" w:hAnsi="Arial" w:cs="Arial"/>
          <w:sz w:val="22"/>
          <w:szCs w:val="22"/>
          <w:lang w:val="es-CO"/>
        </w:rPr>
      </w:pPr>
    </w:p>
    <w:p w14:paraId="580B6C7E" w14:textId="4DD7438F" w:rsidR="00091B81" w:rsidRPr="00CD599B" w:rsidRDefault="005675A8" w:rsidP="0089458E">
      <w:pPr>
        <w:autoSpaceDE w:val="0"/>
        <w:autoSpaceDN w:val="0"/>
        <w:spacing w:line="252" w:lineRule="auto"/>
        <w:jc w:val="both"/>
        <w:rPr>
          <w:rFonts w:ascii="Verdana" w:eastAsia="Calibri" w:hAnsi="Verdana" w:cs="Arial"/>
          <w:sz w:val="21"/>
          <w:szCs w:val="21"/>
          <w:lang w:val="es-CO"/>
        </w:rPr>
      </w:pPr>
      <w:r w:rsidRPr="00FB2529">
        <w:rPr>
          <w:rFonts w:ascii="Verdana" w:eastAsia="Calibri" w:hAnsi="Verdana" w:cs="Arial"/>
          <w:sz w:val="21"/>
          <w:szCs w:val="21"/>
          <w:lang w:val="es-CO"/>
        </w:rPr>
        <w:t>Asimismo, de conformidad con lo anterior</w:t>
      </w:r>
      <w:r w:rsidR="00091B81" w:rsidRPr="00CD599B">
        <w:rPr>
          <w:rFonts w:ascii="Verdana" w:eastAsia="Calibri" w:hAnsi="Verdana" w:cs="Arial"/>
          <w:sz w:val="21"/>
          <w:szCs w:val="21"/>
          <w:lang w:val="es-CO"/>
        </w:rPr>
        <w:t>, de acuerdo con el préstamo de tesorería otorgado al FONSE por la DGCPTN, el 28 de septiembre de 2020 el FONSE otorgó un préstamo al Fondo Empresarial de la Superintendencia de Servicios Públicos Domiciliarios por valor de $1.988.609.729.959,00, según autorización conferida en los artículos 1° y 2° del Decreto Legislativo 809 del 4 de junio de 2020, y de acuerdo con el pagaré No.012 -2020.  </w:t>
      </w:r>
    </w:p>
    <w:p w14:paraId="494E10A3" w14:textId="77777777" w:rsidR="00091B81" w:rsidRPr="00CD599B" w:rsidRDefault="00091B81" w:rsidP="0089458E">
      <w:pPr>
        <w:autoSpaceDE w:val="0"/>
        <w:autoSpaceDN w:val="0"/>
        <w:spacing w:line="252" w:lineRule="auto"/>
        <w:jc w:val="both"/>
        <w:rPr>
          <w:rFonts w:ascii="Verdana" w:eastAsia="Calibri" w:hAnsi="Verdana" w:cs="Arial"/>
          <w:sz w:val="21"/>
          <w:szCs w:val="21"/>
          <w:lang w:val="es-CO"/>
        </w:rPr>
      </w:pPr>
      <w:r w:rsidRPr="00CD599B">
        <w:rPr>
          <w:rFonts w:ascii="Verdana" w:eastAsia="Calibri" w:hAnsi="Verdana" w:cs="Arial"/>
          <w:sz w:val="21"/>
          <w:szCs w:val="21"/>
          <w:lang w:val="es-CO"/>
        </w:rPr>
        <w:t> </w:t>
      </w:r>
    </w:p>
    <w:p w14:paraId="52E12883" w14:textId="77777777" w:rsidR="00091B81" w:rsidRPr="00CD599B" w:rsidRDefault="00091B81" w:rsidP="0089458E">
      <w:pPr>
        <w:autoSpaceDE w:val="0"/>
        <w:autoSpaceDN w:val="0"/>
        <w:spacing w:line="252" w:lineRule="auto"/>
        <w:jc w:val="both"/>
        <w:rPr>
          <w:rFonts w:ascii="Verdana" w:eastAsia="Calibri" w:hAnsi="Verdana" w:cs="Arial"/>
          <w:sz w:val="21"/>
          <w:szCs w:val="21"/>
          <w:lang w:val="es-CO"/>
        </w:rPr>
      </w:pPr>
      <w:r w:rsidRPr="00CD599B">
        <w:rPr>
          <w:rFonts w:ascii="Verdana" w:eastAsia="Calibri" w:hAnsi="Verdana" w:cs="Arial"/>
          <w:sz w:val="21"/>
          <w:szCs w:val="21"/>
        </w:rPr>
        <w:t>Las principales condiciones del crédito otorgado por el FONSE fueron las siguientes:</w:t>
      </w:r>
      <w:r w:rsidRPr="00CD599B">
        <w:rPr>
          <w:rFonts w:ascii="Verdana" w:eastAsia="Calibri" w:hAnsi="Verdana" w:cs="Arial"/>
          <w:sz w:val="21"/>
          <w:szCs w:val="21"/>
          <w:lang w:val="es-CO"/>
        </w:rPr>
        <w:t> </w:t>
      </w:r>
    </w:p>
    <w:p w14:paraId="22DC07A1" w14:textId="77777777" w:rsidR="00091B81" w:rsidRPr="00CD599B" w:rsidRDefault="00091B81" w:rsidP="0089458E">
      <w:pPr>
        <w:autoSpaceDE w:val="0"/>
        <w:autoSpaceDN w:val="0"/>
        <w:spacing w:line="252" w:lineRule="auto"/>
        <w:jc w:val="both"/>
        <w:rPr>
          <w:rFonts w:ascii="Arial" w:eastAsia="Calibri" w:hAnsi="Arial" w:cs="Arial"/>
          <w:sz w:val="22"/>
          <w:szCs w:val="22"/>
          <w:lang w:val="es-CO"/>
        </w:rPr>
      </w:pPr>
      <w:r w:rsidRPr="00CD599B">
        <w:rPr>
          <w:rFonts w:ascii="Arial" w:eastAsia="Calibri" w:hAnsi="Arial" w:cs="Arial"/>
          <w:sz w:val="22"/>
          <w:szCs w:val="22"/>
          <w:lang w:val="es-CO"/>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5130"/>
      </w:tblGrid>
      <w:tr w:rsidR="00091B81" w:rsidRPr="00CD599B" w14:paraId="77949E1D" w14:textId="77777777" w:rsidTr="00CA14B9">
        <w:trPr>
          <w:trHeight w:val="300"/>
          <w:jc w:val="center"/>
        </w:trPr>
        <w:tc>
          <w:tcPr>
            <w:tcW w:w="7335" w:type="dxa"/>
            <w:gridSpan w:val="2"/>
            <w:tcBorders>
              <w:top w:val="single" w:sz="6" w:space="0" w:color="B18940"/>
              <w:left w:val="single" w:sz="6" w:space="0" w:color="B18940"/>
              <w:bottom w:val="single" w:sz="6" w:space="0" w:color="B18940"/>
              <w:right w:val="single" w:sz="6" w:space="0" w:color="B18940"/>
            </w:tcBorders>
            <w:shd w:val="clear" w:color="auto" w:fill="B18940"/>
            <w:vAlign w:val="center"/>
            <w:hideMark/>
          </w:tcPr>
          <w:p w14:paraId="6E1D5D63" w14:textId="77777777" w:rsidR="00091B81" w:rsidRPr="00CD599B" w:rsidRDefault="00091B81" w:rsidP="0089458E">
            <w:pPr>
              <w:autoSpaceDE w:val="0"/>
              <w:autoSpaceDN w:val="0"/>
              <w:spacing w:line="252" w:lineRule="auto"/>
              <w:jc w:val="center"/>
              <w:rPr>
                <w:rFonts w:ascii="Verdana" w:eastAsia="Calibri" w:hAnsi="Verdana" w:cs="Arial"/>
                <w:sz w:val="20"/>
                <w:szCs w:val="20"/>
                <w:lang w:val="es-CO"/>
              </w:rPr>
            </w:pPr>
            <w:r w:rsidRPr="00CD599B">
              <w:rPr>
                <w:rFonts w:ascii="Verdana" w:eastAsia="Calibri" w:hAnsi="Verdana" w:cs="Arial"/>
                <w:b/>
                <w:bCs/>
                <w:i/>
                <w:iCs/>
                <w:color w:val="FFFFFF" w:themeColor="background1"/>
                <w:sz w:val="20"/>
                <w:szCs w:val="20"/>
                <w:lang w:val="es-CO"/>
              </w:rPr>
              <w:t>Condiciones del Crédito</w:t>
            </w:r>
          </w:p>
        </w:tc>
      </w:tr>
      <w:tr w:rsidR="00091B81" w:rsidRPr="00CD599B" w14:paraId="3CFBD65D"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1B82C82E"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Desembolso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03465A1E"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Un (1) desembolso por valor de $1.988.609.729.959 </w:t>
            </w:r>
          </w:p>
        </w:tc>
      </w:tr>
      <w:tr w:rsidR="00091B81" w:rsidRPr="00CD599B" w14:paraId="275793DB"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245B80BC"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Fecha Desembolso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656679B2"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28 de septiembre 2020 </w:t>
            </w:r>
          </w:p>
        </w:tc>
      </w:tr>
      <w:tr w:rsidR="00091B81" w:rsidRPr="00CD599B" w14:paraId="7A943F04"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65D00B81"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Fecha de Vencimiento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7956309F"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28 de septiembre de 2021 </w:t>
            </w:r>
          </w:p>
        </w:tc>
      </w:tr>
      <w:tr w:rsidR="00091B81" w:rsidRPr="00CD599B" w14:paraId="3D5D23CE"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24427504"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 Plazo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248FD7F9"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 12 meses</w:t>
            </w:r>
            <w:r w:rsidRPr="00CD599B">
              <w:rPr>
                <w:rFonts w:ascii="Verdana" w:eastAsia="Calibri" w:hAnsi="Verdana" w:cs="Arial"/>
                <w:sz w:val="20"/>
                <w:szCs w:val="20"/>
                <w:vertAlign w:val="superscript"/>
              </w:rPr>
              <w:t>2</w:t>
            </w:r>
            <w:r w:rsidRPr="00CD599B">
              <w:rPr>
                <w:rFonts w:ascii="Verdana" w:eastAsia="Calibri" w:hAnsi="Verdana" w:cs="Arial"/>
                <w:sz w:val="20"/>
                <w:szCs w:val="20"/>
                <w:lang w:val="es-CO"/>
              </w:rPr>
              <w:t> </w:t>
            </w:r>
          </w:p>
        </w:tc>
      </w:tr>
      <w:tr w:rsidR="00091B81" w:rsidRPr="00CD599B" w14:paraId="5286EB72"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39336017"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Tasa de Interés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02FA2C6C"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 xml:space="preserve"> Cero por ciento (0%) </w:t>
            </w:r>
            <w:r w:rsidRPr="00CD599B">
              <w:rPr>
                <w:rFonts w:ascii="Verdana" w:eastAsia="Calibri" w:hAnsi="Verdana" w:cs="Arial"/>
                <w:sz w:val="20"/>
                <w:szCs w:val="20"/>
                <w:vertAlign w:val="superscript"/>
              </w:rPr>
              <w:t>3</w:t>
            </w:r>
            <w:r w:rsidRPr="00CD599B">
              <w:rPr>
                <w:rFonts w:ascii="Verdana" w:eastAsia="Calibri" w:hAnsi="Verdana" w:cs="Arial"/>
                <w:sz w:val="20"/>
                <w:szCs w:val="20"/>
                <w:lang w:val="es-CO"/>
              </w:rPr>
              <w:t> </w:t>
            </w:r>
          </w:p>
        </w:tc>
      </w:tr>
      <w:tr w:rsidR="00091B81" w:rsidRPr="00CD599B" w14:paraId="1CEF7FED" w14:textId="77777777" w:rsidTr="00CA14B9">
        <w:trPr>
          <w:trHeight w:val="300"/>
          <w:jc w:val="center"/>
        </w:trPr>
        <w:tc>
          <w:tcPr>
            <w:tcW w:w="2205"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1D0367CF"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Garantías </w:t>
            </w:r>
          </w:p>
        </w:tc>
        <w:tc>
          <w:tcPr>
            <w:tcW w:w="5130" w:type="dxa"/>
            <w:tcBorders>
              <w:top w:val="single" w:sz="6" w:space="0" w:color="B18940"/>
              <w:left w:val="single" w:sz="6" w:space="0" w:color="B18940"/>
              <w:bottom w:val="single" w:sz="6" w:space="0" w:color="B18940"/>
              <w:right w:val="single" w:sz="6" w:space="0" w:color="B18940"/>
            </w:tcBorders>
            <w:shd w:val="clear" w:color="auto" w:fill="auto"/>
            <w:vAlign w:val="center"/>
            <w:hideMark/>
          </w:tcPr>
          <w:p w14:paraId="26B23031" w14:textId="77777777" w:rsidR="00091B81" w:rsidRPr="00CD599B" w:rsidRDefault="00091B81" w:rsidP="0089458E">
            <w:pPr>
              <w:autoSpaceDE w:val="0"/>
              <w:autoSpaceDN w:val="0"/>
              <w:spacing w:line="252" w:lineRule="auto"/>
              <w:jc w:val="both"/>
              <w:rPr>
                <w:rFonts w:ascii="Verdana" w:eastAsia="Calibri" w:hAnsi="Verdana" w:cs="Arial"/>
                <w:sz w:val="20"/>
                <w:szCs w:val="20"/>
                <w:lang w:val="es-CO"/>
              </w:rPr>
            </w:pPr>
            <w:r w:rsidRPr="00CD599B">
              <w:rPr>
                <w:rFonts w:ascii="Verdana" w:eastAsia="Calibri" w:hAnsi="Verdana" w:cs="Arial"/>
                <w:sz w:val="20"/>
                <w:szCs w:val="20"/>
                <w:lang w:val="es-CO"/>
              </w:rPr>
              <w:t xml:space="preserve">El Fondo Empresarial garantiza los créditos otorgados por el FONSE con los ingresos provenientes de la sobretasa por kilovatio hora consumido de que trata el artículo 313 de la Ley 1955 de 2019, y con la contribución adicional a la regulada por el artículo 85 de la Ley 142 de 1994 en los términos del artículo 314 de la ley 1955 de </w:t>
            </w:r>
            <w:r w:rsidRPr="00CD599B">
              <w:rPr>
                <w:rFonts w:ascii="Verdana" w:eastAsia="Calibri" w:hAnsi="Verdana" w:cs="Arial"/>
                <w:sz w:val="20"/>
                <w:szCs w:val="20"/>
                <w:lang w:val="es-CO"/>
              </w:rPr>
              <w:lastRenderedPageBreak/>
              <w:t>2019. En consecuencia, estas operaciones no contarán con la garantía de la Nación. </w:t>
            </w:r>
          </w:p>
        </w:tc>
      </w:tr>
    </w:tbl>
    <w:p w14:paraId="3B2A888F" w14:textId="53A5B80D" w:rsidR="00091B81" w:rsidRPr="00CD599B" w:rsidRDefault="00091B81" w:rsidP="0089458E">
      <w:pPr>
        <w:autoSpaceDE w:val="0"/>
        <w:autoSpaceDN w:val="0"/>
        <w:spacing w:line="252" w:lineRule="auto"/>
        <w:jc w:val="both"/>
        <w:rPr>
          <w:rFonts w:ascii="Verdana" w:eastAsia="Calibri" w:hAnsi="Verdana" w:cs="Arial"/>
          <w:sz w:val="21"/>
          <w:szCs w:val="21"/>
          <w:lang w:val="es-CO"/>
        </w:rPr>
      </w:pPr>
    </w:p>
    <w:p w14:paraId="69C5ADB0" w14:textId="77777777" w:rsidR="00091B81" w:rsidRPr="00CD599B" w:rsidRDefault="00091B81" w:rsidP="0089458E">
      <w:pPr>
        <w:autoSpaceDE w:val="0"/>
        <w:autoSpaceDN w:val="0"/>
        <w:spacing w:line="252" w:lineRule="auto"/>
        <w:jc w:val="both"/>
        <w:rPr>
          <w:rFonts w:ascii="Verdana" w:eastAsia="Calibri" w:hAnsi="Verdana" w:cs="Arial"/>
          <w:sz w:val="21"/>
          <w:szCs w:val="21"/>
          <w:lang w:val="es-CO"/>
        </w:rPr>
      </w:pPr>
      <w:r w:rsidRPr="00CD599B">
        <w:rPr>
          <w:rFonts w:ascii="Verdana" w:eastAsia="Calibri" w:hAnsi="Verdana" w:cs="Arial"/>
          <w:sz w:val="21"/>
          <w:szCs w:val="21"/>
        </w:rPr>
        <w:t xml:space="preserve">Ahora, si bien durante la vigencia del crédito se presentaron abonos al crédito, es conveniente </w:t>
      </w:r>
      <w:r w:rsidRPr="00FB2529">
        <w:rPr>
          <w:rFonts w:ascii="Verdana" w:eastAsia="Calibri" w:hAnsi="Verdana" w:cs="Arial"/>
          <w:sz w:val="21"/>
          <w:szCs w:val="21"/>
        </w:rPr>
        <w:t>señalar</w:t>
      </w:r>
      <w:r w:rsidRPr="00CD599B">
        <w:rPr>
          <w:rFonts w:ascii="Verdana" w:eastAsia="Calibri" w:hAnsi="Verdana" w:cs="Arial"/>
          <w:sz w:val="21"/>
          <w:szCs w:val="21"/>
        </w:rPr>
        <w:t>:</w:t>
      </w:r>
      <w:r w:rsidRPr="00CD599B">
        <w:rPr>
          <w:rFonts w:ascii="Verdana" w:eastAsia="Calibri" w:hAnsi="Verdana" w:cs="Arial"/>
          <w:sz w:val="21"/>
          <w:szCs w:val="21"/>
          <w:lang w:val="es-CO"/>
        </w:rPr>
        <w:t> </w:t>
      </w:r>
    </w:p>
    <w:p w14:paraId="5FA52DAD" w14:textId="77777777" w:rsidR="00091B81" w:rsidRPr="00CD599B" w:rsidRDefault="00091B81" w:rsidP="0089458E">
      <w:pPr>
        <w:autoSpaceDE w:val="0"/>
        <w:autoSpaceDN w:val="0"/>
        <w:spacing w:line="252" w:lineRule="auto"/>
        <w:jc w:val="both"/>
        <w:rPr>
          <w:rFonts w:ascii="Verdana" w:eastAsia="Calibri" w:hAnsi="Verdana" w:cs="Arial"/>
          <w:sz w:val="21"/>
          <w:szCs w:val="21"/>
          <w:lang w:val="es-CO"/>
        </w:rPr>
      </w:pPr>
      <w:r w:rsidRPr="00CD599B">
        <w:rPr>
          <w:rFonts w:ascii="Verdana" w:eastAsia="Calibri" w:hAnsi="Verdana" w:cs="Arial"/>
          <w:sz w:val="21"/>
          <w:szCs w:val="21"/>
          <w:lang w:val="es-CO"/>
        </w:rPr>
        <w:t> </w:t>
      </w:r>
    </w:p>
    <w:p w14:paraId="5ED61F89" w14:textId="77777777" w:rsidR="00091B81" w:rsidRPr="00CD599B" w:rsidRDefault="00091B81" w:rsidP="0089458E">
      <w:pPr>
        <w:numPr>
          <w:ilvl w:val="0"/>
          <w:numId w:val="8"/>
        </w:numPr>
        <w:autoSpaceDE w:val="0"/>
        <w:autoSpaceDN w:val="0"/>
        <w:spacing w:line="252" w:lineRule="auto"/>
        <w:jc w:val="both"/>
        <w:rPr>
          <w:rFonts w:ascii="Verdana" w:eastAsia="Calibri" w:hAnsi="Verdana" w:cs="Arial"/>
          <w:sz w:val="21"/>
          <w:szCs w:val="21"/>
          <w:lang w:val="es-CO"/>
        </w:rPr>
      </w:pPr>
      <w:r w:rsidRPr="00CD599B">
        <w:rPr>
          <w:rFonts w:ascii="Verdana" w:eastAsia="Calibri" w:hAnsi="Verdana" w:cs="Arial"/>
          <w:sz w:val="21"/>
          <w:szCs w:val="21"/>
        </w:rPr>
        <w:t xml:space="preserve">En virtud de la declaratoria de </w:t>
      </w:r>
      <w:proofErr w:type="spellStart"/>
      <w:r w:rsidRPr="00CD599B">
        <w:rPr>
          <w:rFonts w:ascii="Verdana" w:eastAsia="Calibri" w:hAnsi="Verdana" w:cs="Arial"/>
          <w:sz w:val="21"/>
          <w:szCs w:val="21"/>
        </w:rPr>
        <w:t>inexequibilidad</w:t>
      </w:r>
      <w:proofErr w:type="spellEnd"/>
      <w:r w:rsidRPr="00CD599B">
        <w:rPr>
          <w:rFonts w:ascii="Verdana" w:eastAsia="Calibri" w:hAnsi="Verdana" w:cs="Arial"/>
          <w:sz w:val="21"/>
          <w:szCs w:val="21"/>
        </w:rPr>
        <w:t xml:space="preserve"> del artículo 313 de la Ley 1955 de 2019 por parte de la Corte Constitucional, no fue viable el recaudo el 28 de septiembre de 2021 de la sobretasa por consumo de energía que sirvió como garantía y fuente de pago del Contrato de Crédito suscrito entre el Fondo de Sostenibilidad Financiera del Sector Eléctrico (FONSE) y el Fondo Empresarial de la Superintendencia de Servicios Públicos Domiciliarios. </w:t>
      </w:r>
      <w:r w:rsidRPr="00CD599B">
        <w:rPr>
          <w:rFonts w:ascii="Verdana" w:eastAsia="Calibri" w:hAnsi="Verdana" w:cs="Arial"/>
          <w:sz w:val="21"/>
          <w:szCs w:val="21"/>
          <w:lang w:val="es-CO"/>
        </w:rPr>
        <w:t> </w:t>
      </w:r>
    </w:p>
    <w:p w14:paraId="5784B4DE" w14:textId="77777777" w:rsidR="00091B81" w:rsidRPr="00CD599B" w:rsidRDefault="00091B81" w:rsidP="0089458E">
      <w:pPr>
        <w:autoSpaceDE w:val="0"/>
        <w:autoSpaceDN w:val="0"/>
        <w:spacing w:line="252" w:lineRule="auto"/>
        <w:jc w:val="both"/>
        <w:rPr>
          <w:rFonts w:ascii="Verdana" w:eastAsia="Calibri" w:hAnsi="Verdana" w:cs="Arial"/>
          <w:sz w:val="21"/>
          <w:szCs w:val="21"/>
          <w:lang w:val="es-CO"/>
        </w:rPr>
      </w:pPr>
      <w:r w:rsidRPr="00CD599B">
        <w:rPr>
          <w:rFonts w:ascii="Verdana" w:eastAsia="Calibri" w:hAnsi="Verdana" w:cs="Arial"/>
          <w:sz w:val="21"/>
          <w:szCs w:val="21"/>
          <w:lang w:val="es-CO"/>
        </w:rPr>
        <w:t> </w:t>
      </w:r>
    </w:p>
    <w:p w14:paraId="191B8A48" w14:textId="77777777" w:rsidR="00091B81" w:rsidRPr="00CD599B" w:rsidRDefault="00091B81" w:rsidP="0089458E">
      <w:pPr>
        <w:numPr>
          <w:ilvl w:val="0"/>
          <w:numId w:val="9"/>
        </w:numPr>
        <w:autoSpaceDE w:val="0"/>
        <w:autoSpaceDN w:val="0"/>
        <w:spacing w:line="252" w:lineRule="auto"/>
        <w:jc w:val="both"/>
        <w:rPr>
          <w:rFonts w:ascii="Verdana" w:eastAsia="Calibri" w:hAnsi="Verdana" w:cs="Arial"/>
          <w:sz w:val="21"/>
          <w:szCs w:val="21"/>
          <w:lang w:val="es-CO"/>
        </w:rPr>
      </w:pPr>
      <w:r w:rsidRPr="00CD599B">
        <w:rPr>
          <w:rFonts w:ascii="Verdana" w:eastAsia="Calibri" w:hAnsi="Verdana" w:cs="Arial"/>
          <w:sz w:val="21"/>
          <w:szCs w:val="21"/>
        </w:rPr>
        <w:t>Con fundamento en lo anterior, el plazo para el pago del crédito venció el 28 de septiembre de 2021. Al respecto, cabe precisar que dicho plazo no fue renovado, quedando en mora un saldo significativo del capital que el FONSE había entregado en préstamo al Fondo Empresarial.  </w:t>
      </w:r>
      <w:r w:rsidRPr="00CD599B">
        <w:rPr>
          <w:rFonts w:ascii="Verdana" w:eastAsia="Calibri" w:hAnsi="Verdana" w:cs="Arial"/>
          <w:sz w:val="21"/>
          <w:szCs w:val="21"/>
          <w:lang w:val="es-CO"/>
        </w:rPr>
        <w:t> </w:t>
      </w:r>
    </w:p>
    <w:p w14:paraId="5094B9A2" w14:textId="77777777" w:rsidR="00091B81" w:rsidRPr="00CD599B" w:rsidRDefault="00091B81" w:rsidP="0089458E">
      <w:pPr>
        <w:autoSpaceDE w:val="0"/>
        <w:autoSpaceDN w:val="0"/>
        <w:spacing w:line="252" w:lineRule="auto"/>
        <w:jc w:val="both"/>
        <w:rPr>
          <w:rFonts w:ascii="Verdana" w:eastAsia="Calibri" w:hAnsi="Verdana" w:cs="Arial"/>
          <w:sz w:val="21"/>
          <w:szCs w:val="21"/>
          <w:lang w:val="es-CO"/>
        </w:rPr>
      </w:pPr>
      <w:r w:rsidRPr="00CD599B">
        <w:rPr>
          <w:rFonts w:ascii="Verdana" w:eastAsia="Calibri" w:hAnsi="Verdana" w:cs="Arial"/>
          <w:sz w:val="21"/>
          <w:szCs w:val="21"/>
          <w:lang w:val="es-CO"/>
        </w:rPr>
        <w:t> </w:t>
      </w:r>
    </w:p>
    <w:p w14:paraId="74A24EA5" w14:textId="62F58B85" w:rsidR="00091B81" w:rsidRPr="00FB2529" w:rsidRDefault="00EB5246" w:rsidP="0089458E">
      <w:pPr>
        <w:autoSpaceDE w:val="0"/>
        <w:autoSpaceDN w:val="0"/>
        <w:spacing w:line="252" w:lineRule="auto"/>
        <w:jc w:val="both"/>
        <w:rPr>
          <w:rFonts w:ascii="Verdana" w:eastAsia="Calibri" w:hAnsi="Verdana" w:cs="Arial"/>
          <w:sz w:val="21"/>
          <w:szCs w:val="21"/>
          <w:lang w:val="es-CO"/>
        </w:rPr>
      </w:pPr>
      <w:r w:rsidRPr="00FB2529">
        <w:rPr>
          <w:rFonts w:ascii="Verdana" w:eastAsia="Calibri" w:hAnsi="Verdana" w:cs="Arial"/>
          <w:sz w:val="21"/>
          <w:szCs w:val="21"/>
          <w:lang w:val="es-CO"/>
        </w:rPr>
        <w:t>No obstante</w:t>
      </w:r>
      <w:r w:rsidR="00091B81" w:rsidRPr="00FB2529">
        <w:rPr>
          <w:rFonts w:ascii="Verdana" w:eastAsia="Calibri" w:hAnsi="Verdana" w:cs="Arial"/>
          <w:sz w:val="21"/>
          <w:szCs w:val="21"/>
          <w:lang w:val="es-CO"/>
        </w:rPr>
        <w:t xml:space="preserve">, con base en los abonos recibidos, a </w:t>
      </w:r>
      <w:proofErr w:type="gramStart"/>
      <w:r w:rsidR="00091B81" w:rsidRPr="00FB2529">
        <w:rPr>
          <w:rFonts w:ascii="Verdana" w:eastAsia="Calibri" w:hAnsi="Verdana" w:cs="Arial"/>
          <w:sz w:val="21"/>
          <w:szCs w:val="21"/>
          <w:lang w:val="es-CO"/>
        </w:rPr>
        <w:t>continuación</w:t>
      </w:r>
      <w:proofErr w:type="gramEnd"/>
      <w:r w:rsidR="00091B81" w:rsidRPr="00FB2529">
        <w:rPr>
          <w:rFonts w:ascii="Verdana" w:eastAsia="Calibri" w:hAnsi="Verdana" w:cs="Arial"/>
          <w:sz w:val="21"/>
          <w:szCs w:val="21"/>
          <w:lang w:val="es-CO"/>
        </w:rPr>
        <w:t xml:space="preserve"> se presenta el detalle del saldo del crédito a 20 de diciembre de 2023: </w:t>
      </w:r>
    </w:p>
    <w:p w14:paraId="11B00522" w14:textId="77777777" w:rsidR="00091B81" w:rsidRDefault="00091B81" w:rsidP="0089458E">
      <w:pPr>
        <w:tabs>
          <w:tab w:val="left" w:pos="3120"/>
        </w:tabs>
        <w:autoSpaceDE w:val="0"/>
        <w:autoSpaceDN w:val="0"/>
        <w:spacing w:line="252" w:lineRule="auto"/>
        <w:jc w:val="both"/>
        <w:rPr>
          <w:rFonts w:ascii="Arial" w:eastAsia="Calibri" w:hAnsi="Arial" w:cs="Arial"/>
          <w:sz w:val="22"/>
          <w:szCs w:val="22"/>
          <w:lang w:val="es-CO"/>
        </w:rPr>
      </w:pPr>
      <w:r>
        <w:rPr>
          <w:rFonts w:ascii="Arial" w:eastAsia="Calibri" w:hAnsi="Arial" w:cs="Arial"/>
          <w:sz w:val="22"/>
          <w:szCs w:val="22"/>
          <w:lang w:val="es-CO"/>
        </w:rPr>
        <w:tab/>
      </w:r>
    </w:p>
    <w:tbl>
      <w:tblPr>
        <w:tblW w:w="8818" w:type="dxa"/>
        <w:jc w:val="center"/>
        <w:tblCellMar>
          <w:left w:w="70" w:type="dxa"/>
          <w:right w:w="70" w:type="dxa"/>
        </w:tblCellMar>
        <w:tblLook w:val="04A0" w:firstRow="1" w:lastRow="0" w:firstColumn="1" w:lastColumn="0" w:noHBand="0" w:noVBand="1"/>
      </w:tblPr>
      <w:tblGrid>
        <w:gridCol w:w="5270"/>
        <w:gridCol w:w="3548"/>
      </w:tblGrid>
      <w:tr w:rsidR="00091B81" w:rsidRPr="00B32524" w14:paraId="60E76684" w14:textId="77777777" w:rsidTr="00CA14B9">
        <w:trPr>
          <w:trHeight w:val="113"/>
          <w:tblHeader/>
          <w:jc w:val="center"/>
        </w:trPr>
        <w:tc>
          <w:tcPr>
            <w:tcW w:w="5270" w:type="dxa"/>
            <w:tcBorders>
              <w:top w:val="single" w:sz="8" w:space="0" w:color="B18940"/>
              <w:left w:val="single" w:sz="8" w:space="0" w:color="B18940"/>
              <w:bottom w:val="single" w:sz="8" w:space="0" w:color="B18940"/>
              <w:right w:val="single" w:sz="8" w:space="0" w:color="B18940"/>
            </w:tcBorders>
            <w:shd w:val="clear" w:color="000000" w:fill="B18940"/>
            <w:noWrap/>
            <w:vAlign w:val="center"/>
            <w:hideMark/>
          </w:tcPr>
          <w:p w14:paraId="28C1A020" w14:textId="77777777" w:rsidR="00091B81" w:rsidRPr="00B32524" w:rsidRDefault="00091B81" w:rsidP="0089458E">
            <w:pPr>
              <w:spacing w:line="252" w:lineRule="auto"/>
              <w:jc w:val="center"/>
              <w:rPr>
                <w:rFonts w:ascii="Verdana" w:eastAsia="Times New Roman" w:hAnsi="Verdana"/>
                <w:b/>
                <w:bCs/>
                <w:i/>
                <w:iCs/>
                <w:color w:val="FFFFFF"/>
                <w:sz w:val="16"/>
                <w:szCs w:val="16"/>
                <w:lang w:val="es-CO" w:eastAsia="es-CO"/>
              </w:rPr>
            </w:pPr>
            <w:r w:rsidRPr="00B32524">
              <w:rPr>
                <w:rFonts w:ascii="Verdana" w:eastAsia="Times New Roman" w:hAnsi="Verdana"/>
                <w:b/>
                <w:bCs/>
                <w:i/>
                <w:iCs/>
                <w:color w:val="FFFFFF"/>
                <w:sz w:val="16"/>
                <w:szCs w:val="16"/>
                <w:lang w:val="es-CO" w:eastAsia="es-CO"/>
              </w:rPr>
              <w:t>Concepto</w:t>
            </w:r>
          </w:p>
        </w:tc>
        <w:tc>
          <w:tcPr>
            <w:tcW w:w="3548" w:type="dxa"/>
            <w:tcBorders>
              <w:top w:val="single" w:sz="8" w:space="0" w:color="B18940"/>
              <w:left w:val="nil"/>
              <w:bottom w:val="single" w:sz="8" w:space="0" w:color="B18940"/>
              <w:right w:val="single" w:sz="8" w:space="0" w:color="B18940"/>
            </w:tcBorders>
            <w:shd w:val="clear" w:color="000000" w:fill="B18940"/>
            <w:noWrap/>
            <w:vAlign w:val="center"/>
            <w:hideMark/>
          </w:tcPr>
          <w:p w14:paraId="2728BD00" w14:textId="77777777" w:rsidR="00091B81" w:rsidRPr="00B32524" w:rsidRDefault="00091B81" w:rsidP="0089458E">
            <w:pPr>
              <w:spacing w:line="252" w:lineRule="auto"/>
              <w:jc w:val="center"/>
              <w:rPr>
                <w:rFonts w:ascii="Verdana" w:eastAsia="Times New Roman" w:hAnsi="Verdana"/>
                <w:b/>
                <w:bCs/>
                <w:i/>
                <w:iCs/>
                <w:color w:val="FFFFFF"/>
                <w:sz w:val="16"/>
                <w:szCs w:val="16"/>
                <w:lang w:val="es-CO" w:eastAsia="es-CO"/>
              </w:rPr>
            </w:pPr>
            <w:r w:rsidRPr="00B32524">
              <w:rPr>
                <w:rFonts w:ascii="Verdana" w:eastAsia="Times New Roman" w:hAnsi="Verdana"/>
                <w:b/>
                <w:bCs/>
                <w:i/>
                <w:iCs/>
                <w:color w:val="FFFFFF"/>
                <w:sz w:val="16"/>
                <w:szCs w:val="16"/>
                <w:lang w:val="es-CO" w:eastAsia="es-CO"/>
              </w:rPr>
              <w:t xml:space="preserve"> Valor $ </w:t>
            </w:r>
          </w:p>
        </w:tc>
      </w:tr>
      <w:tr w:rsidR="00091B81" w:rsidRPr="00B32524" w14:paraId="25715528"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2854B4AA"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Valor Desembolso del crédito realizado el 28/09/2020</w:t>
            </w:r>
          </w:p>
        </w:tc>
        <w:tc>
          <w:tcPr>
            <w:tcW w:w="3548" w:type="dxa"/>
            <w:tcBorders>
              <w:top w:val="nil"/>
              <w:left w:val="nil"/>
              <w:bottom w:val="single" w:sz="8" w:space="0" w:color="B18940"/>
              <w:right w:val="single" w:sz="8" w:space="0" w:color="B18940"/>
            </w:tcBorders>
            <w:shd w:val="clear" w:color="auto" w:fill="auto"/>
            <w:noWrap/>
            <w:vAlign w:val="center"/>
            <w:hideMark/>
          </w:tcPr>
          <w:p w14:paraId="54A3A803"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1.988.609.729.959,00</w:t>
            </w:r>
          </w:p>
        </w:tc>
      </w:tr>
      <w:tr w:rsidR="00091B81" w:rsidRPr="00B32524" w14:paraId="4DCCC4DB"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07DC9FC0"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22 de diciembre 2020</w:t>
            </w:r>
          </w:p>
        </w:tc>
        <w:tc>
          <w:tcPr>
            <w:tcW w:w="3548" w:type="dxa"/>
            <w:tcBorders>
              <w:top w:val="nil"/>
              <w:left w:val="nil"/>
              <w:bottom w:val="single" w:sz="8" w:space="0" w:color="B18940"/>
              <w:right w:val="single" w:sz="8" w:space="0" w:color="B18940"/>
            </w:tcBorders>
            <w:shd w:val="clear" w:color="auto" w:fill="auto"/>
            <w:noWrap/>
            <w:vAlign w:val="center"/>
            <w:hideMark/>
          </w:tcPr>
          <w:p w14:paraId="35E92F6A"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-84.005.148.637,17</w:t>
            </w:r>
          </w:p>
        </w:tc>
      </w:tr>
      <w:tr w:rsidR="00091B81" w:rsidRPr="00B32524" w14:paraId="21C9F3F4"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43A8ED1C"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03 de febrero 2021</w:t>
            </w:r>
          </w:p>
        </w:tc>
        <w:tc>
          <w:tcPr>
            <w:tcW w:w="3548" w:type="dxa"/>
            <w:tcBorders>
              <w:top w:val="nil"/>
              <w:left w:val="nil"/>
              <w:bottom w:val="single" w:sz="8" w:space="0" w:color="B18940"/>
              <w:right w:val="single" w:sz="8" w:space="0" w:color="B18940"/>
            </w:tcBorders>
            <w:shd w:val="clear" w:color="auto" w:fill="auto"/>
            <w:noWrap/>
            <w:vAlign w:val="center"/>
            <w:hideMark/>
          </w:tcPr>
          <w:p w14:paraId="429D260F"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-27.823.170.440,40</w:t>
            </w:r>
          </w:p>
        </w:tc>
      </w:tr>
      <w:tr w:rsidR="00091B81" w:rsidRPr="00B32524" w14:paraId="032F8251"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5BA09DB2"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09 de marzo 2021</w:t>
            </w:r>
          </w:p>
        </w:tc>
        <w:tc>
          <w:tcPr>
            <w:tcW w:w="3548" w:type="dxa"/>
            <w:tcBorders>
              <w:top w:val="nil"/>
              <w:left w:val="nil"/>
              <w:bottom w:val="single" w:sz="8" w:space="0" w:color="B18940"/>
              <w:right w:val="single" w:sz="8" w:space="0" w:color="B18940"/>
            </w:tcBorders>
            <w:shd w:val="clear" w:color="auto" w:fill="auto"/>
            <w:noWrap/>
            <w:vAlign w:val="center"/>
            <w:hideMark/>
          </w:tcPr>
          <w:p w14:paraId="3BCEAF7F"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-183.806.536.493,73</w:t>
            </w:r>
          </w:p>
        </w:tc>
      </w:tr>
      <w:tr w:rsidR="00091B81" w:rsidRPr="00B32524" w14:paraId="669BAF94"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50A71579"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08 de abril 2021</w:t>
            </w:r>
          </w:p>
        </w:tc>
        <w:tc>
          <w:tcPr>
            <w:tcW w:w="3548" w:type="dxa"/>
            <w:tcBorders>
              <w:top w:val="nil"/>
              <w:left w:val="nil"/>
              <w:bottom w:val="single" w:sz="8" w:space="0" w:color="B18940"/>
              <w:right w:val="single" w:sz="8" w:space="0" w:color="B18940"/>
            </w:tcBorders>
            <w:shd w:val="clear" w:color="auto" w:fill="auto"/>
            <w:noWrap/>
            <w:vAlign w:val="center"/>
            <w:hideMark/>
          </w:tcPr>
          <w:p w14:paraId="34EF97B4"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-24.636.850.548,13</w:t>
            </w:r>
          </w:p>
        </w:tc>
      </w:tr>
      <w:tr w:rsidR="00091B81" w:rsidRPr="00B32524" w14:paraId="11545E7B"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7DAB9CC6"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08 de julio 2021</w:t>
            </w:r>
          </w:p>
        </w:tc>
        <w:tc>
          <w:tcPr>
            <w:tcW w:w="3548" w:type="dxa"/>
            <w:tcBorders>
              <w:top w:val="nil"/>
              <w:left w:val="nil"/>
              <w:bottom w:val="single" w:sz="8" w:space="0" w:color="B18940"/>
              <w:right w:val="single" w:sz="8" w:space="0" w:color="B18940"/>
            </w:tcBorders>
            <w:shd w:val="clear" w:color="auto" w:fill="auto"/>
            <w:noWrap/>
            <w:vAlign w:val="center"/>
            <w:hideMark/>
          </w:tcPr>
          <w:p w14:paraId="3BAA5A3B"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-109.835.154.624,02</w:t>
            </w:r>
          </w:p>
        </w:tc>
      </w:tr>
      <w:tr w:rsidR="00091B81" w:rsidRPr="00B32524" w14:paraId="61FFCF10"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6CB94E60"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06 de julio de 2022</w:t>
            </w:r>
          </w:p>
        </w:tc>
        <w:tc>
          <w:tcPr>
            <w:tcW w:w="3548" w:type="dxa"/>
            <w:tcBorders>
              <w:top w:val="nil"/>
              <w:left w:val="nil"/>
              <w:bottom w:val="single" w:sz="8" w:space="0" w:color="B18940"/>
              <w:right w:val="single" w:sz="8" w:space="0" w:color="B18940"/>
            </w:tcBorders>
            <w:shd w:val="clear" w:color="auto" w:fill="auto"/>
            <w:noWrap/>
            <w:vAlign w:val="center"/>
            <w:hideMark/>
          </w:tcPr>
          <w:p w14:paraId="1C00B3D6"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-92.749.302.373,59</w:t>
            </w:r>
          </w:p>
        </w:tc>
      </w:tr>
      <w:tr w:rsidR="00091B81" w:rsidRPr="00B32524" w14:paraId="0733E067"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2DB78D1A"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19 de diciembre de 2023</w:t>
            </w:r>
          </w:p>
        </w:tc>
        <w:tc>
          <w:tcPr>
            <w:tcW w:w="3548" w:type="dxa"/>
            <w:tcBorders>
              <w:top w:val="nil"/>
              <w:left w:val="nil"/>
              <w:bottom w:val="single" w:sz="8" w:space="0" w:color="B18940"/>
              <w:right w:val="single" w:sz="8" w:space="0" w:color="B18940"/>
            </w:tcBorders>
            <w:shd w:val="clear" w:color="auto" w:fill="auto"/>
            <w:noWrap/>
            <w:vAlign w:val="center"/>
            <w:hideMark/>
          </w:tcPr>
          <w:p w14:paraId="75ACF4AF"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-73.875.595.855,32</w:t>
            </w:r>
          </w:p>
        </w:tc>
      </w:tr>
      <w:tr w:rsidR="00091B81" w:rsidRPr="00B32524" w14:paraId="6E74D383"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6C348896"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19 de diciembre de 2023</w:t>
            </w:r>
          </w:p>
        </w:tc>
        <w:tc>
          <w:tcPr>
            <w:tcW w:w="3548" w:type="dxa"/>
            <w:tcBorders>
              <w:top w:val="nil"/>
              <w:left w:val="nil"/>
              <w:bottom w:val="single" w:sz="8" w:space="0" w:color="B18940"/>
              <w:right w:val="single" w:sz="8" w:space="0" w:color="B18940"/>
            </w:tcBorders>
            <w:shd w:val="clear" w:color="auto" w:fill="auto"/>
            <w:noWrap/>
            <w:vAlign w:val="center"/>
            <w:hideMark/>
          </w:tcPr>
          <w:p w14:paraId="3668D309"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-52.724.966.293,26</w:t>
            </w:r>
          </w:p>
        </w:tc>
      </w:tr>
      <w:tr w:rsidR="00091B81" w:rsidRPr="00B32524" w14:paraId="3BB98C0C"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12E3413A"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20 de diciembre de 2023</w:t>
            </w:r>
          </w:p>
        </w:tc>
        <w:tc>
          <w:tcPr>
            <w:tcW w:w="3548" w:type="dxa"/>
            <w:tcBorders>
              <w:top w:val="nil"/>
              <w:left w:val="nil"/>
              <w:bottom w:val="single" w:sz="8" w:space="0" w:color="B18940"/>
              <w:right w:val="single" w:sz="8" w:space="0" w:color="B18940"/>
            </w:tcBorders>
            <w:shd w:val="clear" w:color="auto" w:fill="auto"/>
            <w:noWrap/>
            <w:vAlign w:val="center"/>
            <w:hideMark/>
          </w:tcPr>
          <w:p w14:paraId="334A12A1"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-9.167.522,00</w:t>
            </w:r>
          </w:p>
        </w:tc>
      </w:tr>
      <w:tr w:rsidR="00091B81" w:rsidRPr="00B32524" w14:paraId="451EB620"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auto" w:fill="auto"/>
            <w:noWrap/>
            <w:vAlign w:val="center"/>
            <w:hideMark/>
          </w:tcPr>
          <w:p w14:paraId="583E6EDE" w14:textId="77777777" w:rsidR="00091B81" w:rsidRPr="00B32524" w:rsidRDefault="00091B81" w:rsidP="0089458E">
            <w:pPr>
              <w:spacing w:line="252" w:lineRule="auto"/>
              <w:jc w:val="both"/>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Amortización parcial realizada el 20 de diciembre de 2023</w:t>
            </w:r>
          </w:p>
        </w:tc>
        <w:tc>
          <w:tcPr>
            <w:tcW w:w="3548" w:type="dxa"/>
            <w:tcBorders>
              <w:top w:val="nil"/>
              <w:left w:val="nil"/>
              <w:bottom w:val="single" w:sz="8" w:space="0" w:color="B18940"/>
              <w:right w:val="single" w:sz="8" w:space="0" w:color="B18940"/>
            </w:tcBorders>
            <w:shd w:val="clear" w:color="auto" w:fill="auto"/>
            <w:noWrap/>
            <w:vAlign w:val="center"/>
            <w:hideMark/>
          </w:tcPr>
          <w:p w14:paraId="6E301190" w14:textId="77777777" w:rsidR="00091B81" w:rsidRPr="00B32524" w:rsidRDefault="00091B81" w:rsidP="0089458E">
            <w:pPr>
              <w:spacing w:line="252" w:lineRule="auto"/>
              <w:jc w:val="right"/>
              <w:rPr>
                <w:rFonts w:ascii="Verdana" w:eastAsia="Times New Roman" w:hAnsi="Verdana"/>
                <w:color w:val="000000"/>
                <w:sz w:val="16"/>
                <w:szCs w:val="16"/>
                <w:lang w:val="es-CO" w:eastAsia="es-CO"/>
              </w:rPr>
            </w:pPr>
            <w:r w:rsidRPr="00B32524">
              <w:rPr>
                <w:rFonts w:ascii="Verdana" w:eastAsia="Times New Roman" w:hAnsi="Verdana"/>
                <w:color w:val="000000"/>
                <w:sz w:val="16"/>
                <w:szCs w:val="16"/>
                <w:lang w:val="es-CO" w:eastAsia="es-CO"/>
              </w:rPr>
              <w:t>-8.137.960.492,93</w:t>
            </w:r>
          </w:p>
        </w:tc>
      </w:tr>
      <w:tr w:rsidR="00091B81" w:rsidRPr="00B32524" w14:paraId="5FB8EE3F" w14:textId="77777777" w:rsidTr="00CA14B9">
        <w:trPr>
          <w:trHeight w:val="113"/>
          <w:jc w:val="center"/>
        </w:trPr>
        <w:tc>
          <w:tcPr>
            <w:tcW w:w="5270" w:type="dxa"/>
            <w:tcBorders>
              <w:top w:val="nil"/>
              <w:left w:val="single" w:sz="8" w:space="0" w:color="B18940"/>
              <w:bottom w:val="single" w:sz="8" w:space="0" w:color="B18940"/>
              <w:right w:val="single" w:sz="8" w:space="0" w:color="B18940"/>
            </w:tcBorders>
            <w:shd w:val="clear" w:color="000000" w:fill="B18940"/>
            <w:noWrap/>
            <w:vAlign w:val="center"/>
            <w:hideMark/>
          </w:tcPr>
          <w:p w14:paraId="463DCA5B" w14:textId="77777777" w:rsidR="00091B81" w:rsidRPr="00B32524" w:rsidRDefault="00091B81" w:rsidP="0089458E">
            <w:pPr>
              <w:spacing w:line="252" w:lineRule="auto"/>
              <w:rPr>
                <w:rFonts w:ascii="Verdana" w:eastAsia="Times New Roman" w:hAnsi="Verdana"/>
                <w:b/>
                <w:bCs/>
                <w:i/>
                <w:iCs/>
                <w:color w:val="FFFFFF"/>
                <w:sz w:val="16"/>
                <w:szCs w:val="16"/>
                <w:lang w:val="es-CO" w:eastAsia="es-CO"/>
              </w:rPr>
            </w:pPr>
            <w:r w:rsidRPr="00B32524">
              <w:rPr>
                <w:rFonts w:ascii="Verdana" w:eastAsia="Times New Roman" w:hAnsi="Verdana"/>
                <w:b/>
                <w:bCs/>
                <w:i/>
                <w:iCs/>
                <w:color w:val="FFFFFF"/>
                <w:sz w:val="16"/>
                <w:szCs w:val="16"/>
                <w:lang w:val="es-CO" w:eastAsia="es-CO"/>
              </w:rPr>
              <w:t>Saldo del crédito a 20/12/2023</w:t>
            </w:r>
          </w:p>
        </w:tc>
        <w:tc>
          <w:tcPr>
            <w:tcW w:w="3548" w:type="dxa"/>
            <w:tcBorders>
              <w:top w:val="nil"/>
              <w:left w:val="nil"/>
              <w:bottom w:val="single" w:sz="8" w:space="0" w:color="B18940"/>
              <w:right w:val="single" w:sz="8" w:space="0" w:color="B18940"/>
            </w:tcBorders>
            <w:shd w:val="clear" w:color="000000" w:fill="B18940"/>
            <w:noWrap/>
            <w:vAlign w:val="center"/>
            <w:hideMark/>
          </w:tcPr>
          <w:p w14:paraId="4B88F201" w14:textId="77777777" w:rsidR="00091B81" w:rsidRPr="00B32524" w:rsidRDefault="00091B81" w:rsidP="0089458E">
            <w:pPr>
              <w:spacing w:line="252" w:lineRule="auto"/>
              <w:jc w:val="right"/>
              <w:rPr>
                <w:rFonts w:ascii="Verdana" w:eastAsia="Times New Roman" w:hAnsi="Verdana"/>
                <w:b/>
                <w:bCs/>
                <w:i/>
                <w:iCs/>
                <w:color w:val="FFFFFF"/>
                <w:sz w:val="16"/>
                <w:szCs w:val="16"/>
                <w:lang w:val="es-CO" w:eastAsia="es-CO"/>
              </w:rPr>
            </w:pPr>
            <w:r w:rsidRPr="00B32524">
              <w:rPr>
                <w:rFonts w:ascii="Verdana" w:eastAsia="Times New Roman" w:hAnsi="Verdana"/>
                <w:b/>
                <w:bCs/>
                <w:i/>
                <w:iCs/>
                <w:color w:val="FFFFFF"/>
                <w:sz w:val="16"/>
                <w:szCs w:val="16"/>
                <w:lang w:val="es-CO" w:eastAsia="es-CO"/>
              </w:rPr>
              <w:t>1.331.005.876.678,45</w:t>
            </w:r>
          </w:p>
        </w:tc>
      </w:tr>
    </w:tbl>
    <w:p w14:paraId="5498D794" w14:textId="77777777" w:rsidR="00091B81" w:rsidRDefault="00091B81" w:rsidP="0089458E">
      <w:pPr>
        <w:autoSpaceDE w:val="0"/>
        <w:autoSpaceDN w:val="0"/>
        <w:spacing w:line="252" w:lineRule="auto"/>
        <w:jc w:val="both"/>
        <w:rPr>
          <w:rFonts w:ascii="Arial" w:eastAsia="Calibri" w:hAnsi="Arial" w:cs="Arial"/>
          <w:sz w:val="22"/>
          <w:szCs w:val="22"/>
          <w:lang w:val="es-CO"/>
        </w:rPr>
      </w:pPr>
    </w:p>
    <w:p w14:paraId="069329CD" w14:textId="77777777" w:rsidR="00091B81" w:rsidRPr="009A2763" w:rsidRDefault="00091B81" w:rsidP="0089458E">
      <w:pPr>
        <w:autoSpaceDE w:val="0"/>
        <w:autoSpaceDN w:val="0"/>
        <w:spacing w:line="252" w:lineRule="auto"/>
        <w:jc w:val="both"/>
        <w:rPr>
          <w:rFonts w:ascii="Verdana" w:hAnsi="Verdana"/>
          <w:sz w:val="21"/>
          <w:szCs w:val="21"/>
        </w:rPr>
      </w:pPr>
      <w:r w:rsidRPr="009A2763">
        <w:rPr>
          <w:rFonts w:ascii="Verdana" w:hAnsi="Verdana"/>
          <w:sz w:val="21"/>
          <w:szCs w:val="21"/>
        </w:rPr>
        <w:t>Ahora bien, es pertinente señalar que el artículo 326 de la Ley 2294 del 19 de mayo de 2023, mediante la cual el Congreso de Colombia expidió el Plan Nacional de Desarrollo 2022-2026, estableció lo siguiente:</w:t>
      </w:r>
    </w:p>
    <w:p w14:paraId="56B75990" w14:textId="77777777" w:rsidR="00091B81" w:rsidRPr="009A2763" w:rsidRDefault="00091B81" w:rsidP="0089458E">
      <w:pPr>
        <w:autoSpaceDE w:val="0"/>
        <w:autoSpaceDN w:val="0"/>
        <w:spacing w:line="252" w:lineRule="auto"/>
        <w:ind w:left="708"/>
        <w:jc w:val="both"/>
        <w:rPr>
          <w:rFonts w:ascii="Verdana" w:hAnsi="Verdana"/>
          <w:i/>
          <w:iCs/>
          <w:color w:val="000000"/>
          <w:sz w:val="21"/>
          <w:szCs w:val="21"/>
          <w:lang w:val="es-ES_tradnl" w:eastAsia="es-CO"/>
        </w:rPr>
      </w:pPr>
    </w:p>
    <w:p w14:paraId="52F3DD13" w14:textId="77777777" w:rsidR="00091B81" w:rsidRPr="009A2763" w:rsidRDefault="00091B81" w:rsidP="0089458E">
      <w:pPr>
        <w:autoSpaceDE w:val="0"/>
        <w:autoSpaceDN w:val="0"/>
        <w:spacing w:line="252" w:lineRule="auto"/>
        <w:ind w:left="708"/>
        <w:jc w:val="both"/>
        <w:rPr>
          <w:rFonts w:ascii="Verdana" w:hAnsi="Verdana"/>
          <w:i/>
          <w:iCs/>
          <w:sz w:val="21"/>
          <w:szCs w:val="21"/>
        </w:rPr>
      </w:pPr>
      <w:r w:rsidRPr="009A2763">
        <w:rPr>
          <w:rFonts w:ascii="Verdana" w:hAnsi="Verdana"/>
          <w:i/>
          <w:iCs/>
          <w:sz w:val="21"/>
          <w:szCs w:val="21"/>
        </w:rPr>
        <w:t xml:space="preserve">“ARTÍCULO 326º. EXTINCIÓN DE LAS OBLIGACIONES DEL FONDO EMPRESARIAL Y EMCALI EICE ESP. Las obligaciones del Fondo Empresarial de la Superintendencia de Servicios Públicos Domiciliarios -FESSPD- con el Fondo de Sostenibilidad Financiera del Sector Eléctrico -FONSE y de éste con la Nación se entenderán extintas al 31 de diciembre de 2023”. </w:t>
      </w:r>
    </w:p>
    <w:p w14:paraId="70751417" w14:textId="77777777" w:rsidR="00091B81" w:rsidRPr="009A2763" w:rsidRDefault="00091B81" w:rsidP="0089458E">
      <w:pPr>
        <w:spacing w:line="252" w:lineRule="auto"/>
        <w:jc w:val="both"/>
        <w:rPr>
          <w:rFonts w:ascii="Verdana" w:hAnsi="Verdana"/>
          <w:sz w:val="21"/>
          <w:szCs w:val="21"/>
        </w:rPr>
      </w:pPr>
    </w:p>
    <w:p w14:paraId="5690AFAA" w14:textId="77777777" w:rsidR="00091B81" w:rsidRPr="009A2763" w:rsidRDefault="00091B81" w:rsidP="0089458E">
      <w:pPr>
        <w:spacing w:line="252" w:lineRule="auto"/>
        <w:jc w:val="both"/>
        <w:rPr>
          <w:rFonts w:ascii="Verdana" w:hAnsi="Verdana"/>
          <w:sz w:val="21"/>
          <w:szCs w:val="21"/>
          <w:lang w:val="es-CO" w:eastAsia="en-US"/>
        </w:rPr>
      </w:pPr>
      <w:r w:rsidRPr="009A2763">
        <w:rPr>
          <w:rFonts w:ascii="Verdana" w:hAnsi="Verdana"/>
          <w:sz w:val="21"/>
          <w:szCs w:val="21"/>
        </w:rPr>
        <w:t xml:space="preserve">De este modo, </w:t>
      </w:r>
      <w:r w:rsidRPr="009A2763">
        <w:rPr>
          <w:rFonts w:ascii="Verdana" w:hAnsi="Verdana"/>
          <w:sz w:val="21"/>
          <w:szCs w:val="21"/>
          <w:lang w:val="es-CO" w:eastAsia="en-US"/>
        </w:rPr>
        <w:t>en cumplimiento de lo establecido en artículo 326 de la Ley 2294 de 2023 y la delegación conferida por el Ministro de Hacienda y Crédito Público en la Resolución 3465 de 2023, se ordenó al Grupo de Contabilidad de la Subdirección Financiera, realizar los registros en los Estados Financieros de la Entidad Contable Pública “</w:t>
      </w:r>
      <w:r w:rsidRPr="009A2763">
        <w:rPr>
          <w:rFonts w:ascii="Verdana" w:hAnsi="Verdana"/>
          <w:i/>
          <w:iCs/>
          <w:sz w:val="21"/>
          <w:szCs w:val="21"/>
          <w:lang w:val="es-CO" w:eastAsia="en-US"/>
        </w:rPr>
        <w:t>Fondo de Sostenibilidad Financiera del Sector Eléctrico (FONSE)”</w:t>
      </w:r>
      <w:r w:rsidRPr="009A2763">
        <w:rPr>
          <w:rFonts w:ascii="Verdana" w:hAnsi="Verdana"/>
          <w:sz w:val="21"/>
          <w:szCs w:val="21"/>
          <w:lang w:val="es-CO" w:eastAsia="en-US"/>
        </w:rPr>
        <w:t>, identificada con código de consolidación 923272994, para hacer efectiva la extinción de las obligaciones del Fondo Empresarial de la Superintendencia de Servicios Públicos Domiciliarios -FESSPD- con el Fondo de Sostenibilidad Financiera del Sector Eléctrico -FONSE- y de éste con la Nación, de acuerdo con lo señalado  en el  artículo 326 de la Ley 2294 de 2023.</w:t>
      </w:r>
    </w:p>
    <w:p w14:paraId="07AFE999" w14:textId="77777777" w:rsidR="00091B81" w:rsidRPr="009A2763" w:rsidRDefault="00091B81" w:rsidP="0089458E">
      <w:pPr>
        <w:spacing w:line="252" w:lineRule="auto"/>
        <w:jc w:val="both"/>
        <w:rPr>
          <w:rFonts w:ascii="Verdana" w:hAnsi="Verdana"/>
          <w:sz w:val="21"/>
          <w:szCs w:val="21"/>
          <w:lang w:val="es-CO" w:eastAsia="en-US"/>
        </w:rPr>
      </w:pPr>
    </w:p>
    <w:p w14:paraId="02A14816" w14:textId="5902655A" w:rsidR="00091B81" w:rsidRPr="009A2763" w:rsidRDefault="00091B81" w:rsidP="0089458E">
      <w:pPr>
        <w:spacing w:line="252" w:lineRule="auto"/>
        <w:jc w:val="both"/>
        <w:rPr>
          <w:rFonts w:ascii="Verdana" w:hAnsi="Verdana"/>
          <w:sz w:val="21"/>
          <w:szCs w:val="21"/>
          <w:lang w:val="es-CO" w:eastAsia="en-US"/>
        </w:rPr>
      </w:pPr>
      <w:r w:rsidRPr="009A2763">
        <w:rPr>
          <w:rFonts w:ascii="Verdana" w:hAnsi="Verdana"/>
          <w:sz w:val="21"/>
          <w:szCs w:val="21"/>
          <w:lang w:val="es-CO" w:eastAsia="en-US"/>
        </w:rPr>
        <w:t xml:space="preserve">En </w:t>
      </w:r>
      <w:r w:rsidR="00302556" w:rsidRPr="009A2763">
        <w:rPr>
          <w:rFonts w:ascii="Verdana" w:hAnsi="Verdana"/>
          <w:sz w:val="21"/>
          <w:szCs w:val="21"/>
          <w:lang w:val="es-CO" w:eastAsia="en-US"/>
        </w:rPr>
        <w:t>este sentido</w:t>
      </w:r>
      <w:r w:rsidRPr="009A2763">
        <w:rPr>
          <w:rFonts w:ascii="Verdana" w:hAnsi="Verdana"/>
          <w:sz w:val="21"/>
          <w:szCs w:val="21"/>
          <w:lang w:val="es-CO" w:eastAsia="en-US"/>
        </w:rPr>
        <w:t xml:space="preserve">, a 31 de diciembre de 2023 se procedió a la cancelación de los saldos por pagar y por cobrar del FONSE por valor de $1.331.005.876.678,45. </w:t>
      </w:r>
    </w:p>
    <w:p w14:paraId="00571BA2" w14:textId="77777777" w:rsidR="00091B81" w:rsidRPr="009A2763" w:rsidRDefault="00091B81" w:rsidP="0089458E">
      <w:pPr>
        <w:spacing w:line="252" w:lineRule="auto"/>
        <w:jc w:val="both"/>
        <w:rPr>
          <w:rFonts w:ascii="Verdana" w:hAnsi="Verdana" w:cs="Arial"/>
          <w:sz w:val="21"/>
          <w:szCs w:val="21"/>
          <w:lang w:val="es-ES_tradnl"/>
        </w:rPr>
      </w:pPr>
    </w:p>
    <w:p w14:paraId="28CBCCB4" w14:textId="53C4B79B" w:rsidR="00091B81" w:rsidRPr="009A2763" w:rsidRDefault="00091B81" w:rsidP="7249B096">
      <w:pPr>
        <w:spacing w:line="252" w:lineRule="auto"/>
        <w:jc w:val="both"/>
        <w:rPr>
          <w:rFonts w:ascii="Verdana" w:hAnsi="Verdana" w:cs="Arial"/>
          <w:sz w:val="21"/>
          <w:szCs w:val="21"/>
        </w:rPr>
      </w:pPr>
      <w:r w:rsidRPr="7249B096">
        <w:rPr>
          <w:rFonts w:ascii="Verdana" w:hAnsi="Verdana" w:cs="Arial"/>
          <w:sz w:val="21"/>
          <w:szCs w:val="21"/>
        </w:rPr>
        <w:t xml:space="preserve">En virtud de lo anterior, y toda vez que durante la vigencia 2024 no se han presentado operaciones, </w:t>
      </w:r>
      <w:r w:rsidR="00A31AD7" w:rsidRPr="7249B096">
        <w:rPr>
          <w:rFonts w:ascii="Verdana" w:hAnsi="Verdana" w:cs="Arial"/>
          <w:sz w:val="21"/>
          <w:szCs w:val="21"/>
        </w:rPr>
        <w:t>a 30 de noviembre de 2024</w:t>
      </w:r>
      <w:r w:rsidRPr="7249B096">
        <w:rPr>
          <w:rFonts w:ascii="Verdana" w:hAnsi="Verdana" w:cs="Arial"/>
          <w:sz w:val="21"/>
          <w:szCs w:val="21"/>
        </w:rPr>
        <w:t xml:space="preserve"> los saldos contables de los activos, pasivos, patrimonio, ingresos y gastos del FONSE son de cero (0) pesos. </w:t>
      </w:r>
    </w:p>
    <w:p w14:paraId="5EC4195D" w14:textId="77777777" w:rsidR="00091B81" w:rsidRPr="009A2763" w:rsidRDefault="00091B81" w:rsidP="0089458E">
      <w:pPr>
        <w:spacing w:line="252" w:lineRule="auto"/>
        <w:jc w:val="both"/>
        <w:rPr>
          <w:rFonts w:ascii="Verdana" w:hAnsi="Verdana" w:cs="Arial"/>
          <w:sz w:val="21"/>
          <w:szCs w:val="21"/>
          <w:lang w:val="es-ES_tradnl" w:eastAsia="en-US"/>
        </w:rPr>
      </w:pPr>
    </w:p>
    <w:p w14:paraId="7ECFB4F8" w14:textId="77777777" w:rsidR="00B65B2C" w:rsidRPr="009A2763" w:rsidRDefault="00B65B2C" w:rsidP="0089458E">
      <w:pPr>
        <w:pStyle w:val="Default"/>
        <w:spacing w:line="252" w:lineRule="auto"/>
        <w:jc w:val="both"/>
        <w:rPr>
          <w:rFonts w:ascii="Verdana" w:hAnsi="Verdana" w:cs="Arial"/>
          <w:b/>
          <w:bCs/>
          <w:sz w:val="21"/>
          <w:szCs w:val="21"/>
        </w:rPr>
      </w:pPr>
      <w:r w:rsidRPr="009A2763">
        <w:rPr>
          <w:rFonts w:ascii="Verdana" w:hAnsi="Verdana" w:cs="Arial"/>
          <w:b/>
          <w:bCs/>
          <w:sz w:val="21"/>
          <w:szCs w:val="21"/>
        </w:rPr>
        <w:t>b. Estado de actualización de los libros de contabilidad, principales y auxiliares, a la fecha de entrega del cargo, con todos los documentos y soportes contables correspondientes a las transacciones y operaciones registradas, así como los temas pendientes por resolver con la Contaduría General de la Nación.</w:t>
      </w:r>
    </w:p>
    <w:p w14:paraId="0B5E3945" w14:textId="5AC13310" w:rsidR="00812AC5" w:rsidRPr="009A2763" w:rsidRDefault="00812AC5" w:rsidP="0089458E">
      <w:pPr>
        <w:pStyle w:val="Default"/>
        <w:spacing w:line="252" w:lineRule="auto"/>
        <w:rPr>
          <w:rFonts w:ascii="Verdana" w:hAnsi="Verdana" w:cs="Arial"/>
          <w:color w:val="auto"/>
          <w:sz w:val="21"/>
          <w:szCs w:val="21"/>
        </w:rPr>
      </w:pPr>
    </w:p>
    <w:p w14:paraId="000C8983" w14:textId="1D26BB7D" w:rsidR="004B475A" w:rsidRPr="009A2763" w:rsidRDefault="004B475A" w:rsidP="0089458E">
      <w:pPr>
        <w:spacing w:line="252" w:lineRule="auto"/>
        <w:jc w:val="both"/>
        <w:rPr>
          <w:rFonts w:ascii="Verdana" w:hAnsi="Verdana" w:cs="Arial"/>
          <w:sz w:val="21"/>
          <w:szCs w:val="21"/>
        </w:rPr>
      </w:pPr>
      <w:r w:rsidRPr="009A2763">
        <w:rPr>
          <w:rFonts w:ascii="Verdana" w:hAnsi="Verdana" w:cs="Arial"/>
          <w:sz w:val="21"/>
          <w:szCs w:val="21"/>
          <w:lang w:val="es-CO"/>
        </w:rPr>
        <w:t xml:space="preserve">Los libros oficiales del </w:t>
      </w:r>
      <w:r w:rsidR="00EA7752" w:rsidRPr="009A2763">
        <w:rPr>
          <w:rFonts w:ascii="Verdana" w:hAnsi="Verdana" w:cs="Arial"/>
          <w:sz w:val="21"/>
          <w:szCs w:val="21"/>
          <w:lang w:val="es-CO"/>
        </w:rPr>
        <w:t>FONSE</w:t>
      </w:r>
      <w:r w:rsidRPr="009A2763">
        <w:rPr>
          <w:rFonts w:ascii="Verdana" w:hAnsi="Verdana" w:cs="Arial"/>
          <w:sz w:val="21"/>
          <w:szCs w:val="21"/>
          <w:lang w:val="es-CO"/>
        </w:rPr>
        <w:t xml:space="preserve"> se llevan en </w:t>
      </w:r>
      <w:r w:rsidR="0073696C" w:rsidRPr="009A2763">
        <w:rPr>
          <w:rFonts w:ascii="Verdana" w:eastAsiaTheme="minorHAnsi" w:hAnsi="Verdana" w:cs="Arial"/>
          <w:sz w:val="21"/>
          <w:szCs w:val="21"/>
          <w:lang w:val="es-CO" w:eastAsia="en-US"/>
        </w:rPr>
        <w:t>el módulo contable del aplicativo</w:t>
      </w:r>
      <w:r w:rsidR="001D0BE6" w:rsidRPr="009A2763">
        <w:rPr>
          <w:rFonts w:ascii="Verdana" w:eastAsiaTheme="minorHAnsi" w:hAnsi="Verdana" w:cs="Arial"/>
          <w:sz w:val="21"/>
          <w:szCs w:val="21"/>
          <w:lang w:val="es-CO" w:eastAsia="en-US"/>
        </w:rPr>
        <w:t xml:space="preserve"> “Financiero” de</w:t>
      </w:r>
      <w:r w:rsidR="0073696C" w:rsidRPr="009A2763">
        <w:rPr>
          <w:rFonts w:ascii="Verdana" w:eastAsiaTheme="minorHAnsi" w:hAnsi="Verdana" w:cs="Arial"/>
          <w:sz w:val="21"/>
          <w:szCs w:val="21"/>
          <w:lang w:val="es-CO" w:eastAsia="en-US"/>
        </w:rPr>
        <w:t xml:space="preserve"> </w:t>
      </w:r>
      <w:r w:rsidR="00E46875" w:rsidRPr="009A2763">
        <w:rPr>
          <w:rFonts w:ascii="Verdana" w:eastAsiaTheme="minorHAnsi" w:hAnsi="Verdana" w:cs="Arial"/>
          <w:sz w:val="21"/>
          <w:szCs w:val="21"/>
          <w:lang w:val="es-CO" w:eastAsia="en-US"/>
        </w:rPr>
        <w:t>Oracle</w:t>
      </w:r>
      <w:r w:rsidRPr="009A2763">
        <w:rPr>
          <w:rFonts w:ascii="Verdana" w:hAnsi="Verdana" w:cs="Arial"/>
          <w:sz w:val="21"/>
          <w:szCs w:val="21"/>
          <w:lang w:val="es-CO"/>
        </w:rPr>
        <w:t xml:space="preserve"> de acuerdo con los criterios definidos por la Contaduría General de la Nación</w:t>
      </w:r>
      <w:r w:rsidR="0073696C" w:rsidRPr="009A2763">
        <w:rPr>
          <w:rFonts w:ascii="Verdana" w:hAnsi="Verdana" w:cs="Arial"/>
          <w:sz w:val="21"/>
          <w:szCs w:val="21"/>
          <w:lang w:val="es-CO"/>
        </w:rPr>
        <w:t>.</w:t>
      </w:r>
      <w:r w:rsidRPr="009A2763">
        <w:rPr>
          <w:rFonts w:ascii="Verdana" w:hAnsi="Verdana" w:cs="Arial"/>
          <w:sz w:val="21"/>
          <w:szCs w:val="21"/>
          <w:lang w:val="es-CO"/>
        </w:rPr>
        <w:t xml:space="preserve"> En cuanto a los documentos soporte, éstos se organizan y archivan con cada comprobante contable</w:t>
      </w:r>
      <w:r w:rsidR="00E4760B" w:rsidRPr="009A2763">
        <w:rPr>
          <w:rFonts w:ascii="Verdana" w:hAnsi="Verdana" w:cs="Arial"/>
          <w:sz w:val="21"/>
          <w:szCs w:val="21"/>
          <w:lang w:val="es-CO"/>
        </w:rPr>
        <w:t xml:space="preserve">. </w:t>
      </w:r>
    </w:p>
    <w:p w14:paraId="459C6203" w14:textId="131EC0BD" w:rsidR="004B475A" w:rsidRPr="009A2763" w:rsidRDefault="004B475A" w:rsidP="0089458E">
      <w:pPr>
        <w:spacing w:line="252" w:lineRule="auto"/>
        <w:jc w:val="both"/>
        <w:rPr>
          <w:rFonts w:ascii="Verdana" w:hAnsi="Verdana" w:cs="Arial"/>
          <w:sz w:val="21"/>
          <w:szCs w:val="21"/>
          <w:lang w:val="es-CO"/>
        </w:rPr>
      </w:pPr>
    </w:p>
    <w:p w14:paraId="6D79AC31" w14:textId="54562F74" w:rsidR="006B3FD1" w:rsidRPr="009A2763" w:rsidRDefault="00875DC7" w:rsidP="0089458E">
      <w:pPr>
        <w:spacing w:line="252" w:lineRule="auto"/>
        <w:jc w:val="both"/>
        <w:rPr>
          <w:rFonts w:ascii="Verdana" w:hAnsi="Verdana" w:cs="Arial"/>
          <w:sz w:val="21"/>
          <w:szCs w:val="21"/>
        </w:rPr>
      </w:pPr>
      <w:r w:rsidRPr="009A2763">
        <w:rPr>
          <w:rFonts w:ascii="Verdana" w:hAnsi="Verdana" w:cs="Arial"/>
          <w:sz w:val="21"/>
          <w:szCs w:val="21"/>
          <w:lang w:val="es-CO"/>
        </w:rPr>
        <w:t>Así las cosas, teniendo en cuenta</w:t>
      </w:r>
      <w:r w:rsidR="009463EF" w:rsidRPr="009A2763">
        <w:rPr>
          <w:rFonts w:ascii="Verdana" w:hAnsi="Verdana" w:cs="Arial"/>
          <w:sz w:val="21"/>
          <w:szCs w:val="21"/>
          <w:lang w:val="es-CO"/>
        </w:rPr>
        <w:t xml:space="preserve"> </w:t>
      </w:r>
      <w:r w:rsidR="00E91F80" w:rsidRPr="009A2763">
        <w:rPr>
          <w:rFonts w:ascii="Verdana" w:hAnsi="Verdana" w:cs="Arial"/>
          <w:sz w:val="21"/>
          <w:szCs w:val="21"/>
          <w:lang w:val="es-CO"/>
        </w:rPr>
        <w:t xml:space="preserve">que </w:t>
      </w:r>
      <w:r w:rsidRPr="009A2763">
        <w:rPr>
          <w:rFonts w:ascii="Verdana" w:hAnsi="Verdana" w:cs="Arial"/>
          <w:sz w:val="21"/>
          <w:szCs w:val="21"/>
          <w:lang w:val="es-CO"/>
        </w:rPr>
        <w:t>l</w:t>
      </w:r>
      <w:r w:rsidRPr="009A2763">
        <w:rPr>
          <w:rFonts w:ascii="Verdana" w:hAnsi="Verdana" w:cs="Arial"/>
          <w:sz w:val="21"/>
          <w:szCs w:val="21"/>
        </w:rPr>
        <w:t xml:space="preserve">os soportes, comprobantes y libros de contabilidad pueden conservarse impresos o en cualquier otro medio electrónico, magnético, óptico o </w:t>
      </w:r>
      <w:proofErr w:type="gramStart"/>
      <w:r w:rsidRPr="009A2763">
        <w:rPr>
          <w:rFonts w:ascii="Verdana" w:hAnsi="Verdana" w:cs="Arial"/>
          <w:sz w:val="21"/>
          <w:szCs w:val="21"/>
        </w:rPr>
        <w:t xml:space="preserve">similar, </w:t>
      </w:r>
      <w:r w:rsidR="00EF6C5D" w:rsidRPr="009A2763">
        <w:rPr>
          <w:rFonts w:ascii="Verdana" w:hAnsi="Verdana" w:cs="Arial"/>
          <w:sz w:val="21"/>
          <w:szCs w:val="21"/>
        </w:rPr>
        <w:t xml:space="preserve"> </w:t>
      </w:r>
      <w:r w:rsidR="00E91F80" w:rsidRPr="009A2763">
        <w:rPr>
          <w:rFonts w:ascii="Verdana" w:hAnsi="Verdana" w:cs="Arial"/>
          <w:sz w:val="21"/>
          <w:szCs w:val="21"/>
        </w:rPr>
        <w:t>es</w:t>
      </w:r>
      <w:proofErr w:type="gramEnd"/>
      <w:r w:rsidR="00E91F80" w:rsidRPr="009A2763">
        <w:rPr>
          <w:rFonts w:ascii="Verdana" w:hAnsi="Verdana" w:cs="Arial"/>
          <w:sz w:val="21"/>
          <w:szCs w:val="21"/>
        </w:rPr>
        <w:t xml:space="preserve"> conveniente precisar que </w:t>
      </w:r>
      <w:r w:rsidR="00EF6C5D" w:rsidRPr="009A2763">
        <w:rPr>
          <w:rFonts w:ascii="Verdana" w:hAnsi="Verdana" w:cs="Arial"/>
          <w:sz w:val="21"/>
          <w:szCs w:val="21"/>
        </w:rPr>
        <w:t>los</w:t>
      </w:r>
      <w:r w:rsidR="003957D1" w:rsidRPr="009A2763">
        <w:rPr>
          <w:rFonts w:ascii="Verdana" w:hAnsi="Verdana" w:cs="Arial"/>
          <w:sz w:val="21"/>
          <w:szCs w:val="21"/>
        </w:rPr>
        <w:t xml:space="preserve"> </w:t>
      </w:r>
      <w:r w:rsidR="00FA25A7" w:rsidRPr="009A2763">
        <w:rPr>
          <w:rFonts w:ascii="Verdana" w:hAnsi="Verdana" w:cs="Arial"/>
          <w:b/>
          <w:bCs/>
          <w:sz w:val="21"/>
          <w:szCs w:val="21"/>
        </w:rPr>
        <w:t xml:space="preserve">soportes y comprobantes contables </w:t>
      </w:r>
      <w:r w:rsidR="00E91F80" w:rsidRPr="009A2763">
        <w:rPr>
          <w:rFonts w:ascii="Verdana" w:hAnsi="Verdana" w:cs="Arial"/>
          <w:b/>
          <w:bCs/>
          <w:sz w:val="21"/>
          <w:szCs w:val="21"/>
        </w:rPr>
        <w:t xml:space="preserve">del FONSE </w:t>
      </w:r>
      <w:r w:rsidR="003957D1" w:rsidRPr="009A2763">
        <w:rPr>
          <w:rFonts w:ascii="Verdana" w:hAnsi="Verdana" w:cs="Arial"/>
          <w:sz w:val="21"/>
          <w:szCs w:val="21"/>
        </w:rPr>
        <w:t>se han</w:t>
      </w:r>
      <w:r w:rsidR="00A6486F" w:rsidRPr="009A2763">
        <w:rPr>
          <w:rFonts w:ascii="Verdana" w:hAnsi="Verdana" w:cs="Arial"/>
          <w:sz w:val="21"/>
          <w:szCs w:val="21"/>
        </w:rPr>
        <w:t xml:space="preserve"> organizado </w:t>
      </w:r>
      <w:r w:rsidR="006B3FD1" w:rsidRPr="009A2763">
        <w:rPr>
          <w:rFonts w:ascii="Verdana" w:hAnsi="Verdana" w:cs="Arial"/>
          <w:sz w:val="21"/>
          <w:szCs w:val="21"/>
        </w:rPr>
        <w:t>y</w:t>
      </w:r>
      <w:r w:rsidR="003957D1" w:rsidRPr="009A2763">
        <w:rPr>
          <w:rFonts w:ascii="Verdana" w:hAnsi="Verdana" w:cs="Arial"/>
          <w:sz w:val="21"/>
          <w:szCs w:val="21"/>
        </w:rPr>
        <w:t xml:space="preserve"> </w:t>
      </w:r>
      <w:r w:rsidR="00A6486F" w:rsidRPr="009A2763">
        <w:rPr>
          <w:rFonts w:ascii="Verdana" w:hAnsi="Verdana" w:cs="Arial"/>
          <w:sz w:val="21"/>
          <w:szCs w:val="21"/>
        </w:rPr>
        <w:t>archivado</w:t>
      </w:r>
      <w:r w:rsidR="00500003" w:rsidRPr="009A2763">
        <w:rPr>
          <w:rFonts w:ascii="Verdana" w:hAnsi="Verdana" w:cs="Arial"/>
          <w:sz w:val="21"/>
          <w:szCs w:val="21"/>
        </w:rPr>
        <w:t xml:space="preserve"> </w:t>
      </w:r>
      <w:r w:rsidR="004018F1" w:rsidRPr="009A2763">
        <w:rPr>
          <w:rFonts w:ascii="Verdana" w:hAnsi="Verdana" w:cs="Arial"/>
          <w:sz w:val="21"/>
          <w:szCs w:val="21"/>
        </w:rPr>
        <w:t xml:space="preserve">en medio electrónico </w:t>
      </w:r>
      <w:r w:rsidR="003957D1" w:rsidRPr="009A2763">
        <w:rPr>
          <w:rFonts w:ascii="Verdana" w:hAnsi="Verdana" w:cs="Arial"/>
          <w:sz w:val="21"/>
          <w:szCs w:val="21"/>
        </w:rPr>
        <w:t>en</w:t>
      </w:r>
      <w:r w:rsidR="00A6486F" w:rsidRPr="009A2763">
        <w:rPr>
          <w:rFonts w:ascii="Verdana" w:hAnsi="Verdana" w:cs="Arial"/>
          <w:sz w:val="21"/>
          <w:szCs w:val="21"/>
        </w:rPr>
        <w:t xml:space="preserve"> el s</w:t>
      </w:r>
      <w:r w:rsidR="003957D1" w:rsidRPr="009A2763">
        <w:rPr>
          <w:rFonts w:ascii="Verdana" w:hAnsi="Verdana" w:cs="Arial"/>
          <w:sz w:val="21"/>
          <w:szCs w:val="21"/>
        </w:rPr>
        <w:t>ervidor dispuesto para el efecto por la Dirección de Tecnología del Ministerio de Hacienda y Crédito Público</w:t>
      </w:r>
      <w:r w:rsidR="006B3FD1" w:rsidRPr="009A2763">
        <w:rPr>
          <w:rFonts w:ascii="Verdana" w:hAnsi="Verdana" w:cs="Arial"/>
          <w:sz w:val="21"/>
          <w:szCs w:val="21"/>
        </w:rPr>
        <w:t xml:space="preserve">. </w:t>
      </w:r>
    </w:p>
    <w:p w14:paraId="1321BAD2" w14:textId="77777777" w:rsidR="006B3FD1" w:rsidRPr="009A2763" w:rsidRDefault="006B3FD1" w:rsidP="0089458E">
      <w:pPr>
        <w:pStyle w:val="NormalWeb"/>
        <w:shd w:val="clear" w:color="auto" w:fill="FFFFFF"/>
        <w:spacing w:before="0" w:beforeAutospacing="0" w:after="0" w:afterAutospacing="0" w:line="252" w:lineRule="auto"/>
        <w:jc w:val="both"/>
        <w:textAlignment w:val="baseline"/>
        <w:rPr>
          <w:rFonts w:ascii="Verdana" w:eastAsia="MS Mincho" w:hAnsi="Verdana" w:cs="Arial"/>
          <w:sz w:val="21"/>
          <w:szCs w:val="21"/>
          <w:lang w:val="es-ES" w:eastAsia="es-ES"/>
        </w:rPr>
      </w:pPr>
    </w:p>
    <w:p w14:paraId="62583667" w14:textId="48A43539" w:rsidR="00875DC7" w:rsidRPr="009A2763" w:rsidRDefault="002A4D2E" w:rsidP="0089458E">
      <w:pPr>
        <w:pStyle w:val="unico"/>
        <w:spacing w:before="0" w:beforeAutospacing="0" w:after="0" w:afterAutospacing="0" w:line="252" w:lineRule="auto"/>
        <w:jc w:val="both"/>
        <w:rPr>
          <w:rFonts w:ascii="Verdana" w:hAnsi="Verdana" w:cs="Arial"/>
          <w:color w:val="000000"/>
          <w:sz w:val="21"/>
          <w:szCs w:val="21"/>
        </w:rPr>
      </w:pPr>
      <w:r w:rsidRPr="009A2763">
        <w:rPr>
          <w:rFonts w:ascii="Verdana" w:hAnsi="Verdana" w:cs="Arial"/>
          <w:color w:val="000000"/>
          <w:sz w:val="21"/>
          <w:szCs w:val="21"/>
        </w:rPr>
        <w:t>Por su parte, c</w:t>
      </w:r>
      <w:r w:rsidR="00875DC7" w:rsidRPr="009A2763">
        <w:rPr>
          <w:rFonts w:ascii="Verdana" w:hAnsi="Verdana" w:cs="Arial"/>
          <w:color w:val="000000"/>
          <w:sz w:val="21"/>
          <w:szCs w:val="21"/>
        </w:rPr>
        <w:t xml:space="preserve">on relación a los </w:t>
      </w:r>
      <w:r w:rsidR="00875DC7" w:rsidRPr="009A2763">
        <w:rPr>
          <w:rFonts w:ascii="Verdana" w:hAnsi="Verdana" w:cs="Arial"/>
          <w:b/>
          <w:bCs/>
          <w:color w:val="000000"/>
          <w:sz w:val="21"/>
          <w:szCs w:val="21"/>
        </w:rPr>
        <w:t>libros de contabilidad</w:t>
      </w:r>
      <w:r w:rsidR="00875DC7" w:rsidRPr="009A2763">
        <w:rPr>
          <w:rFonts w:ascii="Verdana" w:hAnsi="Verdana" w:cs="Arial"/>
          <w:color w:val="000000"/>
          <w:sz w:val="21"/>
          <w:szCs w:val="21"/>
        </w:rPr>
        <w:t xml:space="preserve">, la </w:t>
      </w:r>
      <w:r w:rsidR="00E4760B" w:rsidRPr="009A2763">
        <w:rPr>
          <w:rFonts w:ascii="Verdana" w:hAnsi="Verdana" w:cs="Arial"/>
          <w:color w:val="000000"/>
          <w:sz w:val="21"/>
          <w:szCs w:val="21"/>
        </w:rPr>
        <w:t>Contaduría General de la Nación</w:t>
      </w:r>
      <w:r w:rsidR="00875DC7" w:rsidRPr="009A2763">
        <w:rPr>
          <w:rFonts w:ascii="Verdana" w:hAnsi="Verdana" w:cs="Arial"/>
          <w:color w:val="000000"/>
          <w:sz w:val="21"/>
          <w:szCs w:val="21"/>
        </w:rPr>
        <w:t xml:space="preserve"> ha previsto que los libros manejados a través del procesamiento electrónico de datos se puedan consultar e imprimir. Por lo anterior, </w:t>
      </w:r>
      <w:r w:rsidR="007018E8" w:rsidRPr="009A2763">
        <w:rPr>
          <w:rFonts w:ascii="Verdana" w:hAnsi="Verdana" w:cs="Arial"/>
          <w:color w:val="000000"/>
          <w:sz w:val="21"/>
          <w:szCs w:val="21"/>
        </w:rPr>
        <w:t xml:space="preserve">se ha considerado </w:t>
      </w:r>
      <w:r w:rsidR="00875DC7" w:rsidRPr="009A2763">
        <w:rPr>
          <w:rFonts w:ascii="Verdana" w:hAnsi="Verdana" w:cs="Arial"/>
          <w:color w:val="000000"/>
          <w:sz w:val="21"/>
          <w:szCs w:val="21"/>
        </w:rPr>
        <w:t>procedente conservar</w:t>
      </w:r>
      <w:r w:rsidR="007018E8" w:rsidRPr="009A2763">
        <w:rPr>
          <w:rFonts w:ascii="Verdana" w:hAnsi="Verdana" w:cs="Arial"/>
          <w:color w:val="000000"/>
          <w:sz w:val="21"/>
          <w:szCs w:val="21"/>
        </w:rPr>
        <w:t xml:space="preserve"> los libros principales y auxiliares del </w:t>
      </w:r>
      <w:r w:rsidR="00E4760B" w:rsidRPr="009A2763">
        <w:rPr>
          <w:rFonts w:ascii="Verdana" w:hAnsi="Verdana" w:cs="Arial"/>
          <w:color w:val="000000"/>
          <w:sz w:val="21"/>
          <w:szCs w:val="21"/>
        </w:rPr>
        <w:t>FONSE</w:t>
      </w:r>
      <w:r w:rsidR="007018E8" w:rsidRPr="009A2763">
        <w:rPr>
          <w:rFonts w:ascii="Verdana" w:hAnsi="Verdana" w:cs="Arial"/>
          <w:color w:val="000000"/>
          <w:sz w:val="21"/>
          <w:szCs w:val="21"/>
        </w:rPr>
        <w:t xml:space="preserve"> </w:t>
      </w:r>
      <w:r w:rsidR="00875DC7" w:rsidRPr="009A2763">
        <w:rPr>
          <w:rFonts w:ascii="Verdana" w:hAnsi="Verdana" w:cs="Arial"/>
          <w:color w:val="000000"/>
          <w:sz w:val="21"/>
          <w:szCs w:val="21"/>
        </w:rPr>
        <w:t>en medio magnético, sin que exista la obligación de que sean impresos y</w:t>
      </w:r>
      <w:r w:rsidR="00FD66D8" w:rsidRPr="009A2763">
        <w:rPr>
          <w:rFonts w:ascii="Verdana" w:hAnsi="Verdana" w:cs="Arial"/>
          <w:color w:val="000000"/>
          <w:sz w:val="21"/>
          <w:szCs w:val="21"/>
        </w:rPr>
        <w:t>,</w:t>
      </w:r>
      <w:r w:rsidR="00875DC7" w:rsidRPr="009A2763">
        <w:rPr>
          <w:rFonts w:ascii="Verdana" w:hAnsi="Verdana" w:cs="Arial"/>
          <w:color w:val="000000"/>
          <w:sz w:val="21"/>
          <w:szCs w:val="21"/>
        </w:rPr>
        <w:t xml:space="preserve"> en caso de solicitud de exhibirlos, estos pued</w:t>
      </w:r>
      <w:r w:rsidR="007018E8" w:rsidRPr="009A2763">
        <w:rPr>
          <w:rFonts w:ascii="Verdana" w:hAnsi="Verdana" w:cs="Arial"/>
          <w:color w:val="000000"/>
          <w:sz w:val="21"/>
          <w:szCs w:val="21"/>
        </w:rPr>
        <w:t>e</w:t>
      </w:r>
      <w:r w:rsidR="00875DC7" w:rsidRPr="009A2763">
        <w:rPr>
          <w:rFonts w:ascii="Verdana" w:hAnsi="Verdana" w:cs="Arial"/>
          <w:color w:val="000000"/>
          <w:sz w:val="21"/>
          <w:szCs w:val="21"/>
        </w:rPr>
        <w:t xml:space="preserve">n ser consultados directamente en el </w:t>
      </w:r>
      <w:r w:rsidR="00E4760B" w:rsidRPr="009A2763">
        <w:rPr>
          <w:rFonts w:ascii="Verdana" w:hAnsi="Verdana" w:cs="Arial"/>
          <w:color w:val="000000"/>
          <w:sz w:val="21"/>
          <w:szCs w:val="21"/>
        </w:rPr>
        <w:t>módulo contable del aplicativo</w:t>
      </w:r>
      <w:r w:rsidR="005C217E" w:rsidRPr="009A2763">
        <w:rPr>
          <w:rFonts w:ascii="Verdana" w:hAnsi="Verdana" w:cs="Arial"/>
          <w:color w:val="000000"/>
          <w:sz w:val="21"/>
          <w:szCs w:val="21"/>
        </w:rPr>
        <w:t xml:space="preserve"> “Financiero” de Oracle</w:t>
      </w:r>
      <w:r w:rsidR="00875DC7" w:rsidRPr="009A2763">
        <w:rPr>
          <w:rFonts w:ascii="Verdana" w:hAnsi="Verdana" w:cs="Arial"/>
          <w:color w:val="000000"/>
          <w:sz w:val="21"/>
          <w:szCs w:val="21"/>
        </w:rPr>
        <w:t>.</w:t>
      </w:r>
    </w:p>
    <w:p w14:paraId="1DD4BC8C" w14:textId="78B9E331" w:rsidR="00875DC7" w:rsidRPr="009A2763" w:rsidRDefault="00875DC7" w:rsidP="0089458E">
      <w:pPr>
        <w:spacing w:line="252" w:lineRule="auto"/>
        <w:jc w:val="both"/>
        <w:rPr>
          <w:rFonts w:ascii="Verdana" w:hAnsi="Verdana" w:cs="Arial"/>
          <w:sz w:val="21"/>
          <w:szCs w:val="21"/>
          <w:lang w:val="es-CO"/>
        </w:rPr>
      </w:pPr>
    </w:p>
    <w:p w14:paraId="5334286A" w14:textId="42F69269" w:rsidR="001C34C4" w:rsidRPr="009A2763" w:rsidRDefault="005C7FC2" w:rsidP="0089458E">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9A2763">
        <w:rPr>
          <w:rFonts w:ascii="Verdana" w:eastAsia="Times New Roman" w:hAnsi="Verdana" w:cs="Arial"/>
          <w:color w:val="000000"/>
          <w:sz w:val="21"/>
          <w:szCs w:val="21"/>
          <w:lang w:val="es-CO" w:eastAsia="es-CO"/>
        </w:rPr>
        <w:lastRenderedPageBreak/>
        <w:t xml:space="preserve">Así las cosas, </w:t>
      </w:r>
      <w:r w:rsidR="001C34C4" w:rsidRPr="009A2763">
        <w:rPr>
          <w:rFonts w:ascii="Verdana" w:eastAsia="Times New Roman" w:hAnsi="Verdana" w:cs="Arial"/>
          <w:color w:val="000000"/>
          <w:sz w:val="21"/>
          <w:szCs w:val="21"/>
          <w:lang w:val="es-CO" w:eastAsia="es-CO"/>
        </w:rPr>
        <w:t>se concluye que los libros de contabilidad, principales y auxiliares</w:t>
      </w:r>
      <w:r w:rsidR="008E4238" w:rsidRPr="009A2763">
        <w:rPr>
          <w:rFonts w:ascii="Verdana" w:eastAsia="Times New Roman" w:hAnsi="Verdana" w:cs="Arial"/>
          <w:color w:val="000000"/>
          <w:sz w:val="21"/>
          <w:szCs w:val="21"/>
          <w:lang w:val="es-CO" w:eastAsia="es-CO"/>
        </w:rPr>
        <w:t xml:space="preserve"> </w:t>
      </w:r>
      <w:r w:rsidR="001C34C4" w:rsidRPr="009A2763">
        <w:rPr>
          <w:rFonts w:ascii="Verdana" w:eastAsia="Times New Roman" w:hAnsi="Verdana" w:cs="Arial"/>
          <w:color w:val="000000"/>
          <w:sz w:val="21"/>
          <w:szCs w:val="21"/>
          <w:lang w:val="es-CO" w:eastAsia="es-CO"/>
        </w:rPr>
        <w:t xml:space="preserve">con todos los </w:t>
      </w:r>
      <w:r w:rsidR="008C5784" w:rsidRPr="009A2763">
        <w:rPr>
          <w:rFonts w:ascii="Verdana" w:eastAsia="Times New Roman" w:hAnsi="Verdana" w:cs="Arial"/>
          <w:color w:val="000000"/>
          <w:sz w:val="21"/>
          <w:szCs w:val="21"/>
          <w:lang w:val="es-CO" w:eastAsia="es-CO"/>
        </w:rPr>
        <w:t xml:space="preserve">comprobantes, </w:t>
      </w:r>
      <w:r w:rsidR="001C34C4" w:rsidRPr="009A2763">
        <w:rPr>
          <w:rFonts w:ascii="Verdana" w:eastAsia="Times New Roman" w:hAnsi="Verdana" w:cs="Arial"/>
          <w:color w:val="000000"/>
          <w:sz w:val="21"/>
          <w:szCs w:val="21"/>
          <w:lang w:val="es-CO" w:eastAsia="es-CO"/>
        </w:rPr>
        <w:t xml:space="preserve">documentos y soportes contables correspondientes a las transacciones y operaciones registradas se encuentran actualizados </w:t>
      </w:r>
      <w:r w:rsidR="00A476A6" w:rsidRPr="009A2763">
        <w:rPr>
          <w:rFonts w:ascii="Verdana" w:eastAsia="Times New Roman" w:hAnsi="Verdana" w:cs="Arial"/>
          <w:color w:val="000000"/>
          <w:sz w:val="21"/>
          <w:szCs w:val="21"/>
          <w:lang w:val="es-CO" w:eastAsia="es-CO"/>
        </w:rPr>
        <w:t>y archivados en debida forma</w:t>
      </w:r>
      <w:r w:rsidR="00A46230" w:rsidRPr="009A2763">
        <w:rPr>
          <w:rFonts w:ascii="Verdana" w:eastAsia="Times New Roman" w:hAnsi="Verdana" w:cs="Arial"/>
          <w:color w:val="000000"/>
          <w:sz w:val="21"/>
          <w:szCs w:val="21"/>
          <w:lang w:val="es-CO" w:eastAsia="es-CO"/>
        </w:rPr>
        <w:t xml:space="preserve"> a la fecha de entrega del cargo</w:t>
      </w:r>
      <w:r w:rsidR="003F26E1" w:rsidRPr="009A2763">
        <w:rPr>
          <w:rFonts w:ascii="Verdana" w:eastAsia="Times New Roman" w:hAnsi="Verdana" w:cs="Arial"/>
          <w:color w:val="000000"/>
          <w:sz w:val="21"/>
          <w:szCs w:val="21"/>
          <w:lang w:val="es-CO" w:eastAsia="es-CO"/>
        </w:rPr>
        <w:t>.</w:t>
      </w:r>
      <w:r w:rsidR="001C34C4" w:rsidRPr="009A2763">
        <w:rPr>
          <w:rFonts w:ascii="Verdana" w:eastAsia="Times New Roman" w:hAnsi="Verdana" w:cs="Arial"/>
          <w:color w:val="000000"/>
          <w:sz w:val="21"/>
          <w:szCs w:val="21"/>
          <w:lang w:val="es-CO" w:eastAsia="es-CO"/>
        </w:rPr>
        <w:t xml:space="preserve"> </w:t>
      </w:r>
    </w:p>
    <w:p w14:paraId="0FE8D008" w14:textId="77777777" w:rsidR="008A431C" w:rsidRPr="009A2763" w:rsidRDefault="008A431C" w:rsidP="0089458E">
      <w:pPr>
        <w:autoSpaceDE w:val="0"/>
        <w:autoSpaceDN w:val="0"/>
        <w:adjustRightInd w:val="0"/>
        <w:spacing w:line="252" w:lineRule="auto"/>
        <w:jc w:val="both"/>
        <w:rPr>
          <w:rFonts w:ascii="Verdana" w:eastAsia="Times New Roman" w:hAnsi="Verdana" w:cs="Arial"/>
          <w:color w:val="000000"/>
          <w:sz w:val="21"/>
          <w:szCs w:val="21"/>
          <w:lang w:val="es-CO" w:eastAsia="es-CO"/>
        </w:rPr>
      </w:pPr>
    </w:p>
    <w:p w14:paraId="3A80A78E" w14:textId="2D82B8A8" w:rsidR="006B2BAB" w:rsidRPr="009A2763" w:rsidRDefault="00396F0B" w:rsidP="0089458E">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9A2763">
        <w:rPr>
          <w:rFonts w:ascii="Verdana" w:eastAsia="Times New Roman" w:hAnsi="Verdana" w:cs="Arial"/>
          <w:color w:val="000000"/>
          <w:sz w:val="21"/>
          <w:szCs w:val="21"/>
          <w:lang w:val="es-CO" w:eastAsia="es-CO"/>
        </w:rPr>
        <w:t>Finalmente</w:t>
      </w:r>
      <w:r w:rsidR="006B2BAB" w:rsidRPr="009A2763">
        <w:rPr>
          <w:rFonts w:ascii="Verdana" w:eastAsia="Times New Roman" w:hAnsi="Verdana" w:cs="Arial"/>
          <w:color w:val="000000"/>
          <w:sz w:val="21"/>
          <w:szCs w:val="21"/>
          <w:lang w:val="es-CO" w:eastAsia="es-CO"/>
        </w:rPr>
        <w:t>, con respecto a los temas pendientes por resolver con la Contaduría General de la Nación</w:t>
      </w:r>
      <w:r w:rsidR="00B730A9" w:rsidRPr="009A2763">
        <w:rPr>
          <w:rFonts w:ascii="Verdana" w:eastAsia="Times New Roman" w:hAnsi="Verdana" w:cs="Arial"/>
          <w:color w:val="000000"/>
          <w:sz w:val="21"/>
          <w:szCs w:val="21"/>
          <w:lang w:val="es-CO" w:eastAsia="es-CO"/>
        </w:rPr>
        <w:t xml:space="preserve">, se destaca que a la fecha el FONSE no </w:t>
      </w:r>
      <w:r w:rsidR="00A1526B" w:rsidRPr="009A2763">
        <w:rPr>
          <w:rFonts w:ascii="Verdana" w:eastAsia="Times New Roman" w:hAnsi="Verdana" w:cs="Arial"/>
          <w:color w:val="000000"/>
          <w:sz w:val="21"/>
          <w:szCs w:val="21"/>
          <w:lang w:val="es-CO" w:eastAsia="es-CO"/>
        </w:rPr>
        <w:t xml:space="preserve">tiene ningún asunto pendiente. </w:t>
      </w:r>
    </w:p>
    <w:p w14:paraId="0E4DB708" w14:textId="7A2ECF2C" w:rsidR="005C7FC2" w:rsidRPr="009A2763" w:rsidRDefault="005C7FC2" w:rsidP="0089458E">
      <w:pPr>
        <w:spacing w:line="252" w:lineRule="auto"/>
        <w:jc w:val="both"/>
        <w:rPr>
          <w:rFonts w:ascii="Verdana" w:hAnsi="Verdana" w:cs="Arial"/>
          <w:b/>
          <w:bCs/>
          <w:sz w:val="21"/>
          <w:szCs w:val="21"/>
          <w:lang w:val="es-CO"/>
        </w:rPr>
      </w:pPr>
    </w:p>
    <w:p w14:paraId="18AA4C5F" w14:textId="77777777" w:rsidR="00CF5B40" w:rsidRPr="009A2763" w:rsidRDefault="003B231B" w:rsidP="0089458E">
      <w:pPr>
        <w:spacing w:line="252" w:lineRule="auto"/>
        <w:rPr>
          <w:rFonts w:ascii="Verdana" w:eastAsia="Times New Roman" w:hAnsi="Verdana" w:cs="Arial"/>
          <w:b/>
          <w:bCs/>
          <w:color w:val="000000"/>
          <w:sz w:val="21"/>
          <w:szCs w:val="21"/>
          <w:lang w:val="es-CO" w:eastAsia="es-CO"/>
        </w:rPr>
      </w:pPr>
      <w:r w:rsidRPr="009A2763">
        <w:rPr>
          <w:rFonts w:ascii="Verdana" w:eastAsia="Times New Roman" w:hAnsi="Verdana" w:cs="Arial"/>
          <w:b/>
          <w:bCs/>
          <w:color w:val="000000"/>
          <w:sz w:val="21"/>
          <w:szCs w:val="21"/>
          <w:lang w:val="es-CO" w:eastAsia="es-CO"/>
        </w:rPr>
        <w:t>c. La realización y registro de los cálculos</w:t>
      </w:r>
      <w:r w:rsidR="00B37898" w:rsidRPr="009A2763">
        <w:rPr>
          <w:rFonts w:ascii="Verdana" w:eastAsia="Times New Roman" w:hAnsi="Verdana" w:cs="Arial"/>
          <w:b/>
          <w:bCs/>
          <w:color w:val="000000"/>
          <w:sz w:val="21"/>
          <w:szCs w:val="21"/>
          <w:lang w:val="es-CO" w:eastAsia="es-CO"/>
        </w:rPr>
        <w:t xml:space="preserve"> actuariales</w:t>
      </w:r>
      <w:r w:rsidRPr="009A2763">
        <w:rPr>
          <w:rFonts w:ascii="Verdana" w:eastAsia="Times New Roman" w:hAnsi="Verdana" w:cs="Arial"/>
          <w:b/>
          <w:bCs/>
          <w:color w:val="000000"/>
          <w:sz w:val="21"/>
          <w:szCs w:val="21"/>
          <w:lang w:val="es-CO" w:eastAsia="es-CO"/>
        </w:rPr>
        <w:t xml:space="preserve">, cuando haya lugar, y el detalle de los recursos destinados para el pago </w:t>
      </w:r>
      <w:r w:rsidR="00CF5B40" w:rsidRPr="009A2763">
        <w:rPr>
          <w:rFonts w:ascii="Verdana" w:eastAsia="Times New Roman" w:hAnsi="Verdana" w:cs="Arial"/>
          <w:b/>
          <w:bCs/>
          <w:color w:val="000000"/>
          <w:sz w:val="21"/>
          <w:szCs w:val="21"/>
          <w:lang w:val="es-CO" w:eastAsia="es-CO"/>
        </w:rPr>
        <w:t xml:space="preserve">del pasivo relacionado. </w:t>
      </w:r>
    </w:p>
    <w:p w14:paraId="704FE20E" w14:textId="77777777" w:rsidR="003B231B" w:rsidRPr="009A2763" w:rsidRDefault="003B231B" w:rsidP="0089458E">
      <w:pPr>
        <w:autoSpaceDE w:val="0"/>
        <w:autoSpaceDN w:val="0"/>
        <w:adjustRightInd w:val="0"/>
        <w:spacing w:line="252" w:lineRule="auto"/>
        <w:rPr>
          <w:rFonts w:ascii="Verdana" w:eastAsia="Times New Roman" w:hAnsi="Verdana" w:cs="Arial"/>
          <w:b/>
          <w:bCs/>
          <w:color w:val="000000"/>
          <w:sz w:val="21"/>
          <w:szCs w:val="21"/>
          <w:lang w:val="es-CO" w:eastAsia="es-CO"/>
        </w:rPr>
      </w:pPr>
    </w:p>
    <w:p w14:paraId="726F5FFA" w14:textId="405F7106" w:rsidR="003B231B" w:rsidRPr="009A2763" w:rsidRDefault="00C7644C" w:rsidP="0089458E">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9A2763">
        <w:rPr>
          <w:rFonts w:ascii="Verdana" w:eastAsia="Times New Roman" w:hAnsi="Verdana" w:cs="Arial"/>
          <w:color w:val="000000"/>
          <w:sz w:val="21"/>
          <w:szCs w:val="21"/>
          <w:lang w:val="es-CO" w:eastAsia="es-CO"/>
        </w:rPr>
        <w:t xml:space="preserve">Este tipo de información no aplica para el </w:t>
      </w:r>
      <w:r w:rsidR="006A4265" w:rsidRPr="009A2763">
        <w:rPr>
          <w:rFonts w:ascii="Verdana" w:eastAsia="Times New Roman" w:hAnsi="Verdana" w:cs="Arial"/>
          <w:color w:val="000000"/>
          <w:sz w:val="21"/>
          <w:szCs w:val="21"/>
          <w:lang w:val="es-CO" w:eastAsia="es-CO"/>
        </w:rPr>
        <w:t>Fondo de Sostenibilidad Financiera del Sector Eléctrico (FONSE)</w:t>
      </w:r>
    </w:p>
    <w:p w14:paraId="0247FFE0" w14:textId="77777777" w:rsidR="004B68CF" w:rsidRPr="009A2763" w:rsidRDefault="004B68CF" w:rsidP="0089458E">
      <w:pPr>
        <w:autoSpaceDE w:val="0"/>
        <w:autoSpaceDN w:val="0"/>
        <w:adjustRightInd w:val="0"/>
        <w:spacing w:line="252" w:lineRule="auto"/>
        <w:jc w:val="both"/>
        <w:rPr>
          <w:rFonts w:ascii="Verdana" w:eastAsia="Times New Roman" w:hAnsi="Verdana" w:cs="Arial"/>
          <w:b/>
          <w:bCs/>
          <w:color w:val="000000"/>
          <w:sz w:val="21"/>
          <w:szCs w:val="21"/>
          <w:lang w:val="es-CO" w:eastAsia="es-CO"/>
        </w:rPr>
      </w:pPr>
    </w:p>
    <w:p w14:paraId="56A936C6" w14:textId="77777777" w:rsidR="003B16E5" w:rsidRPr="009A2763" w:rsidRDefault="003B231B" w:rsidP="0089458E">
      <w:pPr>
        <w:autoSpaceDE w:val="0"/>
        <w:autoSpaceDN w:val="0"/>
        <w:adjustRightInd w:val="0"/>
        <w:spacing w:line="252" w:lineRule="auto"/>
        <w:jc w:val="both"/>
        <w:rPr>
          <w:rFonts w:ascii="Verdana" w:eastAsia="Times New Roman" w:hAnsi="Verdana" w:cs="Arial"/>
          <w:b/>
          <w:bCs/>
          <w:color w:val="000000"/>
          <w:sz w:val="21"/>
          <w:szCs w:val="21"/>
          <w:lang w:val="es-CO" w:eastAsia="es-CO"/>
        </w:rPr>
      </w:pPr>
      <w:r w:rsidRPr="009A2763">
        <w:rPr>
          <w:rFonts w:ascii="Verdana" w:eastAsia="Times New Roman" w:hAnsi="Verdana" w:cs="Arial"/>
          <w:b/>
          <w:bCs/>
          <w:color w:val="000000"/>
          <w:sz w:val="21"/>
          <w:szCs w:val="21"/>
          <w:lang w:val="es-CO" w:eastAsia="es-CO"/>
        </w:rPr>
        <w:t xml:space="preserve">d. </w:t>
      </w:r>
      <w:r w:rsidR="003B16E5" w:rsidRPr="009A2763">
        <w:rPr>
          <w:rFonts w:ascii="Verdana" w:eastAsia="Times New Roman" w:hAnsi="Verdana" w:cs="Arial"/>
          <w:b/>
          <w:bCs/>
          <w:color w:val="000000"/>
          <w:sz w:val="21"/>
          <w:szCs w:val="21"/>
          <w:lang w:val="es-CO" w:eastAsia="es-CO"/>
        </w:rPr>
        <w:t>La Identificación, valor y registro de los procesos judiciales, arbitrajes, conciliaciones extrajudiciales y reclamaciones en contra y a favor de la entidad.</w:t>
      </w:r>
    </w:p>
    <w:p w14:paraId="6B824271" w14:textId="34A72678" w:rsidR="003B231B" w:rsidRPr="009A2763" w:rsidRDefault="003B231B" w:rsidP="0089458E">
      <w:pPr>
        <w:autoSpaceDE w:val="0"/>
        <w:autoSpaceDN w:val="0"/>
        <w:adjustRightInd w:val="0"/>
        <w:spacing w:line="252" w:lineRule="auto"/>
        <w:jc w:val="both"/>
        <w:rPr>
          <w:rFonts w:ascii="Verdana" w:eastAsia="Times New Roman" w:hAnsi="Verdana" w:cs="Arial"/>
          <w:color w:val="000000"/>
          <w:sz w:val="21"/>
          <w:szCs w:val="21"/>
          <w:lang w:val="es-CO" w:eastAsia="es-CO"/>
        </w:rPr>
      </w:pPr>
    </w:p>
    <w:p w14:paraId="336B212F" w14:textId="77777777" w:rsidR="007A4523" w:rsidRPr="009A2763" w:rsidRDefault="007A4523" w:rsidP="0089458E">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9A2763">
        <w:rPr>
          <w:rFonts w:ascii="Verdana" w:eastAsia="Times New Roman" w:hAnsi="Verdana" w:cs="Arial"/>
          <w:color w:val="000000"/>
          <w:sz w:val="21"/>
          <w:szCs w:val="21"/>
          <w:lang w:val="es-CO" w:eastAsia="es-CO"/>
        </w:rPr>
        <w:t>Este tipo de información no aplica para el Fondo de Sostenibilidad Financiera del Sector Eléctrico (FONSE)</w:t>
      </w:r>
    </w:p>
    <w:p w14:paraId="4D5A8B32" w14:textId="2FEF3047" w:rsidR="003B231B" w:rsidRPr="009A2763" w:rsidRDefault="003B231B" w:rsidP="0089458E">
      <w:pPr>
        <w:autoSpaceDE w:val="0"/>
        <w:autoSpaceDN w:val="0"/>
        <w:adjustRightInd w:val="0"/>
        <w:spacing w:line="252" w:lineRule="auto"/>
        <w:jc w:val="both"/>
        <w:rPr>
          <w:rFonts w:ascii="Verdana" w:eastAsia="Times New Roman" w:hAnsi="Verdana" w:cs="Arial"/>
          <w:color w:val="000000"/>
          <w:sz w:val="21"/>
          <w:szCs w:val="21"/>
          <w:lang w:val="es-CO" w:eastAsia="es-CO"/>
        </w:rPr>
      </w:pPr>
    </w:p>
    <w:p w14:paraId="259ACC5D" w14:textId="77777777" w:rsidR="003B231B" w:rsidRPr="009A2763" w:rsidRDefault="003B231B" w:rsidP="0089458E">
      <w:pPr>
        <w:autoSpaceDE w:val="0"/>
        <w:autoSpaceDN w:val="0"/>
        <w:adjustRightInd w:val="0"/>
        <w:spacing w:line="252" w:lineRule="auto"/>
        <w:jc w:val="both"/>
        <w:rPr>
          <w:rFonts w:ascii="Verdana" w:eastAsia="Times New Roman" w:hAnsi="Verdana" w:cs="Arial"/>
          <w:b/>
          <w:bCs/>
          <w:color w:val="000000"/>
          <w:sz w:val="21"/>
          <w:szCs w:val="21"/>
          <w:lang w:val="es-CO" w:eastAsia="es-CO"/>
        </w:rPr>
      </w:pPr>
      <w:r w:rsidRPr="009A2763">
        <w:rPr>
          <w:rFonts w:ascii="Verdana" w:eastAsia="Times New Roman" w:hAnsi="Verdana" w:cs="Arial"/>
          <w:b/>
          <w:bCs/>
          <w:color w:val="000000"/>
          <w:sz w:val="21"/>
          <w:szCs w:val="21"/>
          <w:lang w:val="es-CO" w:eastAsia="es-CO"/>
        </w:rPr>
        <w:t xml:space="preserve">e. Relación de los </w:t>
      </w:r>
      <w:bookmarkStart w:id="1" w:name="_Hlk71734667"/>
      <w:r w:rsidRPr="009A2763">
        <w:rPr>
          <w:rFonts w:ascii="Verdana" w:eastAsia="Times New Roman" w:hAnsi="Verdana" w:cs="Arial"/>
          <w:b/>
          <w:bCs/>
          <w:color w:val="000000"/>
          <w:sz w:val="21"/>
          <w:szCs w:val="21"/>
          <w:lang w:val="es-CO" w:eastAsia="es-CO"/>
        </w:rPr>
        <w:t xml:space="preserve">fondos sin personería jurídica </w:t>
      </w:r>
      <w:bookmarkEnd w:id="1"/>
      <w:r w:rsidRPr="009A2763">
        <w:rPr>
          <w:rFonts w:ascii="Verdana" w:eastAsia="Times New Roman" w:hAnsi="Verdana" w:cs="Arial"/>
          <w:b/>
          <w:bCs/>
          <w:color w:val="000000"/>
          <w:sz w:val="21"/>
          <w:szCs w:val="21"/>
          <w:lang w:val="es-CO" w:eastAsia="es-CO"/>
        </w:rPr>
        <w:t xml:space="preserve">a cargo de la entidad </w:t>
      </w:r>
    </w:p>
    <w:p w14:paraId="3E9EE566" w14:textId="77777777" w:rsidR="003B231B" w:rsidRPr="009A2763" w:rsidRDefault="003B231B" w:rsidP="0089458E">
      <w:pPr>
        <w:autoSpaceDE w:val="0"/>
        <w:autoSpaceDN w:val="0"/>
        <w:adjustRightInd w:val="0"/>
        <w:spacing w:line="252" w:lineRule="auto"/>
        <w:jc w:val="both"/>
        <w:rPr>
          <w:rFonts w:ascii="Verdana" w:eastAsia="Times New Roman" w:hAnsi="Verdana" w:cs="Arial"/>
          <w:b/>
          <w:bCs/>
          <w:color w:val="000000"/>
          <w:sz w:val="21"/>
          <w:szCs w:val="21"/>
          <w:lang w:val="es-CO" w:eastAsia="es-CO"/>
        </w:rPr>
      </w:pPr>
    </w:p>
    <w:p w14:paraId="247D102E" w14:textId="77777777" w:rsidR="007A4523" w:rsidRPr="009A2763" w:rsidRDefault="007A4523" w:rsidP="0089458E">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9A2763">
        <w:rPr>
          <w:rFonts w:ascii="Verdana" w:eastAsia="Times New Roman" w:hAnsi="Verdana" w:cs="Arial"/>
          <w:color w:val="000000"/>
          <w:sz w:val="21"/>
          <w:szCs w:val="21"/>
          <w:lang w:val="es-CO" w:eastAsia="es-CO"/>
        </w:rPr>
        <w:t>Este tipo de información no aplica para el Fondo de Sostenibilidad Financiera del Sector Eléctrico (FONSE)</w:t>
      </w:r>
    </w:p>
    <w:p w14:paraId="67FB2A0A" w14:textId="77777777" w:rsidR="003B231B" w:rsidRPr="009A2763" w:rsidRDefault="003B231B" w:rsidP="0089458E">
      <w:pPr>
        <w:spacing w:line="252" w:lineRule="auto"/>
        <w:jc w:val="both"/>
        <w:rPr>
          <w:rFonts w:ascii="Verdana" w:hAnsi="Verdana" w:cs="Arial"/>
          <w:sz w:val="21"/>
          <w:szCs w:val="21"/>
          <w:lang w:val="es-CO"/>
        </w:rPr>
      </w:pPr>
    </w:p>
    <w:p w14:paraId="117C1026" w14:textId="4D44109C" w:rsidR="003B231B" w:rsidRPr="009A2763" w:rsidRDefault="003B231B" w:rsidP="0089458E">
      <w:pPr>
        <w:spacing w:line="252" w:lineRule="auto"/>
        <w:jc w:val="both"/>
        <w:rPr>
          <w:rFonts w:ascii="Verdana" w:eastAsia="Times New Roman" w:hAnsi="Verdana" w:cs="Arial"/>
          <w:b/>
          <w:bCs/>
          <w:color w:val="000000"/>
          <w:sz w:val="21"/>
          <w:szCs w:val="21"/>
          <w:lang w:val="es-CO" w:eastAsia="es-CO"/>
        </w:rPr>
      </w:pPr>
      <w:r w:rsidRPr="009A2763">
        <w:rPr>
          <w:rFonts w:ascii="Verdana" w:eastAsia="Times New Roman" w:hAnsi="Verdana" w:cs="Arial"/>
          <w:b/>
          <w:bCs/>
          <w:color w:val="000000"/>
          <w:sz w:val="21"/>
          <w:szCs w:val="21"/>
          <w:lang w:val="es-CO" w:eastAsia="es-CO"/>
        </w:rPr>
        <w:t xml:space="preserve">f. </w:t>
      </w:r>
      <w:r w:rsidR="00A017E8" w:rsidRPr="009A2763">
        <w:rPr>
          <w:rFonts w:ascii="Verdana" w:eastAsia="Times New Roman" w:hAnsi="Verdana" w:cs="Arial"/>
          <w:b/>
          <w:bCs/>
          <w:color w:val="000000"/>
          <w:sz w:val="21"/>
          <w:szCs w:val="21"/>
          <w:lang w:val="es-CO" w:eastAsia="es-CO"/>
        </w:rPr>
        <w:t>Relación de los recursos entregados o recibidos en administración</w:t>
      </w:r>
    </w:p>
    <w:p w14:paraId="6E1BDC34" w14:textId="77777777" w:rsidR="00A017E8" w:rsidRPr="009A2763" w:rsidRDefault="00A017E8" w:rsidP="0089458E">
      <w:pPr>
        <w:spacing w:line="252" w:lineRule="auto"/>
        <w:jc w:val="both"/>
        <w:rPr>
          <w:rFonts w:ascii="Verdana" w:hAnsi="Verdana" w:cs="Arial"/>
          <w:b/>
          <w:bCs/>
          <w:sz w:val="21"/>
          <w:szCs w:val="21"/>
          <w:lang w:val="es-CO"/>
        </w:rPr>
      </w:pPr>
    </w:p>
    <w:p w14:paraId="5BC12917" w14:textId="77777777" w:rsidR="00357744" w:rsidRPr="009A2763" w:rsidRDefault="00357744" w:rsidP="0089458E">
      <w:pPr>
        <w:autoSpaceDE w:val="0"/>
        <w:autoSpaceDN w:val="0"/>
        <w:adjustRightInd w:val="0"/>
        <w:spacing w:line="252" w:lineRule="auto"/>
        <w:jc w:val="both"/>
        <w:rPr>
          <w:rFonts w:ascii="Verdana" w:eastAsia="Times New Roman" w:hAnsi="Verdana" w:cs="Arial"/>
          <w:color w:val="000000"/>
          <w:sz w:val="21"/>
          <w:szCs w:val="21"/>
          <w:lang w:val="es-CO" w:eastAsia="es-CO"/>
        </w:rPr>
      </w:pPr>
      <w:r w:rsidRPr="009A2763">
        <w:rPr>
          <w:rFonts w:ascii="Verdana" w:eastAsia="Times New Roman" w:hAnsi="Verdana" w:cs="Arial"/>
          <w:color w:val="000000"/>
          <w:sz w:val="21"/>
          <w:szCs w:val="21"/>
          <w:lang w:val="es-CO" w:eastAsia="es-CO"/>
        </w:rPr>
        <w:t>Este tipo de información no aplica para el Fondo de Sostenibilidad Financiera del Sector Eléctrico (FONSE)</w:t>
      </w:r>
    </w:p>
    <w:p w14:paraId="6F7AF976" w14:textId="77777777" w:rsidR="00357744" w:rsidRPr="009A2763" w:rsidRDefault="00357744" w:rsidP="0089458E">
      <w:pPr>
        <w:spacing w:line="252" w:lineRule="auto"/>
        <w:jc w:val="both"/>
        <w:rPr>
          <w:rFonts w:ascii="Verdana" w:hAnsi="Verdana" w:cs="Arial"/>
          <w:b/>
          <w:bCs/>
          <w:sz w:val="21"/>
          <w:szCs w:val="21"/>
          <w:lang w:val="es-CO"/>
        </w:rPr>
      </w:pPr>
    </w:p>
    <w:p w14:paraId="50698FDA" w14:textId="0BA5DEF8" w:rsidR="008E6B74" w:rsidRPr="009A2763" w:rsidRDefault="00AF1DB7" w:rsidP="0089458E">
      <w:pPr>
        <w:autoSpaceDE w:val="0"/>
        <w:autoSpaceDN w:val="0"/>
        <w:adjustRightInd w:val="0"/>
        <w:spacing w:line="252" w:lineRule="auto"/>
        <w:jc w:val="both"/>
        <w:rPr>
          <w:rFonts w:ascii="Verdana" w:eastAsia="Calibri" w:hAnsi="Verdana" w:cs="Arial"/>
          <w:b/>
          <w:bCs/>
          <w:sz w:val="21"/>
          <w:szCs w:val="21"/>
          <w:lang w:val="es-CO"/>
        </w:rPr>
      </w:pPr>
      <w:r w:rsidRPr="009A2763">
        <w:rPr>
          <w:rFonts w:ascii="Verdana" w:eastAsia="Calibri" w:hAnsi="Verdana" w:cs="Arial"/>
          <w:b/>
          <w:bCs/>
          <w:sz w:val="21"/>
          <w:szCs w:val="21"/>
          <w:lang w:val="es-CO"/>
        </w:rPr>
        <w:t>g</w:t>
      </w:r>
      <w:r w:rsidR="008E6B74" w:rsidRPr="009A2763">
        <w:rPr>
          <w:rFonts w:ascii="Verdana" w:eastAsia="Calibri" w:hAnsi="Verdana" w:cs="Arial"/>
          <w:b/>
          <w:bCs/>
          <w:sz w:val="21"/>
          <w:szCs w:val="21"/>
          <w:lang w:val="es-CO"/>
        </w:rPr>
        <w:t>. Información detallada de las situaciones y hechos económicos pendientes de resolver en</w:t>
      </w:r>
      <w:r w:rsidR="00B36584" w:rsidRPr="009A2763">
        <w:rPr>
          <w:rFonts w:ascii="Verdana" w:eastAsia="Calibri" w:hAnsi="Verdana" w:cs="Arial"/>
          <w:b/>
          <w:bCs/>
          <w:sz w:val="21"/>
          <w:szCs w:val="21"/>
          <w:lang w:val="es-CO"/>
        </w:rPr>
        <w:t xml:space="preserve"> </w:t>
      </w:r>
      <w:r w:rsidR="008E6B74" w:rsidRPr="009A2763">
        <w:rPr>
          <w:rFonts w:ascii="Verdana" w:eastAsia="Calibri" w:hAnsi="Verdana" w:cs="Arial"/>
          <w:b/>
          <w:bCs/>
          <w:sz w:val="21"/>
          <w:szCs w:val="21"/>
          <w:lang w:val="es-CO"/>
        </w:rPr>
        <w:t>materia contable</w:t>
      </w:r>
    </w:p>
    <w:p w14:paraId="388868AC" w14:textId="1949CC31" w:rsidR="008E6B74" w:rsidRPr="009A2763" w:rsidRDefault="008E6B74" w:rsidP="0089458E">
      <w:pPr>
        <w:autoSpaceDE w:val="0"/>
        <w:autoSpaceDN w:val="0"/>
        <w:spacing w:line="252" w:lineRule="auto"/>
        <w:jc w:val="both"/>
        <w:rPr>
          <w:rFonts w:ascii="Verdana" w:eastAsia="Calibri" w:hAnsi="Verdana" w:cs="Arial"/>
          <w:b/>
          <w:bCs/>
          <w:sz w:val="21"/>
          <w:szCs w:val="21"/>
          <w:lang w:val="es-CO"/>
        </w:rPr>
      </w:pPr>
    </w:p>
    <w:p w14:paraId="5536B7FA" w14:textId="062A6E19" w:rsidR="00DB27AF" w:rsidRPr="009A2763" w:rsidRDefault="00DB27AF" w:rsidP="0089458E">
      <w:pPr>
        <w:autoSpaceDE w:val="0"/>
        <w:autoSpaceDN w:val="0"/>
        <w:spacing w:line="252" w:lineRule="auto"/>
        <w:jc w:val="both"/>
        <w:rPr>
          <w:rFonts w:ascii="Verdana" w:eastAsia="Calibri" w:hAnsi="Verdana" w:cs="Arial"/>
          <w:sz w:val="21"/>
          <w:szCs w:val="21"/>
          <w:lang w:val="es-CO"/>
        </w:rPr>
      </w:pPr>
      <w:r w:rsidRPr="009A2763">
        <w:rPr>
          <w:rFonts w:ascii="Verdana" w:eastAsia="Calibri" w:hAnsi="Verdana" w:cs="Arial"/>
          <w:sz w:val="21"/>
          <w:szCs w:val="21"/>
          <w:lang w:val="es-CO"/>
        </w:rPr>
        <w:t>Considerando que el FONSE ha implementado, fortalecido y dado sostenibilidad a la aplicación del Marco Normativo Contable definido por la Contaduría General de la Nación en convergencia hacia estándares internacionales, cabe precisar que con ocasión de las actualizaciones permanentes que realiza el Órgano Rector al referido Marco Normativo, durante la vigencia 202</w:t>
      </w:r>
      <w:r w:rsidR="002143D7" w:rsidRPr="009A2763">
        <w:rPr>
          <w:rFonts w:ascii="Verdana" w:eastAsia="Calibri" w:hAnsi="Verdana" w:cs="Arial"/>
          <w:sz w:val="21"/>
          <w:szCs w:val="21"/>
          <w:lang w:val="es-CO"/>
        </w:rPr>
        <w:t>5</w:t>
      </w:r>
      <w:r w:rsidRPr="009A2763">
        <w:rPr>
          <w:rFonts w:ascii="Verdana" w:eastAsia="Calibri" w:hAnsi="Verdana" w:cs="Arial"/>
          <w:sz w:val="21"/>
          <w:szCs w:val="21"/>
          <w:lang w:val="es-CO"/>
        </w:rPr>
        <w:t xml:space="preserve"> se </w:t>
      </w:r>
      <w:r w:rsidR="00657AFA" w:rsidRPr="009A2763">
        <w:rPr>
          <w:rFonts w:ascii="Verdana" w:eastAsia="Calibri" w:hAnsi="Verdana" w:cs="Arial"/>
          <w:sz w:val="21"/>
          <w:szCs w:val="21"/>
          <w:lang w:val="es-CO"/>
        </w:rPr>
        <w:t xml:space="preserve">tiene </w:t>
      </w:r>
      <w:r w:rsidRPr="009A2763">
        <w:rPr>
          <w:rFonts w:ascii="Verdana" w:eastAsia="Calibri" w:hAnsi="Verdana" w:cs="Arial"/>
          <w:sz w:val="21"/>
          <w:szCs w:val="21"/>
          <w:lang w:val="es-CO"/>
        </w:rPr>
        <w:t xml:space="preserve">previsto </w:t>
      </w:r>
      <w:r w:rsidR="00BA1A03" w:rsidRPr="009A2763">
        <w:rPr>
          <w:rFonts w:ascii="Verdana" w:eastAsia="Calibri" w:hAnsi="Verdana" w:cs="Arial"/>
          <w:sz w:val="21"/>
          <w:szCs w:val="21"/>
          <w:lang w:val="es-CO"/>
        </w:rPr>
        <w:t>efectuar</w:t>
      </w:r>
      <w:r w:rsidRPr="009A2763">
        <w:rPr>
          <w:rFonts w:ascii="Verdana" w:eastAsia="Calibri" w:hAnsi="Verdana" w:cs="Arial"/>
          <w:sz w:val="21"/>
          <w:szCs w:val="21"/>
          <w:lang w:val="es-CO"/>
        </w:rPr>
        <w:t xml:space="preserve"> la revisión del Manual de Políticas Contables </w:t>
      </w:r>
      <w:r w:rsidR="009807C8" w:rsidRPr="009A2763">
        <w:rPr>
          <w:rFonts w:ascii="Verdana" w:eastAsia="Calibri" w:hAnsi="Verdana" w:cs="Arial"/>
          <w:sz w:val="21"/>
          <w:szCs w:val="21"/>
          <w:lang w:val="es-CO"/>
        </w:rPr>
        <w:t xml:space="preserve">y de la documentación contable </w:t>
      </w:r>
      <w:r w:rsidRPr="009A2763">
        <w:rPr>
          <w:rFonts w:ascii="Verdana" w:eastAsia="Calibri" w:hAnsi="Verdana" w:cs="Arial"/>
          <w:sz w:val="21"/>
          <w:szCs w:val="21"/>
          <w:lang w:val="es-CO"/>
        </w:rPr>
        <w:t>con el fin de determinar y realizar los ajustes a que haya lugar para mantenerlo</w:t>
      </w:r>
      <w:r w:rsidR="008E021D" w:rsidRPr="009A2763">
        <w:rPr>
          <w:rFonts w:ascii="Verdana" w:eastAsia="Calibri" w:hAnsi="Verdana" w:cs="Arial"/>
          <w:sz w:val="21"/>
          <w:szCs w:val="21"/>
          <w:lang w:val="es-CO"/>
        </w:rPr>
        <w:t>s</w:t>
      </w:r>
      <w:r w:rsidRPr="009A2763">
        <w:rPr>
          <w:rFonts w:ascii="Verdana" w:eastAsia="Calibri" w:hAnsi="Verdana" w:cs="Arial"/>
          <w:sz w:val="21"/>
          <w:szCs w:val="21"/>
          <w:lang w:val="es-CO"/>
        </w:rPr>
        <w:t xml:space="preserve"> vigente</w:t>
      </w:r>
      <w:r w:rsidR="00BA1A03" w:rsidRPr="009A2763">
        <w:rPr>
          <w:rFonts w:ascii="Verdana" w:eastAsia="Calibri" w:hAnsi="Verdana" w:cs="Arial"/>
          <w:sz w:val="21"/>
          <w:szCs w:val="21"/>
          <w:lang w:val="es-CO"/>
        </w:rPr>
        <w:t>s</w:t>
      </w:r>
      <w:r w:rsidRPr="009A2763">
        <w:rPr>
          <w:rFonts w:ascii="Verdana" w:eastAsia="Calibri" w:hAnsi="Verdana" w:cs="Arial"/>
          <w:sz w:val="21"/>
          <w:szCs w:val="21"/>
          <w:lang w:val="es-CO"/>
        </w:rPr>
        <w:t xml:space="preserve">. </w:t>
      </w:r>
    </w:p>
    <w:p w14:paraId="2D470CEB" w14:textId="77777777" w:rsidR="00523C1A" w:rsidRPr="009A2763" w:rsidRDefault="00523C1A" w:rsidP="0089458E">
      <w:pPr>
        <w:autoSpaceDE w:val="0"/>
        <w:autoSpaceDN w:val="0"/>
        <w:spacing w:line="252" w:lineRule="auto"/>
        <w:jc w:val="both"/>
        <w:rPr>
          <w:rFonts w:ascii="Verdana" w:eastAsia="Calibri" w:hAnsi="Verdana" w:cs="Arial"/>
          <w:sz w:val="21"/>
          <w:szCs w:val="21"/>
          <w:lang w:val="es-CO"/>
        </w:rPr>
      </w:pPr>
    </w:p>
    <w:p w14:paraId="5EEBF1F7" w14:textId="4E3CBFD5" w:rsidR="006651DB" w:rsidRPr="009A2763" w:rsidRDefault="006651DB" w:rsidP="0089458E">
      <w:pPr>
        <w:spacing w:line="252" w:lineRule="auto"/>
        <w:jc w:val="both"/>
        <w:rPr>
          <w:rFonts w:ascii="Verdana" w:hAnsi="Verdana" w:cs="Arial"/>
          <w:sz w:val="21"/>
          <w:szCs w:val="21"/>
          <w:lang w:val="es-ES_tradnl"/>
        </w:rPr>
      </w:pPr>
      <w:r w:rsidRPr="009A2763">
        <w:rPr>
          <w:rFonts w:ascii="Verdana" w:eastAsia="Calibri" w:hAnsi="Verdana" w:cs="Arial"/>
          <w:sz w:val="21"/>
          <w:szCs w:val="21"/>
          <w:lang w:val="es-CO"/>
        </w:rPr>
        <w:lastRenderedPageBreak/>
        <w:t>No obstante, en atención a la situación referida en el literal</w:t>
      </w:r>
      <w:r w:rsidR="007A1C28" w:rsidRPr="009A2763">
        <w:rPr>
          <w:rFonts w:ascii="Verdana" w:eastAsia="Calibri" w:hAnsi="Verdana" w:cs="Arial"/>
          <w:sz w:val="21"/>
          <w:szCs w:val="21"/>
          <w:lang w:val="es-CO"/>
        </w:rPr>
        <w:t xml:space="preserve"> a.</w:t>
      </w:r>
      <w:r w:rsidRPr="009A2763">
        <w:rPr>
          <w:rFonts w:ascii="Verdana" w:eastAsia="Calibri" w:hAnsi="Verdana" w:cs="Arial"/>
          <w:sz w:val="21"/>
          <w:szCs w:val="21"/>
          <w:lang w:val="es-CO"/>
        </w:rPr>
        <w:t xml:space="preserve">, teniendo en cuenta que </w:t>
      </w:r>
      <w:r w:rsidRPr="009A2763">
        <w:rPr>
          <w:rFonts w:ascii="Verdana" w:hAnsi="Verdana" w:cs="Arial"/>
          <w:sz w:val="21"/>
          <w:szCs w:val="21"/>
          <w:lang w:val="es-ES_tradnl"/>
        </w:rPr>
        <w:t>durante la vigencia 2024 no se han presentado operaciones,</w:t>
      </w:r>
      <w:r w:rsidR="004E6747" w:rsidRPr="009A2763">
        <w:rPr>
          <w:rFonts w:ascii="Verdana" w:hAnsi="Verdana" w:cs="Arial"/>
          <w:sz w:val="21"/>
          <w:szCs w:val="21"/>
          <w:lang w:val="es-ES_tradnl"/>
        </w:rPr>
        <w:t xml:space="preserve"> y que</w:t>
      </w:r>
      <w:r w:rsidRPr="009A2763">
        <w:rPr>
          <w:rFonts w:ascii="Verdana" w:hAnsi="Verdana" w:cs="Arial"/>
          <w:sz w:val="21"/>
          <w:szCs w:val="21"/>
          <w:lang w:val="es-ES_tradnl"/>
        </w:rPr>
        <w:t xml:space="preserve"> a 30 de noviembre de 2024 los saldos contables de los activos, pasivos, patrimonio, ingresos y gastos del FONSE son de cero (0) pesos</w:t>
      </w:r>
      <w:r w:rsidR="004E6747" w:rsidRPr="009A2763">
        <w:rPr>
          <w:rFonts w:ascii="Verdana" w:hAnsi="Verdana" w:cs="Arial"/>
          <w:sz w:val="21"/>
          <w:szCs w:val="21"/>
          <w:lang w:val="es-ES_tradnl"/>
        </w:rPr>
        <w:t xml:space="preserve">, se tiene previsto realizar la gestión con la Contaduría General de la Nación y la Dirección General de Crédito Público y Tesoro Nacional </w:t>
      </w:r>
      <w:r w:rsidR="0058721A" w:rsidRPr="009A2763">
        <w:rPr>
          <w:rFonts w:ascii="Verdana" w:hAnsi="Verdana" w:cs="Arial"/>
          <w:sz w:val="21"/>
          <w:szCs w:val="21"/>
          <w:lang w:val="es-ES_tradnl"/>
        </w:rPr>
        <w:t xml:space="preserve">para establecer si tendrían que seguirse </w:t>
      </w:r>
      <w:r w:rsidR="00026189" w:rsidRPr="009A2763">
        <w:rPr>
          <w:rFonts w:ascii="Verdana" w:hAnsi="Verdana" w:cs="Arial"/>
          <w:sz w:val="21"/>
          <w:szCs w:val="21"/>
          <w:lang w:val="es-ES_tradnl"/>
        </w:rPr>
        <w:t xml:space="preserve">enviando a través del CHIP </w:t>
      </w:r>
      <w:r w:rsidR="0058721A" w:rsidRPr="009A2763">
        <w:rPr>
          <w:rFonts w:ascii="Verdana" w:hAnsi="Verdana" w:cs="Arial"/>
          <w:sz w:val="21"/>
          <w:szCs w:val="21"/>
          <w:lang w:val="es-ES_tradnl"/>
        </w:rPr>
        <w:t>los saldos en cero</w:t>
      </w:r>
      <w:r w:rsidR="00CE6F0D" w:rsidRPr="009A2763">
        <w:rPr>
          <w:rFonts w:ascii="Verdana" w:hAnsi="Verdana" w:cs="Arial"/>
          <w:sz w:val="21"/>
          <w:szCs w:val="21"/>
          <w:lang w:val="es-ES_tradnl"/>
        </w:rPr>
        <w:t>,</w:t>
      </w:r>
      <w:r w:rsidR="0058721A" w:rsidRPr="009A2763">
        <w:rPr>
          <w:rFonts w:ascii="Verdana" w:hAnsi="Verdana" w:cs="Arial"/>
          <w:sz w:val="21"/>
          <w:szCs w:val="21"/>
          <w:lang w:val="es-ES_tradnl"/>
        </w:rPr>
        <w:t xml:space="preserve"> o si </w:t>
      </w:r>
      <w:r w:rsidR="00672CF2" w:rsidRPr="009A2763">
        <w:rPr>
          <w:rFonts w:ascii="Verdana" w:hAnsi="Verdana" w:cs="Arial"/>
          <w:sz w:val="21"/>
          <w:szCs w:val="21"/>
          <w:lang w:val="es-ES_tradnl"/>
        </w:rPr>
        <w:t xml:space="preserve">tendría que </w:t>
      </w:r>
      <w:r w:rsidR="007C1F48" w:rsidRPr="009A2763">
        <w:rPr>
          <w:rFonts w:ascii="Verdana" w:hAnsi="Verdana" w:cs="Arial"/>
          <w:sz w:val="21"/>
          <w:szCs w:val="21"/>
          <w:lang w:val="es-ES_tradnl"/>
        </w:rPr>
        <w:t xml:space="preserve">deshabilitarse el reporte de la información hasta que se presenten nuevamente </w:t>
      </w:r>
      <w:r w:rsidR="00026189" w:rsidRPr="009A2763">
        <w:rPr>
          <w:rFonts w:ascii="Verdana" w:hAnsi="Verdana" w:cs="Arial"/>
          <w:sz w:val="21"/>
          <w:szCs w:val="21"/>
          <w:lang w:val="es-ES_tradnl"/>
        </w:rPr>
        <w:t xml:space="preserve">operaciones. </w:t>
      </w:r>
    </w:p>
    <w:p w14:paraId="1CCD4A05" w14:textId="1CAE6960" w:rsidR="006651DB" w:rsidRPr="009A2763" w:rsidRDefault="006651DB" w:rsidP="0089458E">
      <w:pPr>
        <w:autoSpaceDE w:val="0"/>
        <w:autoSpaceDN w:val="0"/>
        <w:spacing w:line="252" w:lineRule="auto"/>
        <w:jc w:val="both"/>
        <w:rPr>
          <w:rFonts w:ascii="Verdana" w:eastAsia="Calibri" w:hAnsi="Verdana" w:cs="Arial"/>
          <w:sz w:val="21"/>
          <w:szCs w:val="21"/>
          <w:lang w:val="es-ES_tradnl"/>
        </w:rPr>
      </w:pPr>
    </w:p>
    <w:p w14:paraId="5BDB13CD" w14:textId="2037BDD1" w:rsidR="008E6B74" w:rsidRPr="009A2763" w:rsidRDefault="00AF1DB7" w:rsidP="0089458E">
      <w:pPr>
        <w:autoSpaceDE w:val="0"/>
        <w:autoSpaceDN w:val="0"/>
        <w:adjustRightInd w:val="0"/>
        <w:spacing w:line="252" w:lineRule="auto"/>
        <w:jc w:val="both"/>
        <w:rPr>
          <w:rFonts w:ascii="Verdana" w:eastAsia="Calibri" w:hAnsi="Verdana" w:cs="Arial"/>
          <w:b/>
          <w:bCs/>
          <w:sz w:val="21"/>
          <w:szCs w:val="21"/>
          <w:lang w:val="es-CO"/>
        </w:rPr>
      </w:pPr>
      <w:r w:rsidRPr="009A2763">
        <w:rPr>
          <w:rFonts w:ascii="Verdana" w:eastAsia="Calibri" w:hAnsi="Verdana" w:cs="Arial"/>
          <w:b/>
          <w:bCs/>
          <w:sz w:val="21"/>
          <w:szCs w:val="21"/>
          <w:lang w:val="es-CO"/>
        </w:rPr>
        <w:t>h</w:t>
      </w:r>
      <w:r w:rsidR="008E6B74" w:rsidRPr="009A2763">
        <w:rPr>
          <w:rFonts w:ascii="Verdana" w:eastAsia="Calibri" w:hAnsi="Verdana" w:cs="Arial"/>
          <w:b/>
          <w:bCs/>
          <w:sz w:val="21"/>
          <w:szCs w:val="21"/>
          <w:lang w:val="es-CO"/>
        </w:rPr>
        <w:t>. El cumplimiento en el reporte del Boletín de Deudores Morosos del Estado, cuando haya lugar</w:t>
      </w:r>
    </w:p>
    <w:p w14:paraId="20A58E7B" w14:textId="52CE4D64" w:rsidR="008E6B74" w:rsidRPr="009A2763" w:rsidRDefault="008E6B74" w:rsidP="0089458E">
      <w:pPr>
        <w:autoSpaceDE w:val="0"/>
        <w:autoSpaceDN w:val="0"/>
        <w:adjustRightInd w:val="0"/>
        <w:spacing w:line="252" w:lineRule="auto"/>
        <w:jc w:val="both"/>
        <w:rPr>
          <w:rFonts w:ascii="Verdana" w:eastAsia="Calibri" w:hAnsi="Verdana" w:cs="Arial"/>
          <w:b/>
          <w:bCs/>
          <w:sz w:val="21"/>
          <w:szCs w:val="21"/>
          <w:lang w:val="es-CO"/>
        </w:rPr>
      </w:pPr>
    </w:p>
    <w:p w14:paraId="4F7BE4F8" w14:textId="6A93C4A1" w:rsidR="004B59CA" w:rsidRPr="009A2763" w:rsidRDefault="00B732F8" w:rsidP="0089458E">
      <w:pPr>
        <w:autoSpaceDE w:val="0"/>
        <w:autoSpaceDN w:val="0"/>
        <w:adjustRightInd w:val="0"/>
        <w:spacing w:line="252" w:lineRule="auto"/>
        <w:jc w:val="both"/>
        <w:rPr>
          <w:rFonts w:ascii="Verdana" w:eastAsia="Calibri" w:hAnsi="Verdana" w:cs="Arial"/>
          <w:sz w:val="21"/>
          <w:szCs w:val="21"/>
          <w:lang w:val="es-CO"/>
        </w:rPr>
      </w:pPr>
      <w:r w:rsidRPr="009A2763">
        <w:rPr>
          <w:rFonts w:ascii="Verdana" w:eastAsia="Calibri" w:hAnsi="Verdana" w:cs="Arial"/>
          <w:sz w:val="21"/>
          <w:szCs w:val="21"/>
          <w:lang w:val="es-CO"/>
        </w:rPr>
        <w:t>E</w:t>
      </w:r>
      <w:r w:rsidR="0073107C" w:rsidRPr="009A2763">
        <w:rPr>
          <w:rFonts w:ascii="Verdana" w:eastAsia="Calibri" w:hAnsi="Verdana" w:cs="Arial"/>
          <w:sz w:val="21"/>
          <w:szCs w:val="21"/>
          <w:lang w:val="es-CO"/>
        </w:rPr>
        <w:t xml:space="preserve">n virtud de lo establecido en el Parágrafo único del artículo 9º de la Resolución 037 de 2018, expedida por la Contaduría General de la Nación, el cual establece que: </w:t>
      </w:r>
      <w:r w:rsidR="0073107C" w:rsidRPr="009A2763">
        <w:rPr>
          <w:rFonts w:ascii="Verdana" w:eastAsia="Calibri" w:hAnsi="Verdana" w:cs="Arial"/>
          <w:i/>
          <w:iCs/>
          <w:sz w:val="21"/>
          <w:szCs w:val="21"/>
          <w:lang w:val="es-CO"/>
        </w:rPr>
        <w:t>“La entidad pública que en la respectiva fecha de corte y de reporte del BDME no tiene deudores que cumplan con las condiciones establecidas en las normas legales, no está obligada a reportar en ceros ningún formulario”</w:t>
      </w:r>
      <w:r w:rsidR="0073107C" w:rsidRPr="009A2763">
        <w:rPr>
          <w:rFonts w:ascii="Verdana" w:eastAsia="Calibri" w:hAnsi="Verdana" w:cs="Arial"/>
          <w:sz w:val="21"/>
          <w:szCs w:val="21"/>
          <w:lang w:val="es-CO"/>
        </w:rPr>
        <w:t xml:space="preserve">, no se ha requerido el envío del </w:t>
      </w:r>
      <w:r w:rsidR="004B59CA" w:rsidRPr="009A2763">
        <w:rPr>
          <w:rFonts w:ascii="Verdana" w:eastAsia="Calibri" w:hAnsi="Verdana" w:cs="Arial"/>
          <w:sz w:val="21"/>
          <w:szCs w:val="21"/>
          <w:lang w:val="es-CO"/>
        </w:rPr>
        <w:t>reporte del Boletín de Deudores Morosos del Estado</w:t>
      </w:r>
      <w:r w:rsidR="0073107C" w:rsidRPr="009A2763">
        <w:rPr>
          <w:rFonts w:ascii="Verdana" w:eastAsia="Calibri" w:hAnsi="Verdana" w:cs="Arial"/>
          <w:sz w:val="21"/>
          <w:szCs w:val="21"/>
          <w:lang w:val="es-CO"/>
        </w:rPr>
        <w:t xml:space="preserve"> a </w:t>
      </w:r>
      <w:r w:rsidR="004B59CA" w:rsidRPr="009A2763">
        <w:rPr>
          <w:rFonts w:ascii="Verdana" w:eastAsia="Calibri" w:hAnsi="Verdana" w:cs="Arial"/>
          <w:sz w:val="21"/>
          <w:szCs w:val="21"/>
          <w:lang w:val="es-CO"/>
        </w:rPr>
        <w:t xml:space="preserve">través del </w:t>
      </w:r>
      <w:r w:rsidR="007D6F23" w:rsidRPr="009A2763">
        <w:rPr>
          <w:rFonts w:ascii="Verdana" w:hAnsi="Verdana" w:cs="Arial"/>
          <w:sz w:val="21"/>
          <w:szCs w:val="21"/>
        </w:rPr>
        <w:t xml:space="preserve">Sistema Consolidador de Hacienda e Información Pública (CHIP). </w:t>
      </w:r>
    </w:p>
    <w:p w14:paraId="67347588" w14:textId="77777777" w:rsidR="008E6B74" w:rsidRPr="009A2763" w:rsidRDefault="008E6B74" w:rsidP="0089458E">
      <w:pPr>
        <w:autoSpaceDE w:val="0"/>
        <w:autoSpaceDN w:val="0"/>
        <w:adjustRightInd w:val="0"/>
        <w:spacing w:line="252" w:lineRule="auto"/>
        <w:jc w:val="both"/>
        <w:rPr>
          <w:rFonts w:ascii="Verdana" w:eastAsia="Calibri" w:hAnsi="Verdana" w:cs="Arial"/>
          <w:b/>
          <w:bCs/>
          <w:sz w:val="21"/>
          <w:szCs w:val="21"/>
          <w:lang w:val="es-CO"/>
        </w:rPr>
      </w:pPr>
    </w:p>
    <w:p w14:paraId="541045B0" w14:textId="290F6273" w:rsidR="00BA0BE3" w:rsidRPr="009A2763" w:rsidRDefault="00AF1DB7" w:rsidP="0089458E">
      <w:pPr>
        <w:autoSpaceDE w:val="0"/>
        <w:autoSpaceDN w:val="0"/>
        <w:adjustRightInd w:val="0"/>
        <w:spacing w:line="252" w:lineRule="auto"/>
        <w:jc w:val="both"/>
        <w:rPr>
          <w:rFonts w:ascii="Verdana" w:eastAsia="Calibri" w:hAnsi="Verdana" w:cs="Arial"/>
          <w:b/>
          <w:bCs/>
          <w:sz w:val="21"/>
          <w:szCs w:val="21"/>
          <w:lang w:val="es-CO"/>
        </w:rPr>
      </w:pPr>
      <w:r w:rsidRPr="009A2763">
        <w:rPr>
          <w:rFonts w:ascii="Verdana" w:eastAsia="Calibri" w:hAnsi="Verdana" w:cs="Arial"/>
          <w:b/>
          <w:bCs/>
          <w:sz w:val="21"/>
          <w:szCs w:val="21"/>
          <w:lang w:val="es-CO"/>
        </w:rPr>
        <w:t>i</w:t>
      </w:r>
      <w:r w:rsidR="008E6B74" w:rsidRPr="009A2763">
        <w:rPr>
          <w:rFonts w:ascii="Verdana" w:eastAsia="Calibri" w:hAnsi="Verdana" w:cs="Arial"/>
          <w:b/>
          <w:bCs/>
          <w:sz w:val="21"/>
          <w:szCs w:val="21"/>
          <w:lang w:val="es-CO"/>
        </w:rPr>
        <w:t xml:space="preserve">. </w:t>
      </w:r>
      <w:r w:rsidR="001C4236" w:rsidRPr="009A2763">
        <w:rPr>
          <w:rFonts w:ascii="Verdana" w:eastAsia="Calibri" w:hAnsi="Verdana" w:cs="Arial"/>
          <w:b/>
          <w:bCs/>
          <w:sz w:val="21"/>
          <w:szCs w:val="21"/>
          <w:lang w:val="es-CO"/>
        </w:rPr>
        <w:t>La descripción del avance en la ejecución de planes de mejoramiento suscritos con organismos de control o con la auditoría interna o externa, si existen.</w:t>
      </w:r>
    </w:p>
    <w:p w14:paraId="52309323" w14:textId="77777777" w:rsidR="001C4236" w:rsidRPr="009A2763" w:rsidRDefault="001C4236" w:rsidP="0089458E">
      <w:pPr>
        <w:autoSpaceDE w:val="0"/>
        <w:autoSpaceDN w:val="0"/>
        <w:adjustRightInd w:val="0"/>
        <w:spacing w:line="252" w:lineRule="auto"/>
        <w:jc w:val="both"/>
        <w:rPr>
          <w:rFonts w:ascii="Verdana" w:eastAsia="Calibri" w:hAnsi="Verdana" w:cs="Arial"/>
          <w:b/>
          <w:bCs/>
          <w:sz w:val="21"/>
          <w:szCs w:val="21"/>
          <w:lang w:val="es-CO"/>
        </w:rPr>
      </w:pPr>
    </w:p>
    <w:p w14:paraId="13679F49" w14:textId="30D3C7B3" w:rsidR="009D1CD4" w:rsidRPr="009A2763" w:rsidRDefault="009D1CD4" w:rsidP="0089458E">
      <w:pPr>
        <w:autoSpaceDE w:val="0"/>
        <w:autoSpaceDN w:val="0"/>
        <w:adjustRightInd w:val="0"/>
        <w:spacing w:line="252" w:lineRule="auto"/>
        <w:jc w:val="both"/>
        <w:rPr>
          <w:rFonts w:ascii="Verdana" w:eastAsia="Calibri" w:hAnsi="Verdana" w:cs="Arial"/>
          <w:sz w:val="21"/>
          <w:szCs w:val="21"/>
          <w:lang w:val="es-CO"/>
        </w:rPr>
      </w:pPr>
      <w:r w:rsidRPr="009A2763">
        <w:rPr>
          <w:rFonts w:ascii="Verdana" w:hAnsi="Verdana" w:cs="Arial"/>
          <w:sz w:val="21"/>
          <w:szCs w:val="21"/>
        </w:rPr>
        <w:t>Sobre el particular es preciso señalar que a</w:t>
      </w:r>
      <w:r w:rsidR="00784AE3" w:rsidRPr="009A2763">
        <w:rPr>
          <w:rFonts w:ascii="Verdana" w:hAnsi="Verdana" w:cs="Arial"/>
          <w:sz w:val="21"/>
          <w:szCs w:val="21"/>
        </w:rPr>
        <w:t xml:space="preserve"> la fecha no se tienen planes de mejoramiento suscritos </w:t>
      </w:r>
      <w:r w:rsidRPr="009A2763">
        <w:rPr>
          <w:rFonts w:ascii="Verdana" w:hAnsi="Verdana" w:cs="Arial"/>
          <w:sz w:val="21"/>
          <w:szCs w:val="21"/>
        </w:rPr>
        <w:t xml:space="preserve">ni </w:t>
      </w:r>
      <w:r w:rsidR="00784AE3" w:rsidRPr="009A2763">
        <w:rPr>
          <w:rFonts w:ascii="Verdana" w:hAnsi="Verdana" w:cs="Arial"/>
          <w:sz w:val="21"/>
          <w:szCs w:val="21"/>
        </w:rPr>
        <w:t xml:space="preserve">con la </w:t>
      </w:r>
      <w:r w:rsidR="00591435" w:rsidRPr="009A2763">
        <w:rPr>
          <w:rFonts w:ascii="Verdana" w:hAnsi="Verdana" w:cs="Arial"/>
          <w:sz w:val="21"/>
          <w:szCs w:val="21"/>
        </w:rPr>
        <w:t>Contraloría General de la República</w:t>
      </w:r>
      <w:r w:rsidRPr="009A2763">
        <w:rPr>
          <w:rFonts w:ascii="Verdana" w:hAnsi="Verdana" w:cs="Arial"/>
          <w:sz w:val="21"/>
          <w:szCs w:val="21"/>
        </w:rPr>
        <w:t xml:space="preserve"> ni con la Oficina de Control Interno del Ministerio de Hacienda y Crédito Público. </w:t>
      </w:r>
    </w:p>
    <w:p w14:paraId="07DB7877" w14:textId="62092BD8" w:rsidR="0069159F" w:rsidRPr="009A2763" w:rsidRDefault="0069159F" w:rsidP="0089458E">
      <w:pPr>
        <w:autoSpaceDE w:val="0"/>
        <w:autoSpaceDN w:val="0"/>
        <w:adjustRightInd w:val="0"/>
        <w:spacing w:line="252" w:lineRule="auto"/>
        <w:jc w:val="both"/>
        <w:rPr>
          <w:rFonts w:ascii="Verdana" w:eastAsia="Calibri" w:hAnsi="Verdana" w:cs="Arial"/>
          <w:sz w:val="21"/>
          <w:szCs w:val="21"/>
          <w:lang w:val="es-CO"/>
        </w:rPr>
      </w:pPr>
    </w:p>
    <w:p w14:paraId="67903445" w14:textId="5D0DA71E" w:rsidR="004568C9" w:rsidRPr="009A2763" w:rsidRDefault="002E732D" w:rsidP="0089458E">
      <w:pPr>
        <w:autoSpaceDE w:val="0"/>
        <w:autoSpaceDN w:val="0"/>
        <w:adjustRightInd w:val="0"/>
        <w:spacing w:line="252" w:lineRule="auto"/>
        <w:jc w:val="both"/>
        <w:rPr>
          <w:rFonts w:ascii="Verdana" w:eastAsia="Times New Roman" w:hAnsi="Verdana" w:cs="Arial"/>
          <w:b/>
          <w:bCs/>
          <w:color w:val="000000"/>
          <w:sz w:val="21"/>
          <w:szCs w:val="21"/>
          <w:u w:val="single"/>
          <w:lang w:val="es-CO" w:eastAsia="es-CO"/>
        </w:rPr>
      </w:pPr>
      <w:r w:rsidRPr="009A2763">
        <w:rPr>
          <w:rFonts w:ascii="Verdana" w:hAnsi="Verdana" w:cs="Arial"/>
          <w:b/>
          <w:bCs/>
          <w:sz w:val="21"/>
          <w:szCs w:val="21"/>
          <w:u w:val="single"/>
        </w:rPr>
        <w:t>Anexos informe contable FONSE</w:t>
      </w:r>
      <w:r w:rsidR="004568C9" w:rsidRPr="009A2763">
        <w:rPr>
          <w:rFonts w:ascii="Verdana" w:eastAsia="Times New Roman" w:hAnsi="Verdana" w:cs="Arial"/>
          <w:b/>
          <w:bCs/>
          <w:color w:val="000000"/>
          <w:sz w:val="21"/>
          <w:szCs w:val="21"/>
          <w:u w:val="single"/>
          <w:lang w:val="es-CO" w:eastAsia="es-CO"/>
        </w:rPr>
        <w:t xml:space="preserve"> </w:t>
      </w:r>
    </w:p>
    <w:p w14:paraId="34989712" w14:textId="2BDE43FA" w:rsidR="004568C9" w:rsidRPr="009A2763" w:rsidRDefault="004568C9" w:rsidP="0089458E">
      <w:pPr>
        <w:autoSpaceDE w:val="0"/>
        <w:autoSpaceDN w:val="0"/>
        <w:adjustRightInd w:val="0"/>
        <w:spacing w:line="252" w:lineRule="auto"/>
        <w:jc w:val="both"/>
        <w:rPr>
          <w:rFonts w:ascii="Verdana" w:eastAsia="Times New Roman" w:hAnsi="Verdana" w:cs="Arial"/>
          <w:b/>
          <w:bCs/>
          <w:color w:val="000000"/>
          <w:sz w:val="21"/>
          <w:szCs w:val="21"/>
          <w:u w:val="single"/>
          <w:lang w:val="es-CO" w:eastAsia="es-CO"/>
        </w:rPr>
      </w:pPr>
    </w:p>
    <w:p w14:paraId="155B4BD4" w14:textId="5EC50F7F" w:rsidR="00270DAF" w:rsidRPr="009A2763" w:rsidRDefault="003F0147" w:rsidP="0089458E">
      <w:pPr>
        <w:autoSpaceDE w:val="0"/>
        <w:autoSpaceDN w:val="0"/>
        <w:spacing w:line="252" w:lineRule="auto"/>
        <w:jc w:val="both"/>
        <w:rPr>
          <w:rFonts w:ascii="Verdana" w:hAnsi="Verdana" w:cs="Arial"/>
          <w:sz w:val="21"/>
          <w:szCs w:val="21"/>
        </w:rPr>
      </w:pPr>
      <w:r w:rsidRPr="009A2763">
        <w:rPr>
          <w:rFonts w:ascii="Verdana" w:hAnsi="Verdana" w:cs="Arial"/>
          <w:sz w:val="21"/>
          <w:szCs w:val="21"/>
        </w:rPr>
        <w:t xml:space="preserve">De otra parte, y en virtud de lo señalado por la Contaduría General de la Nación, </w:t>
      </w:r>
      <w:r w:rsidR="005D2662" w:rsidRPr="009A2763">
        <w:rPr>
          <w:rFonts w:ascii="Verdana" w:hAnsi="Verdana" w:cs="Arial"/>
          <w:sz w:val="21"/>
          <w:szCs w:val="21"/>
        </w:rPr>
        <w:t xml:space="preserve">en la carpeta denominada </w:t>
      </w:r>
      <w:bookmarkStart w:id="2" w:name="_Hlk72244304"/>
      <w:r w:rsidR="006C327A" w:rsidRPr="009A2763">
        <w:rPr>
          <w:rFonts w:ascii="Verdana" w:hAnsi="Verdana" w:cs="Arial"/>
          <w:b/>
          <w:bCs/>
          <w:i/>
          <w:iCs/>
          <w:sz w:val="21"/>
          <w:szCs w:val="21"/>
        </w:rPr>
        <w:t>Anexos Informe Contable por cambio de RL FONSE</w:t>
      </w:r>
      <w:r w:rsidR="006C327A" w:rsidRPr="009A2763">
        <w:rPr>
          <w:rFonts w:ascii="Verdana" w:hAnsi="Verdana" w:cs="Arial"/>
          <w:sz w:val="21"/>
          <w:szCs w:val="21"/>
        </w:rPr>
        <w:t xml:space="preserve"> </w:t>
      </w:r>
      <w:bookmarkEnd w:id="2"/>
      <w:r w:rsidRPr="009A2763">
        <w:rPr>
          <w:rFonts w:ascii="Verdana" w:hAnsi="Verdana" w:cs="Arial"/>
          <w:sz w:val="21"/>
          <w:szCs w:val="21"/>
        </w:rPr>
        <w:t>se adjuntan los siguientes documentos como parte integral del presente informe</w:t>
      </w:r>
      <w:r w:rsidR="00C23970" w:rsidRPr="009A2763">
        <w:rPr>
          <w:rFonts w:ascii="Verdana" w:hAnsi="Verdana" w:cs="Arial"/>
          <w:sz w:val="21"/>
          <w:szCs w:val="21"/>
        </w:rPr>
        <w:t xml:space="preserve"> contable</w:t>
      </w:r>
      <w:r w:rsidR="00C16514" w:rsidRPr="009A2763">
        <w:rPr>
          <w:rFonts w:ascii="Verdana" w:hAnsi="Verdana" w:cs="Arial"/>
          <w:sz w:val="21"/>
          <w:szCs w:val="21"/>
        </w:rPr>
        <w:t xml:space="preserve"> por cambio de representante legal</w:t>
      </w:r>
      <w:r w:rsidRPr="009A2763">
        <w:rPr>
          <w:rFonts w:ascii="Verdana" w:hAnsi="Verdana" w:cs="Arial"/>
          <w:sz w:val="21"/>
          <w:szCs w:val="21"/>
        </w:rPr>
        <w:t xml:space="preserve">: </w:t>
      </w:r>
    </w:p>
    <w:p w14:paraId="33BC6875" w14:textId="5E0031C2" w:rsidR="003F0147" w:rsidRPr="009A2763" w:rsidRDefault="003F0147" w:rsidP="0089458E">
      <w:pPr>
        <w:autoSpaceDE w:val="0"/>
        <w:autoSpaceDN w:val="0"/>
        <w:spacing w:line="252" w:lineRule="auto"/>
        <w:rPr>
          <w:rFonts w:ascii="Verdana" w:hAnsi="Verdana" w:cs="Arial"/>
          <w:color w:val="FF0000"/>
          <w:sz w:val="21"/>
          <w:szCs w:val="21"/>
        </w:rPr>
      </w:pPr>
    </w:p>
    <w:p w14:paraId="0DDE0708" w14:textId="49111AF1" w:rsidR="00063C8C" w:rsidRPr="009A2763" w:rsidRDefault="00063C8C" w:rsidP="0089458E">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9A2763">
        <w:rPr>
          <w:rFonts w:ascii="Verdana" w:eastAsia="Calibri" w:hAnsi="Verdana" w:cs="Arial"/>
          <w:b/>
          <w:bCs/>
          <w:sz w:val="21"/>
          <w:szCs w:val="21"/>
          <w:lang w:val="es-CO"/>
        </w:rPr>
        <w:t xml:space="preserve">El juego completo </w:t>
      </w:r>
      <w:r w:rsidR="00DF03C2" w:rsidRPr="009A2763">
        <w:rPr>
          <w:rFonts w:ascii="Verdana" w:eastAsia="Calibri" w:hAnsi="Verdana" w:cs="Arial"/>
          <w:b/>
          <w:bCs/>
          <w:sz w:val="21"/>
          <w:szCs w:val="21"/>
          <w:lang w:val="es-CO"/>
        </w:rPr>
        <w:t>de estados financieros elaborados con corte a 31 de diciembre del año inmediatamente anterior a la fecha del cambio de representante legal, conforme al marco normativo aplicable.</w:t>
      </w:r>
    </w:p>
    <w:p w14:paraId="7B664A38" w14:textId="77777777" w:rsidR="00091B81" w:rsidRPr="009A2763" w:rsidRDefault="00091B81" w:rsidP="0089458E">
      <w:pPr>
        <w:autoSpaceDE w:val="0"/>
        <w:autoSpaceDN w:val="0"/>
        <w:adjustRightInd w:val="0"/>
        <w:spacing w:line="252" w:lineRule="auto"/>
        <w:ind w:left="284" w:hanging="284"/>
        <w:rPr>
          <w:rFonts w:ascii="Verdana" w:eastAsia="Calibri" w:hAnsi="Verdana" w:cs="Arial"/>
          <w:b/>
          <w:bCs/>
          <w:sz w:val="21"/>
          <w:szCs w:val="21"/>
          <w:lang w:val="es-CO"/>
        </w:rPr>
      </w:pPr>
    </w:p>
    <w:p w14:paraId="7D55C128" w14:textId="46EA4189" w:rsidR="00D252F4" w:rsidRPr="009A2763" w:rsidRDefault="009274A6" w:rsidP="0089458E">
      <w:pPr>
        <w:pStyle w:val="Prrafodelista"/>
        <w:autoSpaceDE w:val="0"/>
        <w:autoSpaceDN w:val="0"/>
        <w:adjustRightInd w:val="0"/>
        <w:spacing w:line="252" w:lineRule="auto"/>
        <w:ind w:left="284"/>
        <w:jc w:val="both"/>
        <w:rPr>
          <w:rFonts w:ascii="Verdana" w:eastAsia="Calibri" w:hAnsi="Verdana" w:cs="Arial"/>
          <w:sz w:val="21"/>
          <w:szCs w:val="21"/>
          <w:lang w:val="es-CO"/>
        </w:rPr>
      </w:pPr>
      <w:r w:rsidRPr="009A2763">
        <w:rPr>
          <w:rFonts w:ascii="Verdana" w:eastAsia="Calibri" w:hAnsi="Verdana" w:cs="Arial"/>
          <w:sz w:val="21"/>
          <w:szCs w:val="21"/>
          <w:lang w:val="es-CO"/>
        </w:rPr>
        <w:t xml:space="preserve">Teniendo en cuenta que el cambio de representante legal se produce en diciembre de 2024, en documento adjunto denominado </w:t>
      </w:r>
      <w:r w:rsidR="004B4380" w:rsidRPr="009A2763">
        <w:rPr>
          <w:rFonts w:ascii="Verdana" w:eastAsia="Calibri" w:hAnsi="Verdana" w:cs="Arial"/>
          <w:b/>
          <w:bCs/>
          <w:i/>
          <w:iCs/>
          <w:sz w:val="21"/>
          <w:szCs w:val="21"/>
          <w:lang w:val="es-CO"/>
        </w:rPr>
        <w:t xml:space="preserve">Anexo </w:t>
      </w:r>
      <w:r w:rsidR="0062513D" w:rsidRPr="009A2763">
        <w:rPr>
          <w:rFonts w:ascii="Verdana" w:eastAsia="Calibri" w:hAnsi="Verdana" w:cs="Arial"/>
          <w:b/>
          <w:bCs/>
          <w:i/>
          <w:iCs/>
          <w:sz w:val="21"/>
          <w:szCs w:val="21"/>
          <w:lang w:val="es-CO"/>
        </w:rPr>
        <w:t xml:space="preserve">1. Estados Financieros FONSE </w:t>
      </w:r>
      <w:r w:rsidR="00B41BDA" w:rsidRPr="009A2763">
        <w:rPr>
          <w:rFonts w:ascii="Verdana" w:eastAsia="Calibri" w:hAnsi="Verdana" w:cs="Arial"/>
          <w:b/>
          <w:bCs/>
          <w:i/>
          <w:iCs/>
          <w:sz w:val="21"/>
          <w:szCs w:val="21"/>
          <w:lang w:val="es-CO"/>
        </w:rPr>
        <w:t xml:space="preserve">Diciembre </w:t>
      </w:r>
      <w:r w:rsidR="0062513D" w:rsidRPr="009A2763">
        <w:rPr>
          <w:rFonts w:ascii="Verdana" w:eastAsia="Calibri" w:hAnsi="Verdana" w:cs="Arial"/>
          <w:b/>
          <w:bCs/>
          <w:i/>
          <w:iCs/>
          <w:sz w:val="21"/>
          <w:szCs w:val="21"/>
          <w:lang w:val="es-CO"/>
        </w:rPr>
        <w:t>202</w:t>
      </w:r>
      <w:r w:rsidR="004E1F46" w:rsidRPr="009A2763">
        <w:rPr>
          <w:rFonts w:ascii="Verdana" w:eastAsia="Calibri" w:hAnsi="Verdana" w:cs="Arial"/>
          <w:b/>
          <w:bCs/>
          <w:i/>
          <w:iCs/>
          <w:sz w:val="21"/>
          <w:szCs w:val="21"/>
          <w:lang w:val="es-CO"/>
        </w:rPr>
        <w:t>3,</w:t>
      </w:r>
      <w:r w:rsidR="004B4380" w:rsidRPr="009A2763">
        <w:rPr>
          <w:rFonts w:ascii="Verdana" w:eastAsia="Calibri" w:hAnsi="Verdana" w:cs="Arial"/>
          <w:b/>
          <w:bCs/>
          <w:i/>
          <w:iCs/>
          <w:sz w:val="21"/>
          <w:szCs w:val="21"/>
          <w:lang w:val="es-CO"/>
        </w:rPr>
        <w:t xml:space="preserve"> </w:t>
      </w:r>
      <w:r w:rsidR="004B4380" w:rsidRPr="009A2763">
        <w:rPr>
          <w:rFonts w:ascii="Verdana" w:eastAsia="Calibri" w:hAnsi="Verdana" w:cs="Arial"/>
          <w:sz w:val="21"/>
          <w:szCs w:val="21"/>
          <w:lang w:val="es-CO"/>
        </w:rPr>
        <w:t>se remite</w:t>
      </w:r>
      <w:r w:rsidR="00063C8C" w:rsidRPr="009A2763">
        <w:rPr>
          <w:rFonts w:ascii="Verdana" w:eastAsia="Calibri" w:hAnsi="Verdana" w:cs="Arial"/>
          <w:sz w:val="21"/>
          <w:szCs w:val="21"/>
          <w:lang w:val="es-CO"/>
        </w:rPr>
        <w:t xml:space="preserve"> el juego completo de estados financieros con corte a 31 de diciembre de 202</w:t>
      </w:r>
      <w:r w:rsidR="00444FA4" w:rsidRPr="009A2763">
        <w:rPr>
          <w:rFonts w:ascii="Verdana" w:eastAsia="Calibri" w:hAnsi="Verdana" w:cs="Arial"/>
          <w:sz w:val="21"/>
          <w:szCs w:val="21"/>
          <w:lang w:val="es-CO"/>
        </w:rPr>
        <w:t>3</w:t>
      </w:r>
      <w:r w:rsidR="00063C8C" w:rsidRPr="009A2763">
        <w:rPr>
          <w:rFonts w:ascii="Verdana" w:eastAsia="Calibri" w:hAnsi="Verdana" w:cs="Arial"/>
          <w:sz w:val="21"/>
          <w:szCs w:val="21"/>
          <w:lang w:val="es-CO"/>
        </w:rPr>
        <w:t xml:space="preserve">, elaborado de conformidad con lo establecido en el Marco </w:t>
      </w:r>
      <w:r w:rsidR="00063C8C" w:rsidRPr="009A2763">
        <w:rPr>
          <w:rFonts w:ascii="Verdana" w:eastAsia="Calibri" w:hAnsi="Verdana" w:cs="Arial"/>
          <w:sz w:val="21"/>
          <w:szCs w:val="21"/>
          <w:lang w:val="es-CO"/>
        </w:rPr>
        <w:lastRenderedPageBreak/>
        <w:t>Normativo Contable aplicable a Entidades de Gobierno</w:t>
      </w:r>
      <w:r w:rsidR="007C269A" w:rsidRPr="009A2763">
        <w:rPr>
          <w:rFonts w:ascii="Verdana" w:eastAsia="Calibri" w:hAnsi="Verdana" w:cs="Arial"/>
          <w:sz w:val="21"/>
          <w:szCs w:val="21"/>
          <w:lang w:val="es-CO"/>
        </w:rPr>
        <w:t xml:space="preserve">, y publicado en el siguiente </w:t>
      </w:r>
      <w:hyperlink r:id="rId12" w:history="1">
        <w:r w:rsidR="007C269A" w:rsidRPr="009A2763">
          <w:rPr>
            <w:rStyle w:val="Hipervnculo"/>
            <w:rFonts w:ascii="Verdana" w:eastAsia="Calibri" w:hAnsi="Verdana" w:cs="Arial"/>
            <w:sz w:val="21"/>
            <w:szCs w:val="21"/>
            <w:lang w:val="es-CO"/>
          </w:rPr>
          <w:t>enlace</w:t>
        </w:r>
      </w:hyperlink>
      <w:r w:rsidR="007C269A" w:rsidRPr="009A2763">
        <w:rPr>
          <w:rFonts w:ascii="Verdana" w:eastAsia="Calibri" w:hAnsi="Verdana" w:cs="Arial"/>
          <w:sz w:val="21"/>
          <w:szCs w:val="21"/>
          <w:lang w:val="es-CO"/>
        </w:rPr>
        <w:t xml:space="preserve"> de la página web del Ministerio de Hacienda y Crédito Público</w:t>
      </w:r>
      <w:r w:rsidR="004602BF" w:rsidRPr="009A2763">
        <w:rPr>
          <w:rFonts w:ascii="Verdana" w:eastAsia="Calibri" w:hAnsi="Verdana" w:cs="Arial"/>
          <w:sz w:val="21"/>
          <w:szCs w:val="21"/>
          <w:lang w:val="es-CO"/>
        </w:rPr>
        <w:t>.</w:t>
      </w:r>
    </w:p>
    <w:p w14:paraId="7A0D879C" w14:textId="77777777" w:rsidR="00D252F4" w:rsidRPr="009A2763" w:rsidRDefault="00D252F4" w:rsidP="0089458E">
      <w:pPr>
        <w:pStyle w:val="Prrafodelista"/>
        <w:autoSpaceDE w:val="0"/>
        <w:autoSpaceDN w:val="0"/>
        <w:adjustRightInd w:val="0"/>
        <w:spacing w:line="252" w:lineRule="auto"/>
        <w:ind w:left="284"/>
        <w:jc w:val="both"/>
        <w:rPr>
          <w:rFonts w:ascii="Verdana" w:eastAsia="Calibri" w:hAnsi="Verdana" w:cs="Arial"/>
          <w:sz w:val="21"/>
          <w:szCs w:val="21"/>
          <w:lang w:val="es-CO"/>
        </w:rPr>
      </w:pPr>
    </w:p>
    <w:p w14:paraId="11A0C13E" w14:textId="77777777" w:rsidR="00D6120D" w:rsidRPr="009A2763" w:rsidRDefault="00D6120D" w:rsidP="0089458E">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9A2763">
        <w:rPr>
          <w:rFonts w:ascii="Verdana" w:eastAsia="Calibri" w:hAnsi="Verdana" w:cs="Arial"/>
          <w:b/>
          <w:bCs/>
          <w:sz w:val="21"/>
          <w:szCs w:val="21"/>
          <w:lang w:val="es-CO"/>
        </w:rPr>
        <w:t>El dictamen del revisor fiscal, cuando haya lugar, sobre los estados financieros de la entidad con corte a 31 de diciembre del año inmediatamente anterior a la fecha del cambio de representante legal.</w:t>
      </w:r>
    </w:p>
    <w:p w14:paraId="75047DE0" w14:textId="77777777" w:rsidR="00401D26" w:rsidRPr="009A2763" w:rsidRDefault="00401D26" w:rsidP="0089458E">
      <w:pPr>
        <w:autoSpaceDE w:val="0"/>
        <w:autoSpaceDN w:val="0"/>
        <w:adjustRightInd w:val="0"/>
        <w:spacing w:line="252" w:lineRule="auto"/>
        <w:rPr>
          <w:rFonts w:ascii="Verdana" w:eastAsia="Calibri" w:hAnsi="Verdana" w:cs="Arial"/>
          <w:sz w:val="21"/>
          <w:szCs w:val="21"/>
          <w:lang w:val="es-CO"/>
        </w:rPr>
      </w:pPr>
    </w:p>
    <w:p w14:paraId="6E8FF7C7" w14:textId="5A927CDF" w:rsidR="00401D26" w:rsidRPr="009A2763" w:rsidRDefault="00401D26" w:rsidP="0089458E">
      <w:pPr>
        <w:autoSpaceDE w:val="0"/>
        <w:autoSpaceDN w:val="0"/>
        <w:adjustRightInd w:val="0"/>
        <w:spacing w:line="252" w:lineRule="auto"/>
        <w:ind w:left="284"/>
        <w:jc w:val="both"/>
        <w:rPr>
          <w:rFonts w:ascii="Verdana" w:hAnsi="Verdana" w:cs="Arial"/>
          <w:sz w:val="21"/>
          <w:szCs w:val="21"/>
        </w:rPr>
      </w:pPr>
      <w:r w:rsidRPr="009A2763">
        <w:rPr>
          <w:rFonts w:ascii="Verdana" w:eastAsia="Times New Roman" w:hAnsi="Verdana" w:cs="Arial"/>
          <w:color w:val="000000"/>
          <w:sz w:val="21"/>
          <w:szCs w:val="21"/>
          <w:lang w:val="es-CO" w:eastAsia="es-CO"/>
        </w:rPr>
        <w:t xml:space="preserve">Este tipo de información no aplica para el </w:t>
      </w:r>
      <w:r w:rsidR="006A4265" w:rsidRPr="009A2763">
        <w:rPr>
          <w:rFonts w:ascii="Verdana" w:hAnsi="Verdana" w:cs="Arial"/>
          <w:sz w:val="21"/>
          <w:szCs w:val="21"/>
        </w:rPr>
        <w:t>Fondo de Sostenibilidad Financiera del Sector Eléctrico (FONSE)</w:t>
      </w:r>
    </w:p>
    <w:p w14:paraId="40CD6F7F" w14:textId="77777777" w:rsidR="006A4265" w:rsidRPr="009A2763" w:rsidRDefault="006A4265" w:rsidP="0089458E">
      <w:pPr>
        <w:autoSpaceDE w:val="0"/>
        <w:autoSpaceDN w:val="0"/>
        <w:adjustRightInd w:val="0"/>
        <w:spacing w:line="252" w:lineRule="auto"/>
        <w:ind w:left="284"/>
        <w:jc w:val="both"/>
        <w:rPr>
          <w:rFonts w:ascii="Verdana" w:eastAsia="Calibri" w:hAnsi="Verdana" w:cs="Arial"/>
          <w:sz w:val="21"/>
          <w:szCs w:val="21"/>
          <w:lang w:val="es-CO"/>
        </w:rPr>
      </w:pPr>
    </w:p>
    <w:p w14:paraId="5930EF1E" w14:textId="77777777" w:rsidR="00307D02" w:rsidRPr="009A2763" w:rsidRDefault="00307D02" w:rsidP="0089458E">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9A2763">
        <w:rPr>
          <w:rFonts w:ascii="Verdana" w:eastAsia="Calibri" w:hAnsi="Verdana" w:cs="Arial"/>
          <w:b/>
          <w:bCs/>
          <w:sz w:val="21"/>
          <w:szCs w:val="21"/>
          <w:lang w:val="es-CO"/>
        </w:rPr>
        <w:t>El informe de control interno contable, realizado con corte a 31 de diciembre del año inmediatamente anterior a la fecha del cambio de representante legal.</w:t>
      </w:r>
    </w:p>
    <w:p w14:paraId="693BF6A7" w14:textId="77777777" w:rsidR="00063C8C" w:rsidRPr="009A2763" w:rsidRDefault="00063C8C" w:rsidP="0089458E">
      <w:pPr>
        <w:pStyle w:val="Prrafodelista"/>
        <w:autoSpaceDE w:val="0"/>
        <w:autoSpaceDN w:val="0"/>
        <w:adjustRightInd w:val="0"/>
        <w:spacing w:line="252" w:lineRule="auto"/>
        <w:jc w:val="both"/>
        <w:rPr>
          <w:rFonts w:ascii="Verdana" w:eastAsia="Calibri" w:hAnsi="Verdana" w:cs="Arial"/>
          <w:b/>
          <w:bCs/>
          <w:sz w:val="21"/>
          <w:szCs w:val="21"/>
          <w:lang w:val="es-CO"/>
        </w:rPr>
      </w:pPr>
    </w:p>
    <w:p w14:paraId="3C7266E5" w14:textId="6296EE1D" w:rsidR="00063C8C" w:rsidRPr="009A2763" w:rsidRDefault="004B4380" w:rsidP="0089458E">
      <w:pPr>
        <w:autoSpaceDE w:val="0"/>
        <w:autoSpaceDN w:val="0"/>
        <w:adjustRightInd w:val="0"/>
        <w:spacing w:line="252" w:lineRule="auto"/>
        <w:ind w:left="284"/>
        <w:jc w:val="both"/>
        <w:rPr>
          <w:rFonts w:ascii="Verdana" w:eastAsia="Calibri" w:hAnsi="Verdana" w:cs="Arial"/>
          <w:sz w:val="21"/>
          <w:szCs w:val="21"/>
          <w:lang w:val="es-CO"/>
        </w:rPr>
      </w:pPr>
      <w:r w:rsidRPr="009A2763">
        <w:rPr>
          <w:rFonts w:ascii="Verdana" w:eastAsia="Calibri" w:hAnsi="Verdana" w:cs="Arial"/>
          <w:sz w:val="21"/>
          <w:szCs w:val="21"/>
          <w:lang w:val="es-CO"/>
        </w:rPr>
        <w:t xml:space="preserve">En documento adjunto denominado </w:t>
      </w:r>
      <w:r w:rsidRPr="009A2763">
        <w:rPr>
          <w:rFonts w:ascii="Verdana" w:eastAsia="Calibri" w:hAnsi="Verdana" w:cs="Arial"/>
          <w:b/>
          <w:bCs/>
          <w:i/>
          <w:iCs/>
          <w:sz w:val="21"/>
          <w:szCs w:val="21"/>
          <w:lang w:val="es-CO"/>
        </w:rPr>
        <w:t xml:space="preserve">Anexo </w:t>
      </w:r>
      <w:r w:rsidR="00BC5BE4" w:rsidRPr="009A2763">
        <w:rPr>
          <w:rFonts w:ascii="Verdana" w:eastAsia="Calibri" w:hAnsi="Verdana" w:cs="Arial"/>
          <w:b/>
          <w:bCs/>
          <w:i/>
          <w:iCs/>
          <w:sz w:val="21"/>
          <w:szCs w:val="21"/>
          <w:lang w:val="es-CO"/>
        </w:rPr>
        <w:t>2</w:t>
      </w:r>
      <w:r w:rsidRPr="009A2763">
        <w:rPr>
          <w:rFonts w:ascii="Verdana" w:eastAsia="Calibri" w:hAnsi="Verdana" w:cs="Arial"/>
          <w:b/>
          <w:bCs/>
          <w:i/>
          <w:iCs/>
          <w:sz w:val="21"/>
          <w:szCs w:val="21"/>
          <w:lang w:val="es-CO"/>
        </w:rPr>
        <w:t xml:space="preserve">. Evaluación de Control Interno Contable </w:t>
      </w:r>
      <w:r w:rsidR="00A0174E" w:rsidRPr="009A2763">
        <w:rPr>
          <w:rFonts w:ascii="Verdana" w:eastAsia="Calibri" w:hAnsi="Verdana" w:cs="Arial"/>
          <w:b/>
          <w:bCs/>
          <w:i/>
          <w:iCs/>
          <w:sz w:val="21"/>
          <w:szCs w:val="21"/>
          <w:lang w:val="es-CO"/>
        </w:rPr>
        <w:t>diciembre</w:t>
      </w:r>
      <w:r w:rsidRPr="009A2763">
        <w:rPr>
          <w:rFonts w:ascii="Verdana" w:eastAsia="Calibri" w:hAnsi="Verdana" w:cs="Arial"/>
          <w:b/>
          <w:bCs/>
          <w:i/>
          <w:iCs/>
          <w:sz w:val="21"/>
          <w:szCs w:val="21"/>
          <w:lang w:val="es-CO"/>
        </w:rPr>
        <w:t xml:space="preserve"> 202</w:t>
      </w:r>
      <w:r w:rsidR="00307D02" w:rsidRPr="009A2763">
        <w:rPr>
          <w:rFonts w:ascii="Verdana" w:eastAsia="Calibri" w:hAnsi="Verdana" w:cs="Arial"/>
          <w:b/>
          <w:bCs/>
          <w:i/>
          <w:iCs/>
          <w:sz w:val="21"/>
          <w:szCs w:val="21"/>
          <w:lang w:val="es-CO"/>
        </w:rPr>
        <w:t>3</w:t>
      </w:r>
      <w:r w:rsidRPr="009A2763">
        <w:rPr>
          <w:rFonts w:ascii="Verdana" w:eastAsia="Calibri" w:hAnsi="Verdana" w:cs="Arial"/>
          <w:b/>
          <w:bCs/>
          <w:i/>
          <w:iCs/>
          <w:sz w:val="21"/>
          <w:szCs w:val="21"/>
          <w:lang w:val="es-CO"/>
        </w:rPr>
        <w:t xml:space="preserve"> FONSE, </w:t>
      </w:r>
      <w:r w:rsidRPr="009A2763">
        <w:rPr>
          <w:rFonts w:ascii="Verdana" w:eastAsia="Calibri" w:hAnsi="Verdana" w:cs="Arial"/>
          <w:sz w:val="21"/>
          <w:szCs w:val="21"/>
          <w:lang w:val="es-CO"/>
        </w:rPr>
        <w:t>se remite</w:t>
      </w:r>
      <w:r w:rsidR="00063C8C" w:rsidRPr="009A2763">
        <w:rPr>
          <w:rFonts w:ascii="Verdana" w:eastAsia="Calibri" w:hAnsi="Verdana" w:cs="Arial"/>
          <w:sz w:val="21"/>
          <w:szCs w:val="21"/>
          <w:lang w:val="es-CO"/>
        </w:rPr>
        <w:t xml:space="preserve"> el informe de control interno contable, realizado con corte a 31 de diciembre de 202</w:t>
      </w:r>
      <w:r w:rsidR="00307D02" w:rsidRPr="009A2763">
        <w:rPr>
          <w:rFonts w:ascii="Verdana" w:eastAsia="Calibri" w:hAnsi="Verdana" w:cs="Arial"/>
          <w:sz w:val="21"/>
          <w:szCs w:val="21"/>
          <w:lang w:val="es-CO"/>
        </w:rPr>
        <w:t>3</w:t>
      </w:r>
      <w:r w:rsidR="00063C8C" w:rsidRPr="009A2763">
        <w:rPr>
          <w:rFonts w:ascii="Verdana" w:eastAsia="Calibri" w:hAnsi="Verdana" w:cs="Arial"/>
          <w:sz w:val="21"/>
          <w:szCs w:val="21"/>
          <w:lang w:val="es-CO"/>
        </w:rPr>
        <w:t xml:space="preserve">. </w:t>
      </w:r>
    </w:p>
    <w:p w14:paraId="6E9906CA" w14:textId="77777777" w:rsidR="005A26B4" w:rsidRPr="009A2763" w:rsidRDefault="005A26B4" w:rsidP="0089458E">
      <w:pPr>
        <w:autoSpaceDE w:val="0"/>
        <w:autoSpaceDN w:val="0"/>
        <w:adjustRightInd w:val="0"/>
        <w:spacing w:line="252" w:lineRule="auto"/>
        <w:ind w:left="284" w:hanging="284"/>
        <w:jc w:val="both"/>
        <w:rPr>
          <w:rFonts w:ascii="Verdana" w:eastAsia="Calibri" w:hAnsi="Verdana" w:cs="Arial"/>
          <w:sz w:val="21"/>
          <w:szCs w:val="21"/>
          <w:lang w:val="es-CO"/>
        </w:rPr>
      </w:pPr>
    </w:p>
    <w:p w14:paraId="14EF3912" w14:textId="77777777" w:rsidR="00F055E4" w:rsidRPr="009A2763" w:rsidRDefault="00F055E4" w:rsidP="0089458E">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9A2763">
        <w:rPr>
          <w:rFonts w:ascii="Verdana" w:eastAsia="Calibri" w:hAnsi="Verdana" w:cs="Arial"/>
          <w:b/>
          <w:bCs/>
          <w:sz w:val="21"/>
          <w:szCs w:val="21"/>
          <w:lang w:val="es-CO"/>
        </w:rPr>
        <w:t xml:space="preserve">Los últimos informes financieros y contables publicados, cuando la entidad deba publicar dichos informes conforme a las disposiciones legales vigentes </w:t>
      </w:r>
    </w:p>
    <w:p w14:paraId="4A889687" w14:textId="1975C94D" w:rsidR="00063C8C" w:rsidRPr="009A2763" w:rsidRDefault="00063C8C" w:rsidP="0089458E">
      <w:pPr>
        <w:pStyle w:val="Prrafodelista"/>
        <w:autoSpaceDE w:val="0"/>
        <w:autoSpaceDN w:val="0"/>
        <w:adjustRightInd w:val="0"/>
        <w:spacing w:line="252" w:lineRule="auto"/>
        <w:ind w:left="284"/>
        <w:jc w:val="both"/>
        <w:rPr>
          <w:rFonts w:ascii="Verdana" w:eastAsia="Calibri" w:hAnsi="Verdana" w:cs="Arial"/>
          <w:b/>
          <w:bCs/>
          <w:sz w:val="21"/>
          <w:szCs w:val="21"/>
          <w:lang w:val="es-CO"/>
        </w:rPr>
      </w:pPr>
    </w:p>
    <w:p w14:paraId="04292C99" w14:textId="77777777" w:rsidR="00681757" w:rsidRPr="009A2763" w:rsidRDefault="00681757" w:rsidP="0089458E">
      <w:pPr>
        <w:pStyle w:val="Sinespaciado"/>
        <w:spacing w:line="252" w:lineRule="auto"/>
        <w:ind w:left="284"/>
        <w:jc w:val="both"/>
        <w:rPr>
          <w:rFonts w:ascii="Verdana" w:hAnsi="Verdana" w:cs="Arial"/>
          <w:sz w:val="21"/>
          <w:szCs w:val="21"/>
        </w:rPr>
      </w:pPr>
      <w:r w:rsidRPr="009A2763">
        <w:rPr>
          <w:rFonts w:ascii="Verdana" w:hAnsi="Verdana" w:cs="Arial"/>
          <w:sz w:val="21"/>
          <w:szCs w:val="21"/>
        </w:rPr>
        <w:t>En relación con los informes financieros y contables periódicos de la vigencia 2024 es conveniente señalar que de conformidad con lo dispuesto por la Contaduría General de la Nación mediante Resolución 356 de diciembre de 2022 “</w:t>
      </w:r>
      <w:r w:rsidRPr="009A2763">
        <w:rPr>
          <w:rFonts w:ascii="Verdana" w:hAnsi="Verdana" w:cs="Arial"/>
          <w:i/>
          <w:iCs/>
          <w:sz w:val="21"/>
          <w:szCs w:val="21"/>
        </w:rPr>
        <w:t>Por la cual se incorpora, en los Procedimientos Transversales del Régimen del Contabilidad Pública, el Procedimiento para la preparación, presentación y publicación de los informes financieros y contables, que deban publicarse conforme a lo establecido en el numeral 37 del artículo 38 de la Ley 1952 de 2019</w:t>
      </w:r>
      <w:r w:rsidRPr="009A2763">
        <w:rPr>
          <w:rFonts w:ascii="Verdana" w:hAnsi="Verdana" w:cs="Arial"/>
          <w:sz w:val="21"/>
          <w:szCs w:val="21"/>
        </w:rPr>
        <w:t xml:space="preserve">”, se deben elaborar informes financieros y contables de manera trimestral. </w:t>
      </w:r>
    </w:p>
    <w:p w14:paraId="217E2F49" w14:textId="7DFA2130" w:rsidR="00681757" w:rsidRPr="009A2763" w:rsidRDefault="00681757" w:rsidP="0089458E">
      <w:pPr>
        <w:pStyle w:val="Prrafodelista"/>
        <w:autoSpaceDE w:val="0"/>
        <w:autoSpaceDN w:val="0"/>
        <w:adjustRightInd w:val="0"/>
        <w:spacing w:line="252" w:lineRule="auto"/>
        <w:ind w:left="284"/>
        <w:jc w:val="both"/>
        <w:rPr>
          <w:rFonts w:ascii="Verdana" w:eastAsia="Calibri" w:hAnsi="Verdana" w:cs="Arial"/>
          <w:b/>
          <w:bCs/>
          <w:sz w:val="21"/>
          <w:szCs w:val="21"/>
          <w:lang w:val="es-CO"/>
        </w:rPr>
      </w:pPr>
    </w:p>
    <w:p w14:paraId="7EDDF93C" w14:textId="64B532E0" w:rsidR="002667D9" w:rsidRPr="009A2763" w:rsidRDefault="002667D9" w:rsidP="0089458E">
      <w:pPr>
        <w:pStyle w:val="Sinespaciado"/>
        <w:spacing w:line="252" w:lineRule="auto"/>
        <w:ind w:left="284"/>
        <w:jc w:val="both"/>
        <w:rPr>
          <w:rFonts w:ascii="Verdana" w:hAnsi="Verdana" w:cs="Arial"/>
          <w:b/>
          <w:bCs/>
          <w:sz w:val="21"/>
          <w:szCs w:val="21"/>
        </w:rPr>
      </w:pPr>
      <w:r w:rsidRPr="009A2763">
        <w:rPr>
          <w:rFonts w:ascii="Verdana" w:hAnsi="Verdana" w:cs="Arial"/>
          <w:sz w:val="21"/>
          <w:szCs w:val="21"/>
        </w:rPr>
        <w:t xml:space="preserve">En tal sentido, a la fecha de cambio de representante legal (diciembre de 2024) se encuentra disponible el informe financiero y contable con corte a 30 de septiembre de 2024, el cual se adjunta en el archivo denominado </w:t>
      </w:r>
      <w:r w:rsidR="004C035E" w:rsidRPr="009A2763">
        <w:rPr>
          <w:rFonts w:ascii="Verdana" w:hAnsi="Verdana" w:cs="Arial"/>
          <w:b/>
          <w:bCs/>
          <w:i/>
          <w:iCs/>
          <w:sz w:val="21"/>
          <w:szCs w:val="21"/>
        </w:rPr>
        <w:t>Anexo 3. Informe Financiero y contable Sep. 2024 FONSE</w:t>
      </w:r>
    </w:p>
    <w:p w14:paraId="246AFC51" w14:textId="77777777" w:rsidR="00681757" w:rsidRPr="009A2763" w:rsidRDefault="00681757" w:rsidP="0089458E">
      <w:pPr>
        <w:pStyle w:val="Prrafodelista"/>
        <w:autoSpaceDE w:val="0"/>
        <w:autoSpaceDN w:val="0"/>
        <w:adjustRightInd w:val="0"/>
        <w:spacing w:line="252" w:lineRule="auto"/>
        <w:ind w:left="284"/>
        <w:jc w:val="both"/>
        <w:rPr>
          <w:rFonts w:ascii="Verdana" w:eastAsia="Calibri" w:hAnsi="Verdana" w:cs="Arial"/>
          <w:b/>
          <w:bCs/>
          <w:sz w:val="21"/>
          <w:szCs w:val="21"/>
          <w:lang w:val="es-CO"/>
        </w:rPr>
      </w:pPr>
    </w:p>
    <w:p w14:paraId="1D4B650A" w14:textId="77C029B5" w:rsidR="00C02558" w:rsidRPr="009A2763" w:rsidRDefault="002B7A78" w:rsidP="0089458E">
      <w:pPr>
        <w:pStyle w:val="Prrafodelista"/>
        <w:autoSpaceDE w:val="0"/>
        <w:autoSpaceDN w:val="0"/>
        <w:adjustRightInd w:val="0"/>
        <w:spacing w:line="252" w:lineRule="auto"/>
        <w:ind w:left="284"/>
        <w:jc w:val="both"/>
        <w:rPr>
          <w:rFonts w:ascii="Verdana" w:eastAsia="Calibri" w:hAnsi="Verdana" w:cs="Arial"/>
          <w:sz w:val="21"/>
          <w:szCs w:val="21"/>
          <w:lang w:val="es-CO"/>
        </w:rPr>
      </w:pPr>
      <w:r w:rsidRPr="009A2763">
        <w:rPr>
          <w:rFonts w:ascii="Verdana" w:eastAsia="Calibri" w:hAnsi="Verdana" w:cs="Arial"/>
          <w:sz w:val="21"/>
          <w:szCs w:val="21"/>
          <w:lang w:val="es-CO"/>
        </w:rPr>
        <w:t>Finalmente</w:t>
      </w:r>
      <w:r w:rsidR="00DE6F28" w:rsidRPr="009A2763">
        <w:rPr>
          <w:rFonts w:ascii="Verdana" w:eastAsia="Calibri" w:hAnsi="Verdana" w:cs="Arial"/>
          <w:sz w:val="21"/>
          <w:szCs w:val="21"/>
          <w:lang w:val="es-CO"/>
        </w:rPr>
        <w:t>,</w:t>
      </w:r>
      <w:r w:rsidRPr="009A2763">
        <w:rPr>
          <w:rFonts w:ascii="Verdana" w:eastAsia="Calibri" w:hAnsi="Verdana" w:cs="Arial"/>
          <w:sz w:val="21"/>
          <w:szCs w:val="21"/>
          <w:lang w:val="es-CO"/>
        </w:rPr>
        <w:t xml:space="preserve"> se precisa que los </w:t>
      </w:r>
      <w:r w:rsidR="00774485" w:rsidRPr="009A2763">
        <w:rPr>
          <w:rFonts w:ascii="Verdana" w:eastAsia="Calibri" w:hAnsi="Verdana" w:cs="Arial"/>
          <w:sz w:val="21"/>
          <w:szCs w:val="21"/>
          <w:lang w:val="es-CO"/>
        </w:rPr>
        <w:t xml:space="preserve">informes financieros y contables </w:t>
      </w:r>
      <w:r w:rsidR="00A10855" w:rsidRPr="009A2763">
        <w:rPr>
          <w:rFonts w:ascii="Verdana" w:eastAsia="Calibri" w:hAnsi="Verdana" w:cs="Arial"/>
          <w:sz w:val="21"/>
          <w:szCs w:val="21"/>
          <w:lang w:val="es-CO"/>
        </w:rPr>
        <w:t xml:space="preserve">de la entidad </w:t>
      </w:r>
      <w:r w:rsidR="00774485" w:rsidRPr="009A2763">
        <w:rPr>
          <w:rFonts w:ascii="Verdana" w:eastAsia="Calibri" w:hAnsi="Verdana" w:cs="Arial"/>
          <w:sz w:val="21"/>
          <w:szCs w:val="21"/>
          <w:lang w:val="es-CO"/>
        </w:rPr>
        <w:t xml:space="preserve">pueden ser consultados en el siguiente </w:t>
      </w:r>
      <w:hyperlink r:id="rId13" w:history="1">
        <w:r w:rsidR="00774485" w:rsidRPr="009A2763">
          <w:rPr>
            <w:rStyle w:val="Hipervnculo"/>
            <w:rFonts w:ascii="Verdana" w:eastAsia="Calibri" w:hAnsi="Verdana" w:cs="Arial"/>
            <w:sz w:val="21"/>
            <w:szCs w:val="21"/>
            <w:lang w:val="es-CO"/>
          </w:rPr>
          <w:t>enlace</w:t>
        </w:r>
      </w:hyperlink>
      <w:r w:rsidR="00F25DF8" w:rsidRPr="009A2763">
        <w:rPr>
          <w:rFonts w:ascii="Verdana" w:eastAsia="Calibri" w:hAnsi="Verdana" w:cs="Arial"/>
          <w:sz w:val="21"/>
          <w:szCs w:val="21"/>
          <w:lang w:val="es-CO"/>
        </w:rPr>
        <w:t xml:space="preserve"> de la página web del MHCP</w:t>
      </w:r>
    </w:p>
    <w:p w14:paraId="072369BD" w14:textId="77777777" w:rsidR="00BB262E" w:rsidRPr="009A2763" w:rsidRDefault="00BB262E" w:rsidP="0089458E">
      <w:pPr>
        <w:pStyle w:val="Prrafodelista"/>
        <w:spacing w:line="252" w:lineRule="auto"/>
        <w:rPr>
          <w:rFonts w:ascii="Verdana" w:eastAsia="Calibri" w:hAnsi="Verdana" w:cs="Arial"/>
          <w:sz w:val="21"/>
          <w:szCs w:val="21"/>
          <w:lang w:val="es-CO"/>
        </w:rPr>
      </w:pPr>
    </w:p>
    <w:p w14:paraId="4A3A99A1" w14:textId="77777777" w:rsidR="00FD2AFE" w:rsidRPr="009A2763" w:rsidRDefault="00FD2AFE" w:rsidP="0089458E">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9A2763">
        <w:rPr>
          <w:rFonts w:ascii="Verdana" w:eastAsia="Calibri" w:hAnsi="Verdana" w:cs="Arial"/>
          <w:b/>
          <w:bCs/>
          <w:sz w:val="21"/>
          <w:szCs w:val="21"/>
          <w:lang w:val="es-CO"/>
        </w:rPr>
        <w:t>El último informe de la auditoría a los estados financieros de la entidad emitido por la respectiva Contraloría.</w:t>
      </w:r>
    </w:p>
    <w:p w14:paraId="7EA7BDF8" w14:textId="699D38FC" w:rsidR="004568C9" w:rsidRPr="009A2763" w:rsidRDefault="004568C9" w:rsidP="0089458E">
      <w:pPr>
        <w:pStyle w:val="Prrafodelista"/>
        <w:autoSpaceDE w:val="0"/>
        <w:autoSpaceDN w:val="0"/>
        <w:adjustRightInd w:val="0"/>
        <w:spacing w:line="252" w:lineRule="auto"/>
        <w:ind w:left="284"/>
        <w:jc w:val="both"/>
        <w:rPr>
          <w:rFonts w:ascii="Verdana" w:eastAsia="Calibri" w:hAnsi="Verdana" w:cs="Arial"/>
          <w:sz w:val="21"/>
          <w:szCs w:val="21"/>
          <w:lang w:val="es-CO"/>
        </w:rPr>
      </w:pPr>
    </w:p>
    <w:p w14:paraId="1F6EA679" w14:textId="30E153BE" w:rsidR="00C14C7D" w:rsidRPr="009A2763" w:rsidRDefault="00B70EDB" w:rsidP="0089458E">
      <w:pPr>
        <w:pStyle w:val="Prrafodelista"/>
        <w:autoSpaceDE w:val="0"/>
        <w:autoSpaceDN w:val="0"/>
        <w:adjustRightInd w:val="0"/>
        <w:spacing w:line="252" w:lineRule="auto"/>
        <w:ind w:left="284"/>
        <w:jc w:val="both"/>
        <w:rPr>
          <w:rFonts w:ascii="Verdana" w:eastAsia="Times New Roman" w:hAnsi="Verdana" w:cs="Arial"/>
          <w:color w:val="000000"/>
          <w:sz w:val="21"/>
          <w:szCs w:val="21"/>
          <w:lang w:val="es-CO" w:eastAsia="es-CO"/>
        </w:rPr>
      </w:pPr>
      <w:r w:rsidRPr="009A2763">
        <w:rPr>
          <w:rFonts w:ascii="Verdana" w:eastAsia="Calibri" w:hAnsi="Verdana" w:cs="Arial"/>
          <w:sz w:val="21"/>
          <w:szCs w:val="21"/>
          <w:lang w:val="es-CO"/>
        </w:rPr>
        <w:t xml:space="preserve">Si bien </w:t>
      </w:r>
      <w:r w:rsidR="00962F73" w:rsidRPr="009A2763">
        <w:rPr>
          <w:rFonts w:ascii="Verdana" w:eastAsia="Calibri" w:hAnsi="Verdana" w:cs="Arial"/>
          <w:sz w:val="21"/>
          <w:szCs w:val="21"/>
          <w:lang w:val="es-CO"/>
        </w:rPr>
        <w:t xml:space="preserve">la Contraloría General de la República no ha efectuado </w:t>
      </w:r>
      <w:r w:rsidR="00584196" w:rsidRPr="009A2763">
        <w:rPr>
          <w:rFonts w:ascii="Verdana" w:eastAsia="Calibri" w:hAnsi="Verdana" w:cs="Arial"/>
          <w:sz w:val="21"/>
          <w:szCs w:val="21"/>
          <w:lang w:val="es-CO"/>
        </w:rPr>
        <w:t xml:space="preserve">la </w:t>
      </w:r>
      <w:r w:rsidR="00962F73" w:rsidRPr="009A2763">
        <w:rPr>
          <w:rFonts w:ascii="Verdana" w:eastAsia="Calibri" w:hAnsi="Verdana" w:cs="Arial"/>
          <w:sz w:val="21"/>
          <w:szCs w:val="21"/>
          <w:lang w:val="es-CO"/>
        </w:rPr>
        <w:t xml:space="preserve">auditoría financiera a los Estados Financieros del </w:t>
      </w:r>
      <w:r w:rsidR="00962F73" w:rsidRPr="009A2763">
        <w:rPr>
          <w:rFonts w:ascii="Verdana" w:eastAsia="Times New Roman" w:hAnsi="Verdana" w:cs="Arial"/>
          <w:color w:val="000000"/>
          <w:sz w:val="21"/>
          <w:szCs w:val="21"/>
          <w:lang w:val="es-CO" w:eastAsia="es-CO"/>
        </w:rPr>
        <w:t xml:space="preserve">Fondo de Sostenibilidad Financiera del Sector Eléctrico </w:t>
      </w:r>
      <w:r w:rsidR="00962F73" w:rsidRPr="009A2763">
        <w:rPr>
          <w:rFonts w:ascii="Verdana" w:eastAsia="Times New Roman" w:hAnsi="Verdana" w:cs="Arial"/>
          <w:color w:val="000000"/>
          <w:sz w:val="21"/>
          <w:szCs w:val="21"/>
          <w:lang w:val="es-CO" w:eastAsia="es-CO"/>
        </w:rPr>
        <w:lastRenderedPageBreak/>
        <w:t>(FONSE)</w:t>
      </w:r>
      <w:r w:rsidR="00584196" w:rsidRPr="009A2763">
        <w:rPr>
          <w:rFonts w:ascii="Verdana" w:eastAsia="Times New Roman" w:hAnsi="Verdana" w:cs="Arial"/>
          <w:color w:val="000000"/>
          <w:sz w:val="21"/>
          <w:szCs w:val="21"/>
          <w:lang w:val="es-CO" w:eastAsia="es-CO"/>
        </w:rPr>
        <w:t>, e</w:t>
      </w:r>
      <w:r w:rsidR="00C5382F" w:rsidRPr="009A2763">
        <w:rPr>
          <w:rFonts w:ascii="Verdana" w:eastAsia="Times New Roman" w:hAnsi="Verdana" w:cs="Arial"/>
          <w:color w:val="000000"/>
          <w:sz w:val="21"/>
          <w:szCs w:val="21"/>
          <w:lang w:val="es-CO" w:eastAsia="es-CO"/>
        </w:rPr>
        <w:t>n</w:t>
      </w:r>
      <w:r w:rsidR="00AF7790" w:rsidRPr="009A2763">
        <w:rPr>
          <w:rFonts w:ascii="Verdana" w:eastAsia="Times New Roman" w:hAnsi="Verdana" w:cs="Arial"/>
          <w:color w:val="000000"/>
          <w:sz w:val="21"/>
          <w:szCs w:val="21"/>
          <w:lang w:val="es-CO" w:eastAsia="es-CO"/>
        </w:rPr>
        <w:t xml:space="preserve"> el mes de enero de 2022</w:t>
      </w:r>
      <w:r w:rsidR="00CD52FC" w:rsidRPr="009A2763">
        <w:rPr>
          <w:rFonts w:ascii="Verdana" w:eastAsia="Times New Roman" w:hAnsi="Verdana" w:cs="Arial"/>
          <w:color w:val="000000"/>
          <w:sz w:val="21"/>
          <w:szCs w:val="21"/>
          <w:lang w:val="es-CO" w:eastAsia="es-CO"/>
        </w:rPr>
        <w:t xml:space="preserve"> se inició por parte de</w:t>
      </w:r>
      <w:r w:rsidR="00543840" w:rsidRPr="009A2763">
        <w:rPr>
          <w:rFonts w:ascii="Verdana" w:eastAsia="Times New Roman" w:hAnsi="Verdana" w:cs="Arial"/>
          <w:color w:val="000000"/>
          <w:sz w:val="21"/>
          <w:szCs w:val="21"/>
          <w:lang w:val="es-CO" w:eastAsia="es-CO"/>
        </w:rPr>
        <w:t xml:space="preserve"> dicho ente de control </w:t>
      </w:r>
      <w:r w:rsidR="00F65BA5" w:rsidRPr="009A2763">
        <w:rPr>
          <w:rFonts w:ascii="Verdana" w:eastAsia="Times New Roman" w:hAnsi="Verdana" w:cs="Arial"/>
          <w:color w:val="000000"/>
          <w:sz w:val="21"/>
          <w:szCs w:val="21"/>
          <w:lang w:val="es-CO" w:eastAsia="es-CO"/>
        </w:rPr>
        <w:t>la “</w:t>
      </w:r>
      <w:r w:rsidR="00F65BA5" w:rsidRPr="009A2763">
        <w:rPr>
          <w:rFonts w:ascii="Verdana" w:hAnsi="Verdana" w:cs="Arial"/>
          <w:i/>
          <w:iCs/>
          <w:sz w:val="21"/>
          <w:szCs w:val="21"/>
        </w:rPr>
        <w:t xml:space="preserve">Actuación Especial de Fiscalización al Fondo de Sostenibilidad Financiera para el Sector Eléctrico – FONSE – vigencias 2020-2021”, </w:t>
      </w:r>
      <w:r w:rsidR="001F698A" w:rsidRPr="009A2763">
        <w:rPr>
          <w:rFonts w:ascii="Verdana" w:hAnsi="Verdana" w:cs="Arial"/>
          <w:sz w:val="21"/>
          <w:szCs w:val="21"/>
        </w:rPr>
        <w:t xml:space="preserve">la cual incluyó </w:t>
      </w:r>
      <w:r w:rsidR="003A5480" w:rsidRPr="009A2763">
        <w:rPr>
          <w:rFonts w:ascii="Verdana" w:hAnsi="Verdana" w:cs="Arial"/>
          <w:sz w:val="21"/>
          <w:szCs w:val="21"/>
        </w:rPr>
        <w:t>la verificación y análisis del informe con la relación de las operaciones, registradas en la contabilidad del Fondo de Sostenibilidad Financiera para el Sector Eléctrico – FONSE</w:t>
      </w:r>
      <w:r w:rsidR="00FC43B1" w:rsidRPr="009A2763">
        <w:rPr>
          <w:rFonts w:ascii="Verdana" w:hAnsi="Verdana" w:cs="Arial"/>
          <w:sz w:val="21"/>
          <w:szCs w:val="21"/>
        </w:rPr>
        <w:t>.</w:t>
      </w:r>
      <w:r w:rsidR="00B8664A" w:rsidRPr="009A2763">
        <w:rPr>
          <w:rFonts w:ascii="Verdana" w:hAnsi="Verdana" w:cs="Arial"/>
          <w:sz w:val="21"/>
          <w:szCs w:val="21"/>
        </w:rPr>
        <w:t xml:space="preserve"> </w:t>
      </w:r>
    </w:p>
    <w:p w14:paraId="6769DF8B" w14:textId="63B1D394" w:rsidR="00B8664A" w:rsidRPr="009A2763" w:rsidRDefault="00B8664A" w:rsidP="0089458E">
      <w:pPr>
        <w:autoSpaceDE w:val="0"/>
        <w:autoSpaceDN w:val="0"/>
        <w:adjustRightInd w:val="0"/>
        <w:spacing w:line="252" w:lineRule="auto"/>
        <w:ind w:left="284"/>
        <w:jc w:val="both"/>
        <w:rPr>
          <w:rFonts w:ascii="Verdana" w:eastAsia="Times New Roman" w:hAnsi="Verdana" w:cs="Arial"/>
          <w:color w:val="000000"/>
          <w:sz w:val="21"/>
          <w:szCs w:val="21"/>
          <w:lang w:val="es-CO" w:eastAsia="es-CO"/>
        </w:rPr>
      </w:pPr>
    </w:p>
    <w:p w14:paraId="380EB247" w14:textId="1789BB74" w:rsidR="00B8664A" w:rsidRPr="009A2763" w:rsidRDefault="00B8664A" w:rsidP="0089458E">
      <w:pPr>
        <w:autoSpaceDE w:val="0"/>
        <w:autoSpaceDN w:val="0"/>
        <w:adjustRightInd w:val="0"/>
        <w:spacing w:line="252" w:lineRule="auto"/>
        <w:ind w:left="284"/>
        <w:jc w:val="both"/>
        <w:rPr>
          <w:rFonts w:ascii="Verdana" w:eastAsia="Times New Roman" w:hAnsi="Verdana" w:cs="Arial"/>
          <w:color w:val="000000"/>
          <w:sz w:val="21"/>
          <w:szCs w:val="21"/>
          <w:lang w:val="es-CO" w:eastAsia="es-CO"/>
        </w:rPr>
      </w:pPr>
      <w:r w:rsidRPr="009A2763">
        <w:rPr>
          <w:rFonts w:ascii="Verdana" w:eastAsia="Times New Roman" w:hAnsi="Verdana" w:cs="Arial"/>
          <w:color w:val="000000"/>
          <w:sz w:val="21"/>
          <w:szCs w:val="21"/>
          <w:lang w:val="es-CO" w:eastAsia="es-CO"/>
        </w:rPr>
        <w:t xml:space="preserve">En tal sentido, en documento adjunto </w:t>
      </w:r>
      <w:r w:rsidR="00E82DA8" w:rsidRPr="009A2763">
        <w:rPr>
          <w:rFonts w:ascii="Verdana" w:eastAsia="Times New Roman" w:hAnsi="Verdana" w:cs="Arial"/>
          <w:color w:val="000000"/>
          <w:sz w:val="21"/>
          <w:szCs w:val="21"/>
          <w:lang w:val="es-CO" w:eastAsia="es-CO"/>
        </w:rPr>
        <w:t>denominado</w:t>
      </w:r>
      <w:r w:rsidR="009B52DE" w:rsidRPr="009A2763">
        <w:rPr>
          <w:rFonts w:ascii="Verdana" w:eastAsia="Times New Roman" w:hAnsi="Verdana" w:cs="Arial"/>
          <w:color w:val="000000"/>
          <w:sz w:val="21"/>
          <w:szCs w:val="21"/>
          <w:lang w:val="es-CO" w:eastAsia="es-CO"/>
        </w:rPr>
        <w:t xml:space="preserve"> </w:t>
      </w:r>
      <w:r w:rsidR="009B52DE" w:rsidRPr="009A2763">
        <w:rPr>
          <w:rFonts w:ascii="Verdana" w:eastAsia="Times New Roman" w:hAnsi="Verdana" w:cs="Arial"/>
          <w:b/>
          <w:bCs/>
          <w:i/>
          <w:iCs/>
          <w:color w:val="000000"/>
          <w:sz w:val="21"/>
          <w:szCs w:val="21"/>
          <w:lang w:val="es-CO" w:eastAsia="es-CO"/>
        </w:rPr>
        <w:t>Anexo 4.</w:t>
      </w:r>
      <w:r w:rsidR="009737F3" w:rsidRPr="009A2763">
        <w:rPr>
          <w:rFonts w:ascii="Verdana" w:eastAsia="Times New Roman" w:hAnsi="Verdana" w:cs="Arial"/>
          <w:b/>
          <w:bCs/>
          <w:i/>
          <w:iCs/>
          <w:color w:val="000000"/>
          <w:sz w:val="21"/>
          <w:szCs w:val="21"/>
          <w:lang w:val="es-CO" w:eastAsia="es-CO"/>
        </w:rPr>
        <w:t xml:space="preserve"> </w:t>
      </w:r>
      <w:r w:rsidR="009B52DE" w:rsidRPr="009A2763">
        <w:rPr>
          <w:rFonts w:ascii="Verdana" w:eastAsia="Times New Roman" w:hAnsi="Verdana" w:cs="Arial"/>
          <w:b/>
          <w:bCs/>
          <w:i/>
          <w:iCs/>
          <w:color w:val="000000"/>
          <w:sz w:val="21"/>
          <w:szCs w:val="21"/>
          <w:lang w:val="es-CO" w:eastAsia="es-CO"/>
        </w:rPr>
        <w:t>Informe actuación especial FONSE 2020-2021</w:t>
      </w:r>
      <w:r w:rsidR="007B5F68" w:rsidRPr="009A2763">
        <w:rPr>
          <w:rFonts w:ascii="Verdana" w:eastAsia="Times New Roman" w:hAnsi="Verdana" w:cs="Arial"/>
          <w:b/>
          <w:bCs/>
          <w:i/>
          <w:iCs/>
          <w:color w:val="000000"/>
          <w:sz w:val="21"/>
          <w:szCs w:val="21"/>
          <w:lang w:val="es-CO" w:eastAsia="es-CO"/>
        </w:rPr>
        <w:t>,</w:t>
      </w:r>
      <w:r w:rsidR="00E82DA8" w:rsidRPr="009A2763">
        <w:rPr>
          <w:rFonts w:ascii="Verdana" w:eastAsia="Times New Roman" w:hAnsi="Verdana" w:cs="Arial"/>
          <w:color w:val="000000"/>
          <w:sz w:val="21"/>
          <w:szCs w:val="21"/>
          <w:lang w:val="es-CO" w:eastAsia="es-CO"/>
        </w:rPr>
        <w:t xml:space="preserve"> se </w:t>
      </w:r>
      <w:r w:rsidR="007B5F68" w:rsidRPr="009A2763">
        <w:rPr>
          <w:rFonts w:ascii="Verdana" w:eastAsia="Times New Roman" w:hAnsi="Verdana" w:cs="Arial"/>
          <w:color w:val="000000"/>
          <w:sz w:val="21"/>
          <w:szCs w:val="21"/>
          <w:lang w:val="es-CO" w:eastAsia="es-CO"/>
        </w:rPr>
        <w:t xml:space="preserve">remite el </w:t>
      </w:r>
      <w:r w:rsidR="00416A2C" w:rsidRPr="009A2763">
        <w:rPr>
          <w:rFonts w:ascii="Verdana" w:eastAsia="Times New Roman" w:hAnsi="Verdana" w:cs="Arial"/>
          <w:color w:val="000000"/>
          <w:sz w:val="21"/>
          <w:szCs w:val="21"/>
          <w:lang w:val="es-CO" w:eastAsia="es-CO"/>
        </w:rPr>
        <w:t xml:space="preserve">informe que da </w:t>
      </w:r>
      <w:r w:rsidR="002D17E3" w:rsidRPr="009A2763">
        <w:rPr>
          <w:rFonts w:ascii="Verdana" w:eastAsia="Times New Roman" w:hAnsi="Verdana" w:cs="Arial"/>
          <w:color w:val="000000"/>
          <w:sz w:val="21"/>
          <w:szCs w:val="21"/>
          <w:lang w:val="es-CO" w:eastAsia="es-CO"/>
        </w:rPr>
        <w:t>cuenta de la</w:t>
      </w:r>
      <w:r w:rsidR="00461E3A" w:rsidRPr="009A2763">
        <w:rPr>
          <w:rFonts w:ascii="Verdana" w:eastAsia="Times New Roman" w:hAnsi="Verdana" w:cs="Arial"/>
          <w:color w:val="000000"/>
          <w:sz w:val="21"/>
          <w:szCs w:val="21"/>
          <w:lang w:val="es-CO" w:eastAsia="es-CO"/>
        </w:rPr>
        <w:t xml:space="preserve"> última </w:t>
      </w:r>
      <w:r w:rsidR="002D17E3" w:rsidRPr="009A2763">
        <w:rPr>
          <w:rFonts w:ascii="Verdana" w:eastAsia="Times New Roman" w:hAnsi="Verdana" w:cs="Arial"/>
          <w:color w:val="000000"/>
          <w:sz w:val="21"/>
          <w:szCs w:val="21"/>
          <w:lang w:val="es-CO" w:eastAsia="es-CO"/>
        </w:rPr>
        <w:t xml:space="preserve">actuación realizada por la Contraloría General de la República. </w:t>
      </w:r>
    </w:p>
    <w:p w14:paraId="3848ADB0" w14:textId="77777777" w:rsidR="004568C9" w:rsidRPr="009A2763" w:rsidRDefault="004568C9" w:rsidP="0089458E">
      <w:pPr>
        <w:pStyle w:val="Prrafodelista"/>
        <w:autoSpaceDE w:val="0"/>
        <w:autoSpaceDN w:val="0"/>
        <w:adjustRightInd w:val="0"/>
        <w:spacing w:line="252" w:lineRule="auto"/>
        <w:ind w:left="284"/>
        <w:jc w:val="both"/>
        <w:rPr>
          <w:rFonts w:ascii="Verdana" w:eastAsia="Calibri" w:hAnsi="Verdana" w:cs="Arial"/>
          <w:sz w:val="21"/>
          <w:szCs w:val="21"/>
          <w:lang w:val="es-CO"/>
        </w:rPr>
      </w:pPr>
    </w:p>
    <w:p w14:paraId="405264FA" w14:textId="77777777" w:rsidR="00DE2272" w:rsidRPr="009A2763" w:rsidRDefault="00DE2272" w:rsidP="0089458E">
      <w:pPr>
        <w:pStyle w:val="Prrafodelista"/>
        <w:numPr>
          <w:ilvl w:val="0"/>
          <w:numId w:val="5"/>
        </w:numPr>
        <w:autoSpaceDE w:val="0"/>
        <w:autoSpaceDN w:val="0"/>
        <w:adjustRightInd w:val="0"/>
        <w:spacing w:line="252" w:lineRule="auto"/>
        <w:ind w:left="284" w:hanging="284"/>
        <w:jc w:val="both"/>
        <w:rPr>
          <w:rFonts w:ascii="Verdana" w:eastAsia="Calibri" w:hAnsi="Verdana" w:cs="Arial"/>
          <w:b/>
          <w:bCs/>
          <w:sz w:val="21"/>
          <w:szCs w:val="21"/>
          <w:lang w:val="es-CO"/>
        </w:rPr>
      </w:pPr>
      <w:r w:rsidRPr="009A2763">
        <w:rPr>
          <w:rFonts w:ascii="Verdana" w:eastAsia="Calibri" w:hAnsi="Verdana" w:cs="Arial"/>
          <w:b/>
          <w:bCs/>
          <w:sz w:val="21"/>
          <w:szCs w:val="21"/>
          <w:lang w:val="es-CO"/>
        </w:rPr>
        <w:t>El manual de políticas contables de la entidad y demás documentos en los que se establezcan aspectos relevantes para el normal desarrollo del proceso contable, como guías, procedimientos y metodologías, entre otros.</w:t>
      </w:r>
    </w:p>
    <w:p w14:paraId="06ADD5F7" w14:textId="77777777" w:rsidR="0001246C" w:rsidRPr="009A2763" w:rsidRDefault="0001246C" w:rsidP="0089458E">
      <w:pPr>
        <w:pStyle w:val="Prrafodelista"/>
        <w:autoSpaceDE w:val="0"/>
        <w:autoSpaceDN w:val="0"/>
        <w:adjustRightInd w:val="0"/>
        <w:spacing w:line="252" w:lineRule="auto"/>
        <w:ind w:left="284"/>
        <w:jc w:val="both"/>
        <w:rPr>
          <w:rFonts w:ascii="Verdana" w:eastAsia="Calibri" w:hAnsi="Verdana" w:cs="Arial"/>
          <w:b/>
          <w:bCs/>
          <w:sz w:val="21"/>
          <w:szCs w:val="21"/>
          <w:lang w:val="es-CO"/>
        </w:rPr>
      </w:pPr>
    </w:p>
    <w:p w14:paraId="64538CCD" w14:textId="431E727B" w:rsidR="0001246C" w:rsidRPr="009A2763" w:rsidRDefault="009C6862" w:rsidP="0089458E">
      <w:pPr>
        <w:pStyle w:val="Prrafodelista"/>
        <w:autoSpaceDE w:val="0"/>
        <w:autoSpaceDN w:val="0"/>
        <w:adjustRightInd w:val="0"/>
        <w:spacing w:line="252" w:lineRule="auto"/>
        <w:ind w:left="284"/>
        <w:jc w:val="both"/>
        <w:rPr>
          <w:rFonts w:ascii="Verdana" w:eastAsia="Calibri" w:hAnsi="Verdana" w:cs="Arial"/>
          <w:sz w:val="21"/>
          <w:szCs w:val="21"/>
          <w:lang w:val="es-CO"/>
        </w:rPr>
      </w:pPr>
      <w:r w:rsidRPr="009A2763">
        <w:rPr>
          <w:rFonts w:ascii="Verdana" w:eastAsia="Calibri" w:hAnsi="Verdana" w:cs="Arial"/>
          <w:sz w:val="21"/>
          <w:szCs w:val="21"/>
          <w:lang w:val="es-CO"/>
        </w:rPr>
        <w:t>E</w:t>
      </w:r>
      <w:r w:rsidR="0001246C" w:rsidRPr="009A2763">
        <w:rPr>
          <w:rFonts w:ascii="Verdana" w:eastAsia="Calibri" w:hAnsi="Verdana" w:cs="Arial"/>
          <w:sz w:val="21"/>
          <w:szCs w:val="21"/>
          <w:lang w:val="es-CO"/>
        </w:rPr>
        <w:t>l M</w:t>
      </w:r>
      <w:r w:rsidR="00C03602" w:rsidRPr="009A2763">
        <w:rPr>
          <w:rFonts w:ascii="Verdana" w:eastAsia="Calibri" w:hAnsi="Verdana" w:cs="Arial"/>
          <w:sz w:val="21"/>
          <w:szCs w:val="21"/>
          <w:lang w:val="es-CO"/>
        </w:rPr>
        <w:t xml:space="preserve">anual de Políticas Contables de la </w:t>
      </w:r>
      <w:r w:rsidR="00474A1D" w:rsidRPr="009A2763">
        <w:rPr>
          <w:rFonts w:ascii="Verdana" w:eastAsia="Calibri" w:hAnsi="Verdana" w:cs="Arial"/>
          <w:sz w:val="21"/>
          <w:szCs w:val="21"/>
          <w:lang w:val="es-CO"/>
        </w:rPr>
        <w:t>e</w:t>
      </w:r>
      <w:r w:rsidR="00C03602" w:rsidRPr="009A2763">
        <w:rPr>
          <w:rFonts w:ascii="Verdana" w:eastAsia="Calibri" w:hAnsi="Verdana" w:cs="Arial"/>
          <w:sz w:val="21"/>
          <w:szCs w:val="21"/>
          <w:lang w:val="es-CO"/>
        </w:rPr>
        <w:t>ntidad</w:t>
      </w:r>
      <w:r w:rsidRPr="009A2763">
        <w:rPr>
          <w:rFonts w:ascii="Verdana" w:eastAsia="Calibri" w:hAnsi="Verdana" w:cs="Arial"/>
          <w:sz w:val="21"/>
          <w:szCs w:val="21"/>
          <w:lang w:val="es-CO"/>
        </w:rPr>
        <w:t xml:space="preserve"> fue</w:t>
      </w:r>
      <w:r w:rsidR="00C03602" w:rsidRPr="009A2763">
        <w:rPr>
          <w:rFonts w:ascii="Verdana" w:eastAsia="Calibri" w:hAnsi="Verdana" w:cs="Arial"/>
          <w:sz w:val="21"/>
          <w:szCs w:val="21"/>
          <w:lang w:val="es-CO"/>
        </w:rPr>
        <w:t xml:space="preserve"> adoptado mediante Resolución</w:t>
      </w:r>
      <w:r w:rsidR="0001246C" w:rsidRPr="009A2763">
        <w:rPr>
          <w:rFonts w:ascii="Verdana" w:eastAsia="Calibri" w:hAnsi="Verdana" w:cs="Arial"/>
          <w:sz w:val="21"/>
          <w:szCs w:val="21"/>
          <w:lang w:val="es-CO"/>
        </w:rPr>
        <w:t xml:space="preserve"> 2429 de diciembre de 2020</w:t>
      </w:r>
      <w:r w:rsidR="005F7533" w:rsidRPr="009A2763">
        <w:rPr>
          <w:rFonts w:ascii="Verdana" w:eastAsia="Calibri" w:hAnsi="Verdana" w:cs="Arial"/>
          <w:sz w:val="21"/>
          <w:szCs w:val="21"/>
          <w:lang w:val="es-CO"/>
        </w:rPr>
        <w:t xml:space="preserve"> y actualizado según Resolución </w:t>
      </w:r>
      <w:r w:rsidR="00F60338" w:rsidRPr="009A2763">
        <w:rPr>
          <w:rFonts w:ascii="Verdana" w:eastAsia="Calibri" w:hAnsi="Verdana" w:cs="Arial"/>
          <w:sz w:val="21"/>
          <w:szCs w:val="21"/>
          <w:lang w:val="es-CO"/>
        </w:rPr>
        <w:t xml:space="preserve">3413 </w:t>
      </w:r>
      <w:r w:rsidR="00040C24" w:rsidRPr="009A2763">
        <w:rPr>
          <w:rFonts w:ascii="Verdana" w:eastAsia="Calibri" w:hAnsi="Verdana" w:cs="Arial"/>
          <w:sz w:val="21"/>
          <w:szCs w:val="21"/>
          <w:lang w:val="es-CO"/>
        </w:rPr>
        <w:t>de 202</w:t>
      </w:r>
      <w:r w:rsidR="00F60338" w:rsidRPr="009A2763">
        <w:rPr>
          <w:rFonts w:ascii="Verdana" w:eastAsia="Calibri" w:hAnsi="Verdana" w:cs="Arial"/>
          <w:sz w:val="21"/>
          <w:szCs w:val="21"/>
          <w:lang w:val="es-CO"/>
        </w:rPr>
        <w:t>3</w:t>
      </w:r>
      <w:r w:rsidR="00040C24" w:rsidRPr="009A2763">
        <w:rPr>
          <w:rFonts w:ascii="Verdana" w:eastAsia="Calibri" w:hAnsi="Verdana" w:cs="Arial"/>
          <w:sz w:val="21"/>
          <w:szCs w:val="21"/>
          <w:lang w:val="es-CO"/>
        </w:rPr>
        <w:t>.</w:t>
      </w:r>
    </w:p>
    <w:p w14:paraId="0B64A09E" w14:textId="2E727AE2" w:rsidR="007B6ABB" w:rsidRPr="009A2763" w:rsidRDefault="007B6ABB" w:rsidP="0089458E">
      <w:pPr>
        <w:pStyle w:val="Prrafodelista"/>
        <w:autoSpaceDE w:val="0"/>
        <w:autoSpaceDN w:val="0"/>
        <w:adjustRightInd w:val="0"/>
        <w:spacing w:line="252" w:lineRule="auto"/>
        <w:ind w:left="284"/>
        <w:jc w:val="both"/>
        <w:rPr>
          <w:rFonts w:ascii="Verdana" w:eastAsia="Calibri" w:hAnsi="Verdana" w:cs="Arial"/>
          <w:sz w:val="21"/>
          <w:szCs w:val="21"/>
          <w:lang w:val="es-CO"/>
        </w:rPr>
      </w:pPr>
    </w:p>
    <w:p w14:paraId="6800057E" w14:textId="77777777" w:rsidR="007B6ABB" w:rsidRPr="009A2763" w:rsidRDefault="007B6ABB" w:rsidP="0089458E">
      <w:pPr>
        <w:pStyle w:val="Prrafodelista"/>
        <w:autoSpaceDE w:val="0"/>
        <w:autoSpaceDN w:val="0"/>
        <w:adjustRightInd w:val="0"/>
        <w:spacing w:line="252" w:lineRule="auto"/>
        <w:ind w:left="284"/>
        <w:jc w:val="both"/>
        <w:rPr>
          <w:rFonts w:ascii="Verdana" w:eastAsia="Calibri" w:hAnsi="Verdana" w:cs="Arial"/>
          <w:sz w:val="21"/>
          <w:szCs w:val="21"/>
          <w:lang w:val="es-CO"/>
        </w:rPr>
      </w:pPr>
      <w:r w:rsidRPr="009A2763">
        <w:rPr>
          <w:rFonts w:ascii="Verdana" w:eastAsia="Calibri" w:hAnsi="Verdana" w:cs="Arial"/>
          <w:sz w:val="21"/>
          <w:szCs w:val="21"/>
          <w:lang w:val="es-CO"/>
        </w:rPr>
        <w:t xml:space="preserve">En virtud de lo anterior, se remiten los siguientes documentos: </w:t>
      </w:r>
    </w:p>
    <w:p w14:paraId="63DFAFD4" w14:textId="77777777" w:rsidR="007B6ABB" w:rsidRPr="009A2763" w:rsidRDefault="007B6ABB" w:rsidP="0089458E">
      <w:pPr>
        <w:pStyle w:val="Prrafodelista"/>
        <w:autoSpaceDE w:val="0"/>
        <w:autoSpaceDN w:val="0"/>
        <w:adjustRightInd w:val="0"/>
        <w:spacing w:line="252" w:lineRule="auto"/>
        <w:ind w:left="426" w:hanging="141"/>
        <w:jc w:val="both"/>
        <w:rPr>
          <w:rFonts w:ascii="Verdana" w:eastAsia="Calibri" w:hAnsi="Verdana" w:cs="Arial"/>
          <w:b/>
          <w:bCs/>
          <w:i/>
          <w:iCs/>
          <w:sz w:val="21"/>
          <w:szCs w:val="21"/>
          <w:lang w:val="es-CO"/>
        </w:rPr>
      </w:pPr>
    </w:p>
    <w:p w14:paraId="7F894A7B" w14:textId="4893DEB0" w:rsidR="007B6ABB" w:rsidRPr="009A2763" w:rsidRDefault="007B6ABB" w:rsidP="0089458E">
      <w:pPr>
        <w:pStyle w:val="Prrafodelista"/>
        <w:numPr>
          <w:ilvl w:val="0"/>
          <w:numId w:val="7"/>
        </w:numPr>
        <w:autoSpaceDE w:val="0"/>
        <w:autoSpaceDN w:val="0"/>
        <w:adjustRightInd w:val="0"/>
        <w:spacing w:line="252" w:lineRule="auto"/>
        <w:ind w:left="426" w:hanging="141"/>
        <w:jc w:val="both"/>
        <w:rPr>
          <w:rFonts w:ascii="Verdana" w:eastAsia="Calibri" w:hAnsi="Verdana" w:cs="Arial"/>
          <w:b/>
          <w:bCs/>
          <w:i/>
          <w:iCs/>
          <w:sz w:val="21"/>
          <w:szCs w:val="21"/>
          <w:lang w:val="es-CO"/>
        </w:rPr>
      </w:pPr>
      <w:r w:rsidRPr="009A2763">
        <w:rPr>
          <w:rFonts w:ascii="Verdana" w:eastAsia="Calibri" w:hAnsi="Verdana" w:cs="Arial"/>
          <w:b/>
          <w:bCs/>
          <w:i/>
          <w:iCs/>
          <w:sz w:val="21"/>
          <w:szCs w:val="21"/>
          <w:lang w:val="es-CO"/>
        </w:rPr>
        <w:t xml:space="preserve">Anexo </w:t>
      </w:r>
      <w:r w:rsidR="0056601C" w:rsidRPr="009A2763">
        <w:rPr>
          <w:rFonts w:ascii="Verdana" w:eastAsia="Calibri" w:hAnsi="Verdana" w:cs="Arial"/>
          <w:b/>
          <w:bCs/>
          <w:i/>
          <w:iCs/>
          <w:sz w:val="21"/>
          <w:szCs w:val="21"/>
          <w:lang w:val="es-CO"/>
        </w:rPr>
        <w:t>5</w:t>
      </w:r>
      <w:r w:rsidRPr="009A2763">
        <w:rPr>
          <w:rFonts w:ascii="Verdana" w:eastAsia="Calibri" w:hAnsi="Verdana" w:cs="Arial"/>
          <w:b/>
          <w:bCs/>
          <w:i/>
          <w:iCs/>
          <w:sz w:val="21"/>
          <w:szCs w:val="21"/>
          <w:lang w:val="es-CO"/>
        </w:rPr>
        <w:t>.1 Apo.3. Man.5 Manual de Políticas Contables -FONSE</w:t>
      </w:r>
      <w:r w:rsidR="00CC513C" w:rsidRPr="009A2763">
        <w:rPr>
          <w:rFonts w:ascii="Verdana" w:eastAsia="Calibri" w:hAnsi="Verdana" w:cs="Arial"/>
          <w:b/>
          <w:bCs/>
          <w:i/>
          <w:iCs/>
          <w:sz w:val="21"/>
          <w:szCs w:val="21"/>
          <w:lang w:val="es-CO"/>
        </w:rPr>
        <w:t xml:space="preserve"> V</w:t>
      </w:r>
      <w:r w:rsidR="00942465" w:rsidRPr="009A2763">
        <w:rPr>
          <w:rFonts w:ascii="Verdana" w:eastAsia="Calibri" w:hAnsi="Verdana" w:cs="Arial"/>
          <w:b/>
          <w:bCs/>
          <w:i/>
          <w:iCs/>
          <w:sz w:val="21"/>
          <w:szCs w:val="21"/>
          <w:lang w:val="es-CO"/>
        </w:rPr>
        <w:t>4</w:t>
      </w:r>
    </w:p>
    <w:p w14:paraId="78E0ED64" w14:textId="499C77DC" w:rsidR="007B6ABB" w:rsidRPr="009A2763" w:rsidRDefault="007B6ABB" w:rsidP="0089458E">
      <w:pPr>
        <w:pStyle w:val="Prrafodelista"/>
        <w:numPr>
          <w:ilvl w:val="0"/>
          <w:numId w:val="7"/>
        </w:numPr>
        <w:autoSpaceDE w:val="0"/>
        <w:autoSpaceDN w:val="0"/>
        <w:adjustRightInd w:val="0"/>
        <w:spacing w:line="252" w:lineRule="auto"/>
        <w:ind w:left="426" w:hanging="141"/>
        <w:jc w:val="both"/>
        <w:rPr>
          <w:rFonts w:ascii="Verdana" w:eastAsia="Calibri" w:hAnsi="Verdana" w:cs="Arial"/>
          <w:b/>
          <w:bCs/>
          <w:i/>
          <w:iCs/>
          <w:sz w:val="21"/>
          <w:szCs w:val="21"/>
          <w:lang w:val="es-CO"/>
        </w:rPr>
      </w:pPr>
      <w:r w:rsidRPr="009A2763">
        <w:rPr>
          <w:rFonts w:ascii="Verdana" w:eastAsia="Calibri" w:hAnsi="Verdana" w:cs="Arial"/>
          <w:b/>
          <w:bCs/>
          <w:i/>
          <w:iCs/>
          <w:sz w:val="21"/>
          <w:szCs w:val="21"/>
          <w:lang w:val="es-CO"/>
        </w:rPr>
        <w:t xml:space="preserve">Anexo </w:t>
      </w:r>
      <w:r w:rsidR="0056601C" w:rsidRPr="009A2763">
        <w:rPr>
          <w:rFonts w:ascii="Verdana" w:eastAsia="Calibri" w:hAnsi="Verdana" w:cs="Arial"/>
          <w:b/>
          <w:bCs/>
          <w:i/>
          <w:iCs/>
          <w:sz w:val="21"/>
          <w:szCs w:val="21"/>
          <w:lang w:val="es-CO"/>
        </w:rPr>
        <w:t>5</w:t>
      </w:r>
      <w:r w:rsidRPr="009A2763">
        <w:rPr>
          <w:rFonts w:ascii="Verdana" w:eastAsia="Calibri" w:hAnsi="Verdana" w:cs="Arial"/>
          <w:b/>
          <w:bCs/>
          <w:i/>
          <w:iCs/>
          <w:sz w:val="21"/>
          <w:szCs w:val="21"/>
          <w:lang w:val="es-CO"/>
        </w:rPr>
        <w:t>.2 Res</w:t>
      </w:r>
      <w:r w:rsidR="00007453" w:rsidRPr="009A2763">
        <w:rPr>
          <w:rFonts w:ascii="Verdana" w:eastAsia="Calibri" w:hAnsi="Verdana" w:cs="Arial"/>
          <w:b/>
          <w:bCs/>
          <w:i/>
          <w:iCs/>
          <w:sz w:val="21"/>
          <w:szCs w:val="21"/>
          <w:lang w:val="es-CO"/>
        </w:rPr>
        <w:t xml:space="preserve">. </w:t>
      </w:r>
      <w:r w:rsidRPr="009A2763">
        <w:rPr>
          <w:rFonts w:ascii="Verdana" w:eastAsia="Calibri" w:hAnsi="Verdana" w:cs="Arial"/>
          <w:b/>
          <w:bCs/>
          <w:i/>
          <w:iCs/>
          <w:sz w:val="21"/>
          <w:szCs w:val="21"/>
          <w:lang w:val="es-CO"/>
        </w:rPr>
        <w:t xml:space="preserve">2429 diciembre 11 de 2020 - Aprobación Manual </w:t>
      </w:r>
      <w:r w:rsidR="009E2A5D" w:rsidRPr="009A2763">
        <w:rPr>
          <w:rFonts w:ascii="Verdana" w:eastAsia="Calibri" w:hAnsi="Verdana" w:cs="Arial"/>
          <w:b/>
          <w:bCs/>
          <w:i/>
          <w:iCs/>
          <w:sz w:val="21"/>
          <w:szCs w:val="21"/>
          <w:lang w:val="es-CO"/>
        </w:rPr>
        <w:t xml:space="preserve">Políticas </w:t>
      </w:r>
      <w:r w:rsidRPr="009A2763">
        <w:rPr>
          <w:rFonts w:ascii="Verdana" w:eastAsia="Calibri" w:hAnsi="Verdana" w:cs="Arial"/>
          <w:b/>
          <w:bCs/>
          <w:i/>
          <w:iCs/>
          <w:sz w:val="21"/>
          <w:szCs w:val="21"/>
          <w:lang w:val="es-CO"/>
        </w:rPr>
        <w:t>FONSE</w:t>
      </w:r>
    </w:p>
    <w:p w14:paraId="4B5AC63A" w14:textId="4B4B8DD3" w:rsidR="008F3972" w:rsidRPr="009A2763" w:rsidRDefault="00BB6A88" w:rsidP="0089458E">
      <w:pPr>
        <w:pStyle w:val="Prrafodelista"/>
        <w:numPr>
          <w:ilvl w:val="0"/>
          <w:numId w:val="7"/>
        </w:numPr>
        <w:autoSpaceDE w:val="0"/>
        <w:autoSpaceDN w:val="0"/>
        <w:adjustRightInd w:val="0"/>
        <w:spacing w:line="252" w:lineRule="auto"/>
        <w:ind w:left="426" w:hanging="141"/>
        <w:jc w:val="both"/>
        <w:rPr>
          <w:rFonts w:ascii="Verdana" w:eastAsia="Calibri" w:hAnsi="Verdana" w:cs="Arial"/>
          <w:b/>
          <w:bCs/>
          <w:i/>
          <w:iCs/>
          <w:sz w:val="21"/>
          <w:szCs w:val="21"/>
          <w:lang w:val="es-CO"/>
        </w:rPr>
      </w:pPr>
      <w:r w:rsidRPr="009A2763">
        <w:rPr>
          <w:rFonts w:ascii="Verdana" w:eastAsia="Calibri" w:hAnsi="Verdana" w:cs="Arial"/>
          <w:b/>
          <w:bCs/>
          <w:i/>
          <w:iCs/>
          <w:sz w:val="21"/>
          <w:szCs w:val="21"/>
          <w:lang w:val="es-CO"/>
        </w:rPr>
        <w:t>Anexo 5.3 Res 3413 de 2023 actualización Manual Política FONSE</w:t>
      </w:r>
    </w:p>
    <w:p w14:paraId="3EF366B2" w14:textId="77777777" w:rsidR="008F3972" w:rsidRPr="009A2763" w:rsidRDefault="008F3972" w:rsidP="0089458E">
      <w:pPr>
        <w:autoSpaceDE w:val="0"/>
        <w:autoSpaceDN w:val="0"/>
        <w:adjustRightInd w:val="0"/>
        <w:spacing w:line="252" w:lineRule="auto"/>
        <w:jc w:val="both"/>
        <w:rPr>
          <w:rFonts w:ascii="Verdana" w:eastAsia="Calibri" w:hAnsi="Verdana" w:cs="Arial"/>
          <w:b/>
          <w:bCs/>
          <w:i/>
          <w:iCs/>
          <w:sz w:val="21"/>
          <w:szCs w:val="21"/>
          <w:lang w:val="es-CO"/>
        </w:rPr>
      </w:pPr>
    </w:p>
    <w:p w14:paraId="1DBB81C2" w14:textId="03FE5195" w:rsidR="008F3972" w:rsidRPr="009A2763" w:rsidRDefault="008F3972" w:rsidP="0089458E">
      <w:pPr>
        <w:autoSpaceDE w:val="0"/>
        <w:autoSpaceDN w:val="0"/>
        <w:adjustRightInd w:val="0"/>
        <w:spacing w:line="252" w:lineRule="auto"/>
        <w:ind w:firstLine="284"/>
        <w:jc w:val="both"/>
        <w:rPr>
          <w:rFonts w:ascii="Verdana" w:eastAsia="Calibri" w:hAnsi="Verdana" w:cs="Arial"/>
          <w:sz w:val="21"/>
          <w:szCs w:val="21"/>
          <w:lang w:val="es-CO"/>
        </w:rPr>
      </w:pPr>
      <w:r w:rsidRPr="009A2763">
        <w:rPr>
          <w:rFonts w:ascii="Verdana" w:eastAsia="Calibri" w:hAnsi="Verdana" w:cs="Arial"/>
          <w:sz w:val="21"/>
          <w:szCs w:val="21"/>
          <w:lang w:val="es-CO"/>
        </w:rPr>
        <w:t>Finalmente, y como complemento de lo anterior, se adjunta el siguiente archivo</w:t>
      </w:r>
    </w:p>
    <w:p w14:paraId="7DCF6B10" w14:textId="77777777" w:rsidR="008F3972" w:rsidRPr="009A2763" w:rsidRDefault="008F3972" w:rsidP="0089458E">
      <w:pPr>
        <w:autoSpaceDE w:val="0"/>
        <w:autoSpaceDN w:val="0"/>
        <w:adjustRightInd w:val="0"/>
        <w:spacing w:line="252" w:lineRule="auto"/>
        <w:ind w:firstLine="284"/>
        <w:jc w:val="both"/>
        <w:rPr>
          <w:rFonts w:ascii="Verdana" w:eastAsia="Calibri" w:hAnsi="Verdana" w:cs="Arial"/>
          <w:sz w:val="21"/>
          <w:szCs w:val="21"/>
          <w:lang w:val="es-CO"/>
        </w:rPr>
      </w:pPr>
    </w:p>
    <w:p w14:paraId="77198268" w14:textId="3F28B914" w:rsidR="008F3972" w:rsidRPr="009A2763" w:rsidRDefault="009666F2" w:rsidP="0089458E">
      <w:pPr>
        <w:pStyle w:val="Prrafodelista"/>
        <w:numPr>
          <w:ilvl w:val="0"/>
          <w:numId w:val="10"/>
        </w:numPr>
        <w:autoSpaceDE w:val="0"/>
        <w:autoSpaceDN w:val="0"/>
        <w:adjustRightInd w:val="0"/>
        <w:spacing w:line="252" w:lineRule="auto"/>
        <w:ind w:left="426" w:hanging="142"/>
        <w:jc w:val="both"/>
        <w:rPr>
          <w:rFonts w:ascii="Verdana" w:eastAsia="Calibri" w:hAnsi="Verdana" w:cs="Arial"/>
          <w:b/>
          <w:bCs/>
          <w:i/>
          <w:iCs/>
          <w:sz w:val="21"/>
          <w:szCs w:val="21"/>
          <w:lang w:val="es-CO"/>
        </w:rPr>
      </w:pPr>
      <w:r w:rsidRPr="009A2763">
        <w:rPr>
          <w:rFonts w:ascii="Verdana" w:eastAsia="Calibri" w:hAnsi="Verdana" w:cs="Arial"/>
          <w:b/>
          <w:bCs/>
          <w:i/>
          <w:iCs/>
          <w:sz w:val="21"/>
          <w:szCs w:val="21"/>
          <w:lang w:val="es-CO"/>
        </w:rPr>
        <w:t>Anexo 5.4 Apo.</w:t>
      </w:r>
      <w:proofErr w:type="gramStart"/>
      <w:r w:rsidRPr="009A2763">
        <w:rPr>
          <w:rFonts w:ascii="Verdana" w:eastAsia="Calibri" w:hAnsi="Verdana" w:cs="Arial"/>
          <w:b/>
          <w:bCs/>
          <w:i/>
          <w:iCs/>
          <w:sz w:val="21"/>
          <w:szCs w:val="21"/>
          <w:lang w:val="es-CO"/>
        </w:rPr>
        <w:t>3.Man</w:t>
      </w:r>
      <w:proofErr w:type="gramEnd"/>
      <w:r w:rsidRPr="009A2763">
        <w:rPr>
          <w:rFonts w:ascii="Verdana" w:eastAsia="Calibri" w:hAnsi="Verdana" w:cs="Arial"/>
          <w:b/>
          <w:bCs/>
          <w:i/>
          <w:iCs/>
          <w:sz w:val="21"/>
          <w:szCs w:val="21"/>
          <w:lang w:val="es-CO"/>
        </w:rPr>
        <w:t>.6_V1 Manual operativo para la gestión contable - FONSE</w:t>
      </w:r>
    </w:p>
    <w:p w14:paraId="693EEDAA" w14:textId="77777777" w:rsidR="007B6ABB" w:rsidRPr="009A2763" w:rsidRDefault="007B6ABB" w:rsidP="0089458E">
      <w:pPr>
        <w:pStyle w:val="Prrafodelista"/>
        <w:autoSpaceDE w:val="0"/>
        <w:autoSpaceDN w:val="0"/>
        <w:adjustRightInd w:val="0"/>
        <w:spacing w:line="252" w:lineRule="auto"/>
        <w:ind w:left="284"/>
        <w:jc w:val="both"/>
        <w:rPr>
          <w:rFonts w:ascii="Verdana" w:eastAsia="Calibri" w:hAnsi="Verdana" w:cs="Arial"/>
          <w:sz w:val="21"/>
          <w:szCs w:val="21"/>
          <w:lang w:val="es-CO"/>
        </w:rPr>
      </w:pPr>
    </w:p>
    <w:p w14:paraId="0999B135" w14:textId="77777777" w:rsidR="003A5881" w:rsidRPr="009A2763" w:rsidRDefault="003A5881" w:rsidP="0089458E">
      <w:pPr>
        <w:pStyle w:val="Prrafodelista"/>
        <w:numPr>
          <w:ilvl w:val="0"/>
          <w:numId w:val="5"/>
        </w:numPr>
        <w:autoSpaceDE w:val="0"/>
        <w:autoSpaceDN w:val="0"/>
        <w:adjustRightInd w:val="0"/>
        <w:spacing w:line="252" w:lineRule="auto"/>
        <w:ind w:left="284" w:hanging="284"/>
        <w:jc w:val="both"/>
        <w:rPr>
          <w:rFonts w:ascii="Verdana" w:hAnsi="Verdana" w:cs="Arial"/>
          <w:b/>
          <w:bCs/>
          <w:sz w:val="21"/>
          <w:szCs w:val="21"/>
        </w:rPr>
      </w:pPr>
      <w:r w:rsidRPr="009A2763">
        <w:rPr>
          <w:rFonts w:ascii="Verdana" w:eastAsia="Calibri" w:hAnsi="Verdana" w:cs="Arial"/>
          <w:b/>
          <w:bCs/>
          <w:sz w:val="21"/>
          <w:szCs w:val="21"/>
          <w:lang w:val="es-CO"/>
        </w:rPr>
        <w:t>La certificación automática del reporte de las categorías de información correspondientes al último periodo anual y al último periodo trimestral, expedida por la Contaduría General de la Nación a través del CHIP.</w:t>
      </w:r>
    </w:p>
    <w:p w14:paraId="2F7E3C73" w14:textId="1B356FDD" w:rsidR="00AB1C17" w:rsidRPr="009A2763" w:rsidRDefault="00AB1C17" w:rsidP="0089458E">
      <w:pPr>
        <w:pStyle w:val="Prrafodelista"/>
        <w:autoSpaceDE w:val="0"/>
        <w:autoSpaceDN w:val="0"/>
        <w:adjustRightInd w:val="0"/>
        <w:spacing w:line="252" w:lineRule="auto"/>
        <w:ind w:left="284"/>
        <w:jc w:val="both"/>
        <w:rPr>
          <w:rFonts w:ascii="Verdana" w:hAnsi="Verdana" w:cs="Arial"/>
          <w:b/>
          <w:bCs/>
          <w:sz w:val="21"/>
          <w:szCs w:val="21"/>
        </w:rPr>
      </w:pPr>
    </w:p>
    <w:p w14:paraId="084F2C61" w14:textId="2DDA2773" w:rsidR="00350FF4" w:rsidRPr="005C45B1" w:rsidRDefault="007768BE" w:rsidP="0089458E">
      <w:pPr>
        <w:pStyle w:val="Prrafodelista"/>
        <w:autoSpaceDE w:val="0"/>
        <w:autoSpaceDN w:val="0"/>
        <w:adjustRightInd w:val="0"/>
        <w:spacing w:line="252" w:lineRule="auto"/>
        <w:ind w:left="284"/>
        <w:jc w:val="both"/>
        <w:rPr>
          <w:rFonts w:ascii="Arial" w:hAnsi="Arial" w:cs="Arial"/>
          <w:sz w:val="22"/>
          <w:szCs w:val="22"/>
        </w:rPr>
      </w:pPr>
      <w:r w:rsidRPr="009A2763">
        <w:rPr>
          <w:rFonts w:ascii="Verdana" w:hAnsi="Verdana" w:cs="Arial"/>
          <w:sz w:val="21"/>
          <w:szCs w:val="21"/>
        </w:rPr>
        <w:t>Teniendo en cuenta que la entidad ha cumplido con el envío oportuno de la</w:t>
      </w:r>
      <w:r w:rsidR="001D65A6" w:rsidRPr="009A2763">
        <w:rPr>
          <w:rFonts w:ascii="Verdana" w:hAnsi="Verdana" w:cs="Arial"/>
          <w:sz w:val="21"/>
          <w:szCs w:val="21"/>
        </w:rPr>
        <w:t xml:space="preserve">s categorías de </w:t>
      </w:r>
      <w:r w:rsidRPr="009A2763">
        <w:rPr>
          <w:rFonts w:ascii="Verdana" w:hAnsi="Verdana" w:cs="Arial"/>
          <w:sz w:val="21"/>
          <w:szCs w:val="21"/>
        </w:rPr>
        <w:t xml:space="preserve">información </w:t>
      </w:r>
      <w:r w:rsidR="005F310E" w:rsidRPr="009A2763">
        <w:rPr>
          <w:rFonts w:ascii="Verdana" w:hAnsi="Verdana" w:cs="Arial"/>
          <w:sz w:val="21"/>
          <w:szCs w:val="21"/>
        </w:rPr>
        <w:t>a la Contaduría General de la Nación</w:t>
      </w:r>
      <w:r w:rsidR="00166836" w:rsidRPr="009A2763">
        <w:rPr>
          <w:rFonts w:ascii="Verdana" w:hAnsi="Verdana" w:cs="Arial"/>
          <w:sz w:val="21"/>
          <w:szCs w:val="21"/>
        </w:rPr>
        <w:t>,</w:t>
      </w:r>
      <w:r w:rsidR="005F310E" w:rsidRPr="009A2763">
        <w:rPr>
          <w:rFonts w:ascii="Verdana" w:hAnsi="Verdana" w:cs="Arial"/>
          <w:sz w:val="21"/>
          <w:szCs w:val="21"/>
        </w:rPr>
        <w:t xml:space="preserve"> a través del Consolidador de Información </w:t>
      </w:r>
      <w:r w:rsidR="00D930D2" w:rsidRPr="009A2763">
        <w:rPr>
          <w:rFonts w:ascii="Verdana" w:hAnsi="Verdana" w:cs="Arial"/>
          <w:sz w:val="21"/>
          <w:szCs w:val="21"/>
        </w:rPr>
        <w:t xml:space="preserve">e Información </w:t>
      </w:r>
      <w:r w:rsidR="005F310E" w:rsidRPr="009A2763">
        <w:rPr>
          <w:rFonts w:ascii="Verdana" w:hAnsi="Verdana" w:cs="Arial"/>
          <w:sz w:val="21"/>
          <w:szCs w:val="21"/>
        </w:rPr>
        <w:t>Pública (CHIP)</w:t>
      </w:r>
      <w:r w:rsidR="00166836" w:rsidRPr="009A2763">
        <w:rPr>
          <w:rFonts w:ascii="Verdana" w:hAnsi="Verdana" w:cs="Arial"/>
          <w:sz w:val="21"/>
          <w:szCs w:val="21"/>
        </w:rPr>
        <w:t xml:space="preserve">, en </w:t>
      </w:r>
      <w:r w:rsidR="004A55F2" w:rsidRPr="009A2763">
        <w:rPr>
          <w:rFonts w:ascii="Verdana" w:eastAsia="Calibri" w:hAnsi="Verdana" w:cs="Arial"/>
          <w:sz w:val="21"/>
          <w:szCs w:val="21"/>
          <w:lang w:val="es-CO"/>
        </w:rPr>
        <w:t xml:space="preserve">documentos adjuntos denominados </w:t>
      </w:r>
      <w:r w:rsidR="004A55F2" w:rsidRPr="009A2763">
        <w:rPr>
          <w:rFonts w:ascii="Verdana" w:eastAsia="Calibri" w:hAnsi="Verdana" w:cs="Arial"/>
          <w:b/>
          <w:bCs/>
          <w:i/>
          <w:iCs/>
          <w:sz w:val="21"/>
          <w:szCs w:val="21"/>
          <w:lang w:val="es-CO"/>
        </w:rPr>
        <w:t xml:space="preserve">Anexo </w:t>
      </w:r>
      <w:r w:rsidR="00F66EAD" w:rsidRPr="009A2763">
        <w:rPr>
          <w:rFonts w:ascii="Verdana" w:eastAsia="Calibri" w:hAnsi="Verdana" w:cs="Arial"/>
          <w:b/>
          <w:bCs/>
          <w:i/>
          <w:iCs/>
          <w:sz w:val="21"/>
          <w:szCs w:val="21"/>
          <w:lang w:val="es-CO"/>
        </w:rPr>
        <w:t>6</w:t>
      </w:r>
      <w:r w:rsidR="004A55F2" w:rsidRPr="009A2763">
        <w:rPr>
          <w:rFonts w:ascii="Verdana" w:eastAsia="Calibri" w:hAnsi="Verdana" w:cs="Arial"/>
          <w:b/>
          <w:bCs/>
          <w:i/>
          <w:iCs/>
          <w:sz w:val="21"/>
          <w:szCs w:val="21"/>
          <w:lang w:val="es-CO"/>
        </w:rPr>
        <w:t xml:space="preserve">.1 Certificación de envío a CGN - FONSE </w:t>
      </w:r>
      <w:r w:rsidR="009C2F5B" w:rsidRPr="009A2763">
        <w:rPr>
          <w:rFonts w:ascii="Verdana" w:eastAsia="Calibri" w:hAnsi="Verdana" w:cs="Arial"/>
          <w:b/>
          <w:bCs/>
          <w:i/>
          <w:iCs/>
          <w:sz w:val="21"/>
          <w:szCs w:val="21"/>
          <w:lang w:val="es-CO"/>
        </w:rPr>
        <w:t>202</w:t>
      </w:r>
      <w:r w:rsidR="007271BF" w:rsidRPr="009A2763">
        <w:rPr>
          <w:rFonts w:ascii="Verdana" w:eastAsia="Calibri" w:hAnsi="Verdana" w:cs="Arial"/>
          <w:b/>
          <w:bCs/>
          <w:i/>
          <w:iCs/>
          <w:sz w:val="21"/>
          <w:szCs w:val="21"/>
          <w:lang w:val="es-CO"/>
        </w:rPr>
        <w:t>3</w:t>
      </w:r>
      <w:r w:rsidR="004A55F2" w:rsidRPr="009A2763">
        <w:rPr>
          <w:rFonts w:ascii="Verdana" w:eastAsia="Calibri" w:hAnsi="Verdana" w:cs="Arial"/>
          <w:b/>
          <w:bCs/>
          <w:i/>
          <w:iCs/>
          <w:sz w:val="21"/>
          <w:szCs w:val="21"/>
          <w:lang w:val="es-CO"/>
        </w:rPr>
        <w:t xml:space="preserve"> </w:t>
      </w:r>
      <w:r w:rsidR="004A55F2" w:rsidRPr="009A2763">
        <w:rPr>
          <w:rFonts w:ascii="Verdana" w:eastAsia="Calibri" w:hAnsi="Verdana" w:cs="Arial"/>
          <w:sz w:val="21"/>
          <w:szCs w:val="21"/>
          <w:lang w:val="es-CO"/>
        </w:rPr>
        <w:t>y</w:t>
      </w:r>
      <w:r w:rsidR="004A55F2" w:rsidRPr="009A2763">
        <w:rPr>
          <w:rFonts w:ascii="Verdana" w:eastAsia="Calibri" w:hAnsi="Verdana" w:cs="Arial"/>
          <w:b/>
          <w:bCs/>
          <w:i/>
          <w:iCs/>
          <w:sz w:val="21"/>
          <w:szCs w:val="21"/>
          <w:lang w:val="es-CO"/>
        </w:rPr>
        <w:t xml:space="preserve"> </w:t>
      </w:r>
      <w:r w:rsidR="00907CE9" w:rsidRPr="009A2763">
        <w:rPr>
          <w:rFonts w:ascii="Verdana" w:eastAsia="Calibri" w:hAnsi="Verdana" w:cs="Arial"/>
          <w:b/>
          <w:bCs/>
          <w:i/>
          <w:iCs/>
          <w:sz w:val="21"/>
          <w:szCs w:val="21"/>
          <w:lang w:val="es-CO"/>
        </w:rPr>
        <w:t xml:space="preserve">Anexo 6.2 Certificación de envío a CGN - FONSE Mar Jun </w:t>
      </w:r>
      <w:proofErr w:type="spellStart"/>
      <w:r w:rsidR="00907CE9" w:rsidRPr="009A2763">
        <w:rPr>
          <w:rFonts w:ascii="Verdana" w:eastAsia="Calibri" w:hAnsi="Verdana" w:cs="Arial"/>
          <w:b/>
          <w:bCs/>
          <w:i/>
          <w:iCs/>
          <w:sz w:val="21"/>
          <w:szCs w:val="21"/>
          <w:lang w:val="es-CO"/>
        </w:rPr>
        <w:t>Sep</w:t>
      </w:r>
      <w:proofErr w:type="spellEnd"/>
      <w:r w:rsidR="00907CE9" w:rsidRPr="009A2763">
        <w:rPr>
          <w:rFonts w:ascii="Verdana" w:eastAsia="Calibri" w:hAnsi="Verdana" w:cs="Arial"/>
          <w:b/>
          <w:bCs/>
          <w:i/>
          <w:iCs/>
          <w:sz w:val="21"/>
          <w:szCs w:val="21"/>
          <w:lang w:val="es-CO"/>
        </w:rPr>
        <w:t xml:space="preserve"> 24</w:t>
      </w:r>
      <w:r w:rsidR="004A55F2" w:rsidRPr="009A2763">
        <w:rPr>
          <w:rFonts w:ascii="Verdana" w:eastAsia="Calibri" w:hAnsi="Verdana" w:cs="Arial"/>
          <w:sz w:val="21"/>
          <w:szCs w:val="21"/>
          <w:lang w:val="es-CO"/>
        </w:rPr>
        <w:t xml:space="preserve">, </w:t>
      </w:r>
      <w:r w:rsidR="005C0561" w:rsidRPr="009A2763">
        <w:rPr>
          <w:rFonts w:ascii="Verdana" w:eastAsia="Calibri" w:hAnsi="Verdana" w:cs="Arial"/>
          <w:sz w:val="21"/>
          <w:szCs w:val="21"/>
          <w:lang w:val="es-CO"/>
        </w:rPr>
        <w:t>se remiten las certificaciones automáticas expedidas por la CGN del reporte a través del CHIP de las categorías de información correspondientes a la vigencia 2023 y los reportes de 2024 con corte a 31 de marzo, 30 de junio y 30 de septiembre de 2024, respectivamente.</w:t>
      </w:r>
    </w:p>
    <w:p w14:paraId="60663CD5" w14:textId="77777777" w:rsidR="00350FF4" w:rsidRPr="005C45B1" w:rsidRDefault="00350FF4" w:rsidP="0089458E">
      <w:pPr>
        <w:spacing w:line="252" w:lineRule="auto"/>
        <w:jc w:val="both"/>
        <w:rPr>
          <w:rFonts w:ascii="Arial" w:hAnsi="Arial" w:cs="Arial"/>
          <w:sz w:val="22"/>
          <w:szCs w:val="22"/>
        </w:rPr>
      </w:pPr>
    </w:p>
    <w:sectPr w:rsidR="00350FF4" w:rsidRPr="005C45B1" w:rsidSect="008F78EF">
      <w:headerReference w:type="default" r:id="rId14"/>
      <w:footerReference w:type="default" r:id="rId15"/>
      <w:headerReference w:type="first" r:id="rId16"/>
      <w:footerReference w:type="first" r:id="rId17"/>
      <w:type w:val="continuous"/>
      <w:pgSz w:w="12240" w:h="15840" w:code="127"/>
      <w:pgMar w:top="2449" w:right="1134" w:bottom="1985" w:left="1701" w:header="284"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B2DB7" w14:textId="77777777" w:rsidR="00746083" w:rsidRDefault="00746083" w:rsidP="00F71345">
      <w:r>
        <w:separator/>
      </w:r>
    </w:p>
  </w:endnote>
  <w:endnote w:type="continuationSeparator" w:id="0">
    <w:p w14:paraId="7B0F4931" w14:textId="77777777" w:rsidR="00746083" w:rsidRDefault="00746083"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Z@R4B.tmp">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A5F5" w14:textId="6C1CDBBB" w:rsidR="00C84B84" w:rsidRPr="00B43E0B" w:rsidRDefault="00BB1A76" w:rsidP="004F2F9F">
    <w:pPr>
      <w:pStyle w:val="Piedepgina"/>
      <w:rPr>
        <w:rFonts w:ascii="Arial" w:hAnsi="Arial" w:cs="Arial"/>
        <w:b/>
        <w:sz w:val="20"/>
        <w:szCs w:val="20"/>
      </w:rPr>
    </w:pPr>
    <w:r>
      <w:rPr>
        <w:noProof/>
      </w:rPr>
      <w:drawing>
        <wp:anchor distT="0" distB="0" distL="114300" distR="114300" simplePos="0" relativeHeight="251682816" behindDoc="0" locked="0" layoutInCell="1" allowOverlap="1" wp14:anchorId="2A268853" wp14:editId="331F5CD0">
          <wp:simplePos x="0" y="0"/>
          <wp:positionH relativeFrom="margin">
            <wp:align>left</wp:align>
          </wp:positionH>
          <wp:positionV relativeFrom="paragraph">
            <wp:posOffset>-695325</wp:posOffset>
          </wp:positionV>
          <wp:extent cx="3150870" cy="869950"/>
          <wp:effectExtent l="0" t="0" r="0" b="6350"/>
          <wp:wrapSquare wrapText="bothSides"/>
          <wp:docPr id="1814825087" name="Imagen 181482508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anchor>
      </w:drawing>
    </w:r>
  </w:p>
  <w:p w14:paraId="54CAA5F6" w14:textId="77777777" w:rsidR="000537A1" w:rsidRPr="00085D89" w:rsidRDefault="000537A1" w:rsidP="00085D89">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A5F8" w14:textId="32127377" w:rsidR="00B43E0B" w:rsidRDefault="00B90CE4" w:rsidP="00CC64EF">
    <w:pPr>
      <w:pStyle w:val="Piedepgina"/>
      <w:tabs>
        <w:tab w:val="clear" w:pos="4419"/>
        <w:tab w:val="clear" w:pos="8838"/>
        <w:tab w:val="left" w:pos="5865"/>
      </w:tabs>
    </w:pPr>
    <w:r>
      <w:rPr>
        <w:noProof/>
      </w:rPr>
      <w:drawing>
        <wp:anchor distT="0" distB="0" distL="114300" distR="114300" simplePos="0" relativeHeight="251686912" behindDoc="0" locked="0" layoutInCell="1" allowOverlap="1" wp14:anchorId="08E45ACD" wp14:editId="1288C032">
          <wp:simplePos x="0" y="0"/>
          <wp:positionH relativeFrom="margin">
            <wp:align>left</wp:align>
          </wp:positionH>
          <wp:positionV relativeFrom="paragraph">
            <wp:posOffset>-819150</wp:posOffset>
          </wp:positionV>
          <wp:extent cx="3150870" cy="869950"/>
          <wp:effectExtent l="0" t="0" r="0" b="6350"/>
          <wp:wrapSquare wrapText="bothSides"/>
          <wp:docPr id="1480647157" name="Imagen 148064715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anchor>
      </w:drawing>
    </w:r>
    <w:r w:rsidR="00CC64E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27C0E" w14:textId="77777777" w:rsidR="00746083" w:rsidRDefault="00746083" w:rsidP="00F71345">
      <w:r>
        <w:separator/>
      </w:r>
    </w:p>
  </w:footnote>
  <w:footnote w:type="continuationSeparator" w:id="0">
    <w:p w14:paraId="76A411F0" w14:textId="77777777" w:rsidR="00746083" w:rsidRDefault="00746083" w:rsidP="00F71345">
      <w:r>
        <w:continuationSeparator/>
      </w:r>
    </w:p>
  </w:footnote>
  <w:footnote w:id="1">
    <w:p w14:paraId="44A36EEE" w14:textId="77777777" w:rsidR="00D04D21" w:rsidRPr="00BB3935" w:rsidRDefault="00D04D21" w:rsidP="00D04D21">
      <w:pPr>
        <w:pStyle w:val="Textonotapie"/>
        <w:jc w:val="both"/>
        <w:rPr>
          <w:rFonts w:ascii="Arial" w:hAnsi="Arial" w:cs="Arial"/>
          <w:sz w:val="16"/>
          <w:szCs w:val="16"/>
        </w:rPr>
      </w:pPr>
      <w:r w:rsidRPr="00BB3935">
        <w:rPr>
          <w:rStyle w:val="Refdenotaalpie"/>
          <w:rFonts w:ascii="Arial" w:eastAsiaTheme="majorEastAsia" w:hAnsi="Arial" w:cs="Arial"/>
          <w:sz w:val="16"/>
          <w:szCs w:val="16"/>
        </w:rPr>
        <w:footnoteRef/>
      </w:r>
      <w:r w:rsidRPr="00BB3935">
        <w:rPr>
          <w:rFonts w:ascii="Arial" w:hAnsi="Arial" w:cs="Arial"/>
          <w:sz w:val="16"/>
          <w:szCs w:val="16"/>
        </w:rPr>
        <w:t xml:space="preserve"> Por medio de la cual se adoptan normas para la promoción del crecimiento económico, el empleo, la inversión, el fortalecimiento de las finanzas públicas y la progresividad, equidad y eficiencia del sistema tributario, de acuerdo con los objetivos que sobre la materia impulsaron la Ley </w:t>
      </w:r>
      <w:hyperlink r:id="rId1" w:anchor="INICIO" w:history="1">
        <w:r w:rsidRPr="00BB3935">
          <w:rPr>
            <w:rFonts w:ascii="Arial" w:hAnsi="Arial" w:cs="Arial"/>
            <w:sz w:val="16"/>
            <w:szCs w:val="16"/>
          </w:rPr>
          <w:t>1943</w:t>
        </w:r>
      </w:hyperlink>
      <w:r w:rsidRPr="00BB3935">
        <w:rPr>
          <w:rFonts w:ascii="Arial" w:hAnsi="Arial" w:cs="Arial"/>
          <w:sz w:val="16"/>
          <w:szCs w:val="16"/>
        </w:rPr>
        <w:t> de 2018 y se dictan otras disposiciones.</w:t>
      </w:r>
    </w:p>
    <w:p w14:paraId="4CE375EB" w14:textId="77777777" w:rsidR="00D04D21" w:rsidRPr="00BB3935" w:rsidRDefault="00D04D21" w:rsidP="00D04D21">
      <w:pPr>
        <w:pStyle w:val="Textonotapie"/>
        <w:jc w:val="both"/>
        <w:rPr>
          <w:rFonts w:ascii="Arial" w:hAnsi="Arial" w:cs="Arial"/>
          <w:sz w:val="16"/>
          <w:szCs w:val="16"/>
        </w:rPr>
      </w:pPr>
    </w:p>
  </w:footnote>
  <w:footnote w:id="2">
    <w:p w14:paraId="4D2F853F" w14:textId="77777777" w:rsidR="00D04D21" w:rsidRPr="00BB3935" w:rsidRDefault="00D04D21" w:rsidP="00D04D21">
      <w:pPr>
        <w:pStyle w:val="Textonotapie"/>
        <w:jc w:val="both"/>
        <w:rPr>
          <w:rFonts w:ascii="Arial" w:hAnsi="Arial" w:cs="Arial"/>
          <w:sz w:val="16"/>
          <w:szCs w:val="16"/>
        </w:rPr>
      </w:pPr>
      <w:r w:rsidRPr="00BB3935">
        <w:rPr>
          <w:rFonts w:ascii="Arial" w:hAnsi="Arial" w:cs="Arial"/>
          <w:sz w:val="16"/>
          <w:szCs w:val="16"/>
        </w:rPr>
        <w:footnoteRef/>
      </w:r>
      <w:r w:rsidRPr="00BB3935">
        <w:rPr>
          <w:rFonts w:ascii="Arial" w:hAnsi="Arial" w:cs="Arial"/>
          <w:sz w:val="16"/>
          <w:szCs w:val="16"/>
        </w:rPr>
        <w:t xml:space="preserve"> Por el cual se autoriza al Fondo de Sostenibilidad Financiera del Sector Eléctrico (FONSE) a realizar operaciones de crédito público para garantizar los procesos de toma de posesión a cargo del Fondo Empresarial de la Superintendencia de Servicios Públicos Domiciliarios afectados por la emergencia sanitaria</w:t>
      </w:r>
    </w:p>
    <w:p w14:paraId="3317A9AA" w14:textId="77777777" w:rsidR="00D04D21" w:rsidRPr="007E6A79" w:rsidRDefault="00D04D21" w:rsidP="00D04D21">
      <w:pPr>
        <w:pStyle w:val="Textonotapie"/>
        <w:jc w:val="both"/>
        <w:rPr>
          <w:rFonts w:ascii="Arial" w:hAnsi="Arial" w:cs="Arial"/>
          <w:sz w:val="16"/>
          <w:szCs w:val="16"/>
        </w:rPr>
      </w:pPr>
    </w:p>
  </w:footnote>
  <w:footnote w:id="3">
    <w:p w14:paraId="2DD4A830" w14:textId="77777777" w:rsidR="00D04D21" w:rsidRPr="00BB3935" w:rsidRDefault="00D04D21" w:rsidP="00D04D21">
      <w:pPr>
        <w:pStyle w:val="Textonotapie"/>
        <w:jc w:val="both"/>
        <w:rPr>
          <w:rFonts w:ascii="Arial" w:hAnsi="Arial" w:cs="Arial"/>
          <w:sz w:val="16"/>
          <w:szCs w:val="16"/>
        </w:rPr>
      </w:pPr>
      <w:r w:rsidRPr="00BB3935">
        <w:rPr>
          <w:rStyle w:val="Refdenotaalpie"/>
          <w:rFonts w:ascii="Arial" w:eastAsiaTheme="majorEastAsia" w:hAnsi="Arial" w:cs="Arial"/>
          <w:sz w:val="16"/>
          <w:szCs w:val="16"/>
        </w:rPr>
        <w:footnoteRef/>
      </w:r>
      <w:r w:rsidRPr="00BB3935">
        <w:rPr>
          <w:rFonts w:ascii="Arial" w:hAnsi="Arial" w:cs="Arial"/>
          <w:sz w:val="16"/>
          <w:szCs w:val="16"/>
        </w:rPr>
        <w:t xml:space="preserve"> </w:t>
      </w:r>
      <w:r w:rsidRPr="00BB3935">
        <w:rPr>
          <w:rFonts w:ascii="Arial" w:hAnsi="Arial" w:cs="Arial"/>
          <w:bCs/>
          <w:sz w:val="16"/>
          <w:szCs w:val="16"/>
          <w:shd w:val="clear" w:color="auto" w:fill="FFFFFF"/>
        </w:rPr>
        <w:t>Por el cual se adiciona la Parte </w:t>
      </w:r>
      <w:hyperlink r:id="rId2" w:anchor="2.21.1" w:history="1">
        <w:r w:rsidRPr="00BB3935">
          <w:rPr>
            <w:rStyle w:val="Hipervnculo"/>
            <w:rFonts w:ascii="Arial" w:eastAsia="Z@R4B.tmp" w:hAnsi="Arial" w:cs="Arial"/>
            <w:bCs/>
            <w:sz w:val="16"/>
            <w:szCs w:val="16"/>
          </w:rPr>
          <w:t>21</w:t>
        </w:r>
      </w:hyperlink>
      <w:r w:rsidRPr="00BB3935">
        <w:rPr>
          <w:rFonts w:ascii="Arial" w:hAnsi="Arial" w:cs="Arial"/>
          <w:bCs/>
          <w:sz w:val="16"/>
          <w:szCs w:val="16"/>
          <w:shd w:val="clear" w:color="auto" w:fill="FFFFFF"/>
        </w:rPr>
        <w:t> al Libro 2 del Decreto 1068 de 2015, Decreto Único Reglamentario del Sector Hacienda y Crédito Público, en lo relacionado con el Fondo de Sostenibilidad Financiera del Sector Eléctrico - FONSE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A5EE" w14:textId="5417FCBB" w:rsidR="00EB6D1E" w:rsidRDefault="00EB6D1E" w:rsidP="00F14025">
    <w:pPr>
      <w:pStyle w:val="Encabezado"/>
      <w:jc w:val="both"/>
      <w:rPr>
        <w:rFonts w:ascii="Arial" w:hAnsi="Arial" w:cs="Arial"/>
        <w:sz w:val="16"/>
        <w:szCs w:val="16"/>
      </w:rPr>
    </w:pPr>
  </w:p>
  <w:p w14:paraId="54CAA5EF" w14:textId="709F09B2" w:rsidR="00EB6D1E" w:rsidRDefault="008F78EF" w:rsidP="00F14025">
    <w:pPr>
      <w:pStyle w:val="Encabezado"/>
      <w:jc w:val="both"/>
      <w:rPr>
        <w:rFonts w:ascii="Arial" w:hAnsi="Arial" w:cs="Arial"/>
        <w:sz w:val="16"/>
        <w:szCs w:val="16"/>
      </w:rPr>
    </w:pPr>
    <w:r w:rsidRPr="002C0036">
      <w:rPr>
        <w:noProof/>
      </w:rPr>
      <w:drawing>
        <wp:anchor distT="0" distB="0" distL="114300" distR="114300" simplePos="0" relativeHeight="251691008" behindDoc="0" locked="0" layoutInCell="1" allowOverlap="1" wp14:anchorId="7926801B" wp14:editId="73994387">
          <wp:simplePos x="0" y="0"/>
          <wp:positionH relativeFrom="column">
            <wp:posOffset>2638425</wp:posOffset>
          </wp:positionH>
          <wp:positionV relativeFrom="paragraph">
            <wp:posOffset>113665</wp:posOffset>
          </wp:positionV>
          <wp:extent cx="988060" cy="741045"/>
          <wp:effectExtent l="0" t="0" r="2540" b="1905"/>
          <wp:wrapSquare wrapText="bothSides"/>
          <wp:docPr id="820174550" name="Picture 2" descr="Logotipo&#10;&#10;Descripción generada automáticamente">
            <a:extLst xmlns:a="http://schemas.openxmlformats.org/drawingml/2006/main">
              <a:ext uri="{FF2B5EF4-FFF2-40B4-BE49-F238E27FC236}">
                <a16:creationId xmlns:a16="http://schemas.microsoft.com/office/drawing/2014/main" id="{80767FBE-E212-5896-B344-6C962EF02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46724" name="Picture 2" descr="Logotipo&#10;&#10;Descripción generada automáticamente">
                    <a:extLst>
                      <a:ext uri="{FF2B5EF4-FFF2-40B4-BE49-F238E27FC236}">
                        <a16:creationId xmlns:a16="http://schemas.microsoft.com/office/drawing/2014/main" id="{80767FBE-E212-5896-B344-6C962EF0252A}"/>
                      </a:ext>
                    </a:extLst>
                  </pic:cNvPr>
                  <pic:cNvPicPr>
                    <a:picLocks noChangeAspect="1" noChangeArrowheads="1"/>
                  </pic:cNvPicPr>
                </pic:nvPicPr>
                <pic:blipFill rotWithShape="1">
                  <a:blip r:link="rId1">
                    <a:extLst>
                      <a:ext uri="{28A0092B-C50C-407E-A947-70E740481C1C}">
                        <a14:useLocalDpi xmlns:a14="http://schemas.microsoft.com/office/drawing/2010/main" val="0"/>
                      </a:ext>
                    </a:extLst>
                  </a:blip>
                  <a:srcRect l="21494" t="21814" r="24353" b="11458"/>
                  <a:stretch>
                    <a:fillRect/>
                  </a:stretch>
                </pic:blipFill>
                <pic:spPr bwMode="auto">
                  <a:xfrm>
                    <a:off x="0" y="0"/>
                    <a:ext cx="98806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4CAA5F0" w14:textId="2F1C6D6F" w:rsidR="00B43E0B" w:rsidRDefault="004F2F9F" w:rsidP="004F2F9F">
    <w:pPr>
      <w:pStyle w:val="Encabezado"/>
      <w:tabs>
        <w:tab w:val="clear" w:pos="4419"/>
        <w:tab w:val="clear" w:pos="8838"/>
        <w:tab w:val="left" w:pos="1831"/>
      </w:tabs>
      <w:ind w:firstLine="708"/>
      <w:jc w:val="both"/>
      <w:rPr>
        <w:rFonts w:ascii="Arial" w:hAnsi="Arial" w:cs="Arial"/>
        <w:sz w:val="16"/>
        <w:szCs w:val="16"/>
      </w:rPr>
    </w:pPr>
    <w:r>
      <w:rPr>
        <w:rFonts w:ascii="Arial" w:hAnsi="Arial" w:cs="Arial"/>
        <w:sz w:val="16"/>
        <w:szCs w:val="16"/>
      </w:rPr>
      <w:tab/>
    </w:r>
  </w:p>
  <w:p w14:paraId="54CAA5F1" w14:textId="6471B4F4" w:rsidR="004D7827" w:rsidRDefault="0033617A" w:rsidP="0033617A">
    <w:pPr>
      <w:pStyle w:val="Encabezado"/>
      <w:tabs>
        <w:tab w:val="clear" w:pos="4419"/>
        <w:tab w:val="clear" w:pos="8838"/>
        <w:tab w:val="left" w:pos="5715"/>
      </w:tabs>
      <w:jc w:val="both"/>
      <w:rPr>
        <w:rFonts w:ascii="Arial" w:hAnsi="Arial" w:cs="Arial"/>
        <w:sz w:val="16"/>
        <w:szCs w:val="16"/>
      </w:rPr>
    </w:pPr>
    <w:r>
      <w:rPr>
        <w:rFonts w:ascii="Arial" w:hAnsi="Arial" w:cs="Arial"/>
        <w:sz w:val="16"/>
        <w:szCs w:val="16"/>
      </w:rPr>
      <w:tab/>
    </w:r>
  </w:p>
  <w:p w14:paraId="54CAA5F2" w14:textId="77777777" w:rsidR="004D7827" w:rsidRDefault="004D7827" w:rsidP="00EB6D1E">
    <w:pPr>
      <w:pStyle w:val="Encabezado"/>
      <w:rPr>
        <w:rFonts w:ascii="Arial" w:hAnsi="Arial" w:cs="Arial"/>
        <w:sz w:val="16"/>
        <w:szCs w:val="16"/>
      </w:rPr>
    </w:pPr>
  </w:p>
  <w:p w14:paraId="54CAA5F3" w14:textId="77777777" w:rsidR="004D7827" w:rsidRDefault="00085D89" w:rsidP="00085D89">
    <w:pPr>
      <w:pStyle w:val="Encabezado"/>
      <w:tabs>
        <w:tab w:val="clear" w:pos="4419"/>
        <w:tab w:val="clear" w:pos="8838"/>
        <w:tab w:val="left" w:pos="1335"/>
      </w:tabs>
      <w:jc w:val="both"/>
      <w:rPr>
        <w:rFonts w:ascii="Arial" w:hAnsi="Arial" w:cs="Arial"/>
        <w:sz w:val="16"/>
        <w:szCs w:val="16"/>
      </w:rPr>
    </w:pPr>
    <w:r>
      <w:rPr>
        <w:rFonts w:ascii="Arial" w:hAnsi="Arial" w:cs="Arial"/>
        <w:sz w:val="16"/>
        <w:szCs w:val="16"/>
      </w:rPr>
      <w:tab/>
    </w:r>
  </w:p>
  <w:p w14:paraId="54CAA5F4" w14:textId="01FB0995" w:rsidR="00A01258" w:rsidRPr="00291100" w:rsidRDefault="008F78EF" w:rsidP="008F78EF">
    <w:pPr>
      <w:pStyle w:val="Encabezado"/>
      <w:tabs>
        <w:tab w:val="clear" w:pos="4419"/>
        <w:tab w:val="left" w:pos="4536"/>
        <w:tab w:val="center" w:pos="9356"/>
      </w:tabs>
    </w:pPr>
    <w:bookmarkStart w:id="3" w:name="_Hlk502904560"/>
    <w:r>
      <w:rPr>
        <w:rFonts w:ascii="Arial" w:hAnsi="Arial" w:cs="Arial"/>
        <w:sz w:val="16"/>
        <w:szCs w:val="16"/>
      </w:rPr>
      <w:tab/>
      <w:t xml:space="preserve">                          </w:t>
    </w:r>
    <w:r w:rsidR="00F14025" w:rsidRPr="00F01F75">
      <w:rPr>
        <w:rFonts w:ascii="Arial" w:hAnsi="Arial" w:cs="Arial"/>
        <w:sz w:val="16"/>
        <w:szCs w:val="16"/>
      </w:rPr>
      <w:t xml:space="preserve">Página </w:t>
    </w:r>
    <w:r w:rsidR="00F14025" w:rsidRPr="00F01F75">
      <w:rPr>
        <w:rStyle w:val="Nmerodepgina"/>
        <w:rFonts w:ascii="Arial" w:hAnsi="Arial" w:cs="Arial"/>
        <w:sz w:val="16"/>
        <w:szCs w:val="16"/>
      </w:rPr>
      <w:fldChar w:fldCharType="begin"/>
    </w:r>
    <w:r w:rsidR="00F14025" w:rsidRPr="00F01F75">
      <w:rPr>
        <w:rStyle w:val="Nmerodepgina"/>
        <w:rFonts w:ascii="Arial" w:hAnsi="Arial" w:cs="Arial"/>
        <w:sz w:val="16"/>
        <w:szCs w:val="16"/>
      </w:rPr>
      <w:instrText xml:space="preserve"> PAGE </w:instrText>
    </w:r>
    <w:r w:rsidR="00F14025" w:rsidRPr="00F01F75">
      <w:rPr>
        <w:rStyle w:val="Nmerodepgina"/>
        <w:rFonts w:ascii="Arial" w:hAnsi="Arial" w:cs="Arial"/>
        <w:sz w:val="16"/>
        <w:szCs w:val="16"/>
      </w:rPr>
      <w:fldChar w:fldCharType="separate"/>
    </w:r>
    <w:r w:rsidR="009B22AF">
      <w:rPr>
        <w:rStyle w:val="Nmerodepgina"/>
        <w:rFonts w:ascii="Arial" w:hAnsi="Arial" w:cs="Arial"/>
        <w:noProof/>
        <w:sz w:val="16"/>
        <w:szCs w:val="16"/>
      </w:rPr>
      <w:t>2</w:t>
    </w:r>
    <w:r w:rsidR="00F14025" w:rsidRPr="00F01F75">
      <w:rPr>
        <w:rStyle w:val="Nmerodepgina"/>
        <w:rFonts w:ascii="Arial" w:hAnsi="Arial" w:cs="Arial"/>
        <w:sz w:val="16"/>
        <w:szCs w:val="16"/>
      </w:rPr>
      <w:fldChar w:fldCharType="end"/>
    </w:r>
    <w:r w:rsidR="00F14025" w:rsidRPr="00F01F75">
      <w:rPr>
        <w:rStyle w:val="Nmerodepgina"/>
        <w:rFonts w:ascii="Arial" w:hAnsi="Arial" w:cs="Arial"/>
        <w:sz w:val="16"/>
        <w:szCs w:val="16"/>
      </w:rPr>
      <w:t xml:space="preserve"> de </w:t>
    </w:r>
    <w:r w:rsidR="00F14025" w:rsidRPr="00F01F75">
      <w:rPr>
        <w:rStyle w:val="Nmerodepgina"/>
        <w:rFonts w:ascii="Arial" w:hAnsi="Arial" w:cs="Arial"/>
        <w:sz w:val="16"/>
        <w:szCs w:val="16"/>
      </w:rPr>
      <w:fldChar w:fldCharType="begin"/>
    </w:r>
    <w:r w:rsidR="00F14025" w:rsidRPr="00F01F75">
      <w:rPr>
        <w:rStyle w:val="Nmerodepgina"/>
        <w:rFonts w:ascii="Arial" w:hAnsi="Arial" w:cs="Arial"/>
        <w:sz w:val="16"/>
        <w:szCs w:val="16"/>
      </w:rPr>
      <w:instrText xml:space="preserve"> NUMPAGES </w:instrText>
    </w:r>
    <w:r w:rsidR="00F14025" w:rsidRPr="00F01F75">
      <w:rPr>
        <w:rStyle w:val="Nmerodepgina"/>
        <w:rFonts w:ascii="Arial" w:hAnsi="Arial" w:cs="Arial"/>
        <w:sz w:val="16"/>
        <w:szCs w:val="16"/>
      </w:rPr>
      <w:fldChar w:fldCharType="separate"/>
    </w:r>
    <w:r w:rsidR="009B22AF">
      <w:rPr>
        <w:rStyle w:val="Nmerodepgina"/>
        <w:rFonts w:ascii="Arial" w:hAnsi="Arial" w:cs="Arial"/>
        <w:noProof/>
        <w:sz w:val="16"/>
        <w:szCs w:val="16"/>
      </w:rPr>
      <w:t>2</w:t>
    </w:r>
    <w:r w:rsidR="00F14025" w:rsidRPr="00F01F75">
      <w:rPr>
        <w:rStyle w:val="Nmerodepgina"/>
        <w:rFonts w:ascii="Arial" w:hAnsi="Arial" w:cs="Arial"/>
        <w:sz w:val="16"/>
        <w:szCs w:val="16"/>
      </w:rPr>
      <w:fldChar w:fldCharType="end"/>
    </w:r>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A5F7" w14:textId="6CFA8CFE" w:rsidR="00A86E09" w:rsidRDefault="00212723" w:rsidP="00B43E0B">
    <w:pPr>
      <w:pStyle w:val="Encabezado"/>
      <w:tabs>
        <w:tab w:val="clear" w:pos="4419"/>
        <w:tab w:val="clear" w:pos="8838"/>
        <w:tab w:val="left" w:pos="5970"/>
      </w:tabs>
    </w:pPr>
    <w:r w:rsidRPr="002C0036">
      <w:rPr>
        <w:noProof/>
      </w:rPr>
      <w:drawing>
        <wp:anchor distT="0" distB="0" distL="114300" distR="114300" simplePos="0" relativeHeight="251688960" behindDoc="0" locked="0" layoutInCell="1" allowOverlap="1" wp14:anchorId="62FFE86E" wp14:editId="0C894E42">
          <wp:simplePos x="0" y="0"/>
          <wp:positionH relativeFrom="column">
            <wp:posOffset>2495550</wp:posOffset>
          </wp:positionH>
          <wp:positionV relativeFrom="paragraph">
            <wp:posOffset>170815</wp:posOffset>
          </wp:positionV>
          <wp:extent cx="988060" cy="741045"/>
          <wp:effectExtent l="0" t="0" r="2540" b="1905"/>
          <wp:wrapSquare wrapText="bothSides"/>
          <wp:docPr id="701008312" name="Picture 2" descr="Logotipo&#10;&#10;Descripción generada automáticamente">
            <a:extLst xmlns:a="http://schemas.openxmlformats.org/drawingml/2006/main">
              <a:ext uri="{FF2B5EF4-FFF2-40B4-BE49-F238E27FC236}">
                <a16:creationId xmlns:a16="http://schemas.microsoft.com/office/drawing/2014/main" id="{80767FBE-E212-5896-B344-6C962EF02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46724" name="Picture 2" descr="Logotipo&#10;&#10;Descripción generada automáticamente">
                    <a:extLst>
                      <a:ext uri="{FF2B5EF4-FFF2-40B4-BE49-F238E27FC236}">
                        <a16:creationId xmlns:a16="http://schemas.microsoft.com/office/drawing/2014/main" id="{80767FBE-E212-5896-B344-6C962EF0252A}"/>
                      </a:ext>
                    </a:extLst>
                  </pic:cNvPr>
                  <pic:cNvPicPr>
                    <a:picLocks noChangeAspect="1" noChangeArrowheads="1"/>
                  </pic:cNvPicPr>
                </pic:nvPicPr>
                <pic:blipFill rotWithShape="1">
                  <a:blip r:link="rId1">
                    <a:extLst>
                      <a:ext uri="{28A0092B-C50C-407E-A947-70E740481C1C}">
                        <a14:useLocalDpi xmlns:a14="http://schemas.microsoft.com/office/drawing/2010/main" val="0"/>
                      </a:ext>
                    </a:extLst>
                  </a:blip>
                  <a:srcRect l="21494" t="21814" r="24353" b="11458"/>
                  <a:stretch>
                    <a:fillRect/>
                  </a:stretch>
                </pic:blipFill>
                <pic:spPr bwMode="auto">
                  <a:xfrm>
                    <a:off x="0" y="0"/>
                    <a:ext cx="988060"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43E0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54CCB"/>
    <w:multiLevelType w:val="multilevel"/>
    <w:tmpl w:val="B8367F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29C22004"/>
    <w:multiLevelType w:val="hybridMultilevel"/>
    <w:tmpl w:val="C1E02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9C80E5F"/>
    <w:multiLevelType w:val="hybridMultilevel"/>
    <w:tmpl w:val="3C16A0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A2766CA"/>
    <w:multiLevelType w:val="hybridMultilevel"/>
    <w:tmpl w:val="36F60DF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 w15:restartNumberingAfterBreak="0">
    <w:nsid w:val="2D3879CB"/>
    <w:multiLevelType w:val="hybridMultilevel"/>
    <w:tmpl w:val="3C16A0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9E37C33"/>
    <w:multiLevelType w:val="multilevel"/>
    <w:tmpl w:val="FA10D78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6C1D71B2"/>
    <w:multiLevelType w:val="hybridMultilevel"/>
    <w:tmpl w:val="01CE858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 w15:restartNumberingAfterBreak="0">
    <w:nsid w:val="72EB78AC"/>
    <w:multiLevelType w:val="hybridMultilevel"/>
    <w:tmpl w:val="D38E92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E5314DB"/>
    <w:multiLevelType w:val="hybridMultilevel"/>
    <w:tmpl w:val="AB5ECF82"/>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4743733">
    <w:abstractNumId w:val="7"/>
  </w:num>
  <w:num w:numId="2" w16cid:durableId="4442770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97817513">
    <w:abstractNumId w:val="8"/>
  </w:num>
  <w:num w:numId="4" w16cid:durableId="1221359243">
    <w:abstractNumId w:val="1"/>
  </w:num>
  <w:num w:numId="5" w16cid:durableId="1848203715">
    <w:abstractNumId w:val="4"/>
  </w:num>
  <w:num w:numId="6" w16cid:durableId="254017624">
    <w:abstractNumId w:val="2"/>
  </w:num>
  <w:num w:numId="7" w16cid:durableId="325138091">
    <w:abstractNumId w:val="3"/>
  </w:num>
  <w:num w:numId="8" w16cid:durableId="1822886399">
    <w:abstractNumId w:val="0"/>
  </w:num>
  <w:num w:numId="9" w16cid:durableId="2123920255">
    <w:abstractNumId w:val="5"/>
  </w:num>
  <w:num w:numId="10" w16cid:durableId="1867519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ocumentProtection w:edit="readOnly" w:enforcement="0"/>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345"/>
    <w:rsid w:val="00002ABF"/>
    <w:rsid w:val="000038F3"/>
    <w:rsid w:val="00003A2E"/>
    <w:rsid w:val="00007453"/>
    <w:rsid w:val="00010924"/>
    <w:rsid w:val="00010A53"/>
    <w:rsid w:val="0001246C"/>
    <w:rsid w:val="000144F1"/>
    <w:rsid w:val="00017DCF"/>
    <w:rsid w:val="00020F4D"/>
    <w:rsid w:val="00020FB4"/>
    <w:rsid w:val="00021649"/>
    <w:rsid w:val="00024E8B"/>
    <w:rsid w:val="00026189"/>
    <w:rsid w:val="00030ED0"/>
    <w:rsid w:val="00032AF9"/>
    <w:rsid w:val="00035906"/>
    <w:rsid w:val="00040C24"/>
    <w:rsid w:val="0005194F"/>
    <w:rsid w:val="000537A1"/>
    <w:rsid w:val="00054A6A"/>
    <w:rsid w:val="00055116"/>
    <w:rsid w:val="00055616"/>
    <w:rsid w:val="00056C80"/>
    <w:rsid w:val="00062F5F"/>
    <w:rsid w:val="00063C8C"/>
    <w:rsid w:val="0006529A"/>
    <w:rsid w:val="00070495"/>
    <w:rsid w:val="0007363A"/>
    <w:rsid w:val="00074969"/>
    <w:rsid w:val="00076460"/>
    <w:rsid w:val="00076592"/>
    <w:rsid w:val="000804A6"/>
    <w:rsid w:val="0008431A"/>
    <w:rsid w:val="00085D89"/>
    <w:rsid w:val="000877D1"/>
    <w:rsid w:val="00090678"/>
    <w:rsid w:val="000917EB"/>
    <w:rsid w:val="00091B81"/>
    <w:rsid w:val="00093212"/>
    <w:rsid w:val="000A2A6C"/>
    <w:rsid w:val="000B0A67"/>
    <w:rsid w:val="000B30FE"/>
    <w:rsid w:val="000B3B37"/>
    <w:rsid w:val="000C4BE5"/>
    <w:rsid w:val="000C7802"/>
    <w:rsid w:val="000D1444"/>
    <w:rsid w:val="000D1532"/>
    <w:rsid w:val="000D245B"/>
    <w:rsid w:val="000D48D5"/>
    <w:rsid w:val="000E0C19"/>
    <w:rsid w:val="000E1115"/>
    <w:rsid w:val="000E226A"/>
    <w:rsid w:val="000E69F1"/>
    <w:rsid w:val="000E702E"/>
    <w:rsid w:val="000F4221"/>
    <w:rsid w:val="000F4636"/>
    <w:rsid w:val="000F6CA1"/>
    <w:rsid w:val="001020A0"/>
    <w:rsid w:val="001037B4"/>
    <w:rsid w:val="00103A7C"/>
    <w:rsid w:val="0011263A"/>
    <w:rsid w:val="001160C8"/>
    <w:rsid w:val="00121429"/>
    <w:rsid w:val="001217A4"/>
    <w:rsid w:val="00123AC5"/>
    <w:rsid w:val="00124EFC"/>
    <w:rsid w:val="001255D2"/>
    <w:rsid w:val="0012597E"/>
    <w:rsid w:val="00127B87"/>
    <w:rsid w:val="0013472A"/>
    <w:rsid w:val="001367AC"/>
    <w:rsid w:val="001425D3"/>
    <w:rsid w:val="00144E6C"/>
    <w:rsid w:val="00150B96"/>
    <w:rsid w:val="001526C4"/>
    <w:rsid w:val="0015304B"/>
    <w:rsid w:val="00153C65"/>
    <w:rsid w:val="001542FF"/>
    <w:rsid w:val="00162830"/>
    <w:rsid w:val="00163AF0"/>
    <w:rsid w:val="001667D5"/>
    <w:rsid w:val="00166836"/>
    <w:rsid w:val="001808AC"/>
    <w:rsid w:val="0018289D"/>
    <w:rsid w:val="00185E2D"/>
    <w:rsid w:val="00191A2A"/>
    <w:rsid w:val="0019290E"/>
    <w:rsid w:val="0019532F"/>
    <w:rsid w:val="001A0AA0"/>
    <w:rsid w:val="001A0BFE"/>
    <w:rsid w:val="001A0E87"/>
    <w:rsid w:val="001A44F3"/>
    <w:rsid w:val="001A5273"/>
    <w:rsid w:val="001A5E04"/>
    <w:rsid w:val="001B40D9"/>
    <w:rsid w:val="001B4BAB"/>
    <w:rsid w:val="001C34C4"/>
    <w:rsid w:val="001C3517"/>
    <w:rsid w:val="001C4236"/>
    <w:rsid w:val="001C5130"/>
    <w:rsid w:val="001C6836"/>
    <w:rsid w:val="001D052F"/>
    <w:rsid w:val="001D0BE6"/>
    <w:rsid w:val="001D2125"/>
    <w:rsid w:val="001D3D03"/>
    <w:rsid w:val="001D5041"/>
    <w:rsid w:val="001D65A6"/>
    <w:rsid w:val="001D6873"/>
    <w:rsid w:val="001E1771"/>
    <w:rsid w:val="001E1850"/>
    <w:rsid w:val="001E1F68"/>
    <w:rsid w:val="001E4865"/>
    <w:rsid w:val="001E4942"/>
    <w:rsid w:val="001F3F0E"/>
    <w:rsid w:val="001F698A"/>
    <w:rsid w:val="0020334F"/>
    <w:rsid w:val="0021072E"/>
    <w:rsid w:val="00210EDD"/>
    <w:rsid w:val="00211084"/>
    <w:rsid w:val="00211AF4"/>
    <w:rsid w:val="00212723"/>
    <w:rsid w:val="00212AE7"/>
    <w:rsid w:val="00213F67"/>
    <w:rsid w:val="002143D7"/>
    <w:rsid w:val="0022264A"/>
    <w:rsid w:val="00224561"/>
    <w:rsid w:val="00225D55"/>
    <w:rsid w:val="00233B92"/>
    <w:rsid w:val="002342F0"/>
    <w:rsid w:val="002364E6"/>
    <w:rsid w:val="002366CB"/>
    <w:rsid w:val="00237C17"/>
    <w:rsid w:val="002409E0"/>
    <w:rsid w:val="00246A30"/>
    <w:rsid w:val="00252E69"/>
    <w:rsid w:val="0025375E"/>
    <w:rsid w:val="00255981"/>
    <w:rsid w:val="002567B0"/>
    <w:rsid w:val="002578D1"/>
    <w:rsid w:val="002667D9"/>
    <w:rsid w:val="0027084B"/>
    <w:rsid w:val="00270DAF"/>
    <w:rsid w:val="00275E0E"/>
    <w:rsid w:val="002773D7"/>
    <w:rsid w:val="002774F6"/>
    <w:rsid w:val="00277D97"/>
    <w:rsid w:val="00282CF4"/>
    <w:rsid w:val="002836F2"/>
    <w:rsid w:val="002845D1"/>
    <w:rsid w:val="00285B17"/>
    <w:rsid w:val="00291100"/>
    <w:rsid w:val="0029207F"/>
    <w:rsid w:val="00295EB4"/>
    <w:rsid w:val="00297769"/>
    <w:rsid w:val="002A4D2E"/>
    <w:rsid w:val="002A6351"/>
    <w:rsid w:val="002B2E03"/>
    <w:rsid w:val="002B7A78"/>
    <w:rsid w:val="002B7C9F"/>
    <w:rsid w:val="002C54D4"/>
    <w:rsid w:val="002D0CBE"/>
    <w:rsid w:val="002D17E3"/>
    <w:rsid w:val="002D24E8"/>
    <w:rsid w:val="002D3979"/>
    <w:rsid w:val="002D5C45"/>
    <w:rsid w:val="002D7007"/>
    <w:rsid w:val="002D74A4"/>
    <w:rsid w:val="002E010D"/>
    <w:rsid w:val="002E3490"/>
    <w:rsid w:val="002E379F"/>
    <w:rsid w:val="002E732D"/>
    <w:rsid w:val="002F077E"/>
    <w:rsid w:val="002F5AEB"/>
    <w:rsid w:val="00302556"/>
    <w:rsid w:val="00307D02"/>
    <w:rsid w:val="00307F40"/>
    <w:rsid w:val="0031058C"/>
    <w:rsid w:val="00310590"/>
    <w:rsid w:val="0031480B"/>
    <w:rsid w:val="0031689C"/>
    <w:rsid w:val="003217BE"/>
    <w:rsid w:val="0032232C"/>
    <w:rsid w:val="00324771"/>
    <w:rsid w:val="00325234"/>
    <w:rsid w:val="00326E5D"/>
    <w:rsid w:val="0033181D"/>
    <w:rsid w:val="0033289D"/>
    <w:rsid w:val="00333173"/>
    <w:rsid w:val="0033617A"/>
    <w:rsid w:val="00337D00"/>
    <w:rsid w:val="0034017D"/>
    <w:rsid w:val="0034312A"/>
    <w:rsid w:val="00350FF4"/>
    <w:rsid w:val="0035445E"/>
    <w:rsid w:val="003552B1"/>
    <w:rsid w:val="003557D1"/>
    <w:rsid w:val="00357744"/>
    <w:rsid w:val="003637CD"/>
    <w:rsid w:val="00365A19"/>
    <w:rsid w:val="003662FD"/>
    <w:rsid w:val="00375460"/>
    <w:rsid w:val="00375C87"/>
    <w:rsid w:val="0038014B"/>
    <w:rsid w:val="0038541A"/>
    <w:rsid w:val="00386C26"/>
    <w:rsid w:val="00387978"/>
    <w:rsid w:val="00391DB0"/>
    <w:rsid w:val="00392011"/>
    <w:rsid w:val="00393349"/>
    <w:rsid w:val="0039455F"/>
    <w:rsid w:val="00395203"/>
    <w:rsid w:val="00395425"/>
    <w:rsid w:val="003957D1"/>
    <w:rsid w:val="00396F0B"/>
    <w:rsid w:val="00397F6A"/>
    <w:rsid w:val="003A5067"/>
    <w:rsid w:val="003A5480"/>
    <w:rsid w:val="003A5881"/>
    <w:rsid w:val="003A6E42"/>
    <w:rsid w:val="003A7A3D"/>
    <w:rsid w:val="003B16E5"/>
    <w:rsid w:val="003B19A5"/>
    <w:rsid w:val="003B231B"/>
    <w:rsid w:val="003B3AB9"/>
    <w:rsid w:val="003B3BFB"/>
    <w:rsid w:val="003B7CB0"/>
    <w:rsid w:val="003C3636"/>
    <w:rsid w:val="003C6D25"/>
    <w:rsid w:val="003D252E"/>
    <w:rsid w:val="003D3880"/>
    <w:rsid w:val="003D6254"/>
    <w:rsid w:val="003D77D7"/>
    <w:rsid w:val="003D7FCC"/>
    <w:rsid w:val="003E15E1"/>
    <w:rsid w:val="003E1A0A"/>
    <w:rsid w:val="003E3A00"/>
    <w:rsid w:val="003E3A94"/>
    <w:rsid w:val="003E3B8D"/>
    <w:rsid w:val="003E5A28"/>
    <w:rsid w:val="003F0147"/>
    <w:rsid w:val="003F0C29"/>
    <w:rsid w:val="003F26E1"/>
    <w:rsid w:val="003F30BD"/>
    <w:rsid w:val="003F4746"/>
    <w:rsid w:val="003F496A"/>
    <w:rsid w:val="003F5FE6"/>
    <w:rsid w:val="004018F1"/>
    <w:rsid w:val="00401D26"/>
    <w:rsid w:val="004028DD"/>
    <w:rsid w:val="0040538E"/>
    <w:rsid w:val="004071CD"/>
    <w:rsid w:val="00410136"/>
    <w:rsid w:val="00410C94"/>
    <w:rsid w:val="00411580"/>
    <w:rsid w:val="00413D25"/>
    <w:rsid w:val="00415F9C"/>
    <w:rsid w:val="00416A2C"/>
    <w:rsid w:val="004176D8"/>
    <w:rsid w:val="00417EBA"/>
    <w:rsid w:val="004207E5"/>
    <w:rsid w:val="00423136"/>
    <w:rsid w:val="00425252"/>
    <w:rsid w:val="004308B9"/>
    <w:rsid w:val="004328A5"/>
    <w:rsid w:val="00432F28"/>
    <w:rsid w:val="00435F57"/>
    <w:rsid w:val="004406A2"/>
    <w:rsid w:val="00442041"/>
    <w:rsid w:val="0044344C"/>
    <w:rsid w:val="0044448B"/>
    <w:rsid w:val="00444FA4"/>
    <w:rsid w:val="0045173C"/>
    <w:rsid w:val="00455BAE"/>
    <w:rsid w:val="004568C9"/>
    <w:rsid w:val="004568F2"/>
    <w:rsid w:val="004602BF"/>
    <w:rsid w:val="00461617"/>
    <w:rsid w:val="00461E3A"/>
    <w:rsid w:val="00462A97"/>
    <w:rsid w:val="004666D9"/>
    <w:rsid w:val="004710C6"/>
    <w:rsid w:val="00472DB8"/>
    <w:rsid w:val="00474A1D"/>
    <w:rsid w:val="00482E5D"/>
    <w:rsid w:val="00487543"/>
    <w:rsid w:val="00496DFE"/>
    <w:rsid w:val="004A00FE"/>
    <w:rsid w:val="004A4150"/>
    <w:rsid w:val="004A55F2"/>
    <w:rsid w:val="004A7973"/>
    <w:rsid w:val="004B27D6"/>
    <w:rsid w:val="004B31E1"/>
    <w:rsid w:val="004B4380"/>
    <w:rsid w:val="004B475A"/>
    <w:rsid w:val="004B59CA"/>
    <w:rsid w:val="004B68CF"/>
    <w:rsid w:val="004C035E"/>
    <w:rsid w:val="004C0D9B"/>
    <w:rsid w:val="004C17EE"/>
    <w:rsid w:val="004C369E"/>
    <w:rsid w:val="004D033A"/>
    <w:rsid w:val="004D377B"/>
    <w:rsid w:val="004D7827"/>
    <w:rsid w:val="004E0C61"/>
    <w:rsid w:val="004E1F46"/>
    <w:rsid w:val="004E332B"/>
    <w:rsid w:val="004E3BF9"/>
    <w:rsid w:val="004E62F0"/>
    <w:rsid w:val="004E6747"/>
    <w:rsid w:val="004E6BAA"/>
    <w:rsid w:val="004E77DB"/>
    <w:rsid w:val="004F2F9F"/>
    <w:rsid w:val="004F7AAD"/>
    <w:rsid w:val="004F7E20"/>
    <w:rsid w:val="00500003"/>
    <w:rsid w:val="00501804"/>
    <w:rsid w:val="00502934"/>
    <w:rsid w:val="00504876"/>
    <w:rsid w:val="00506A9D"/>
    <w:rsid w:val="00510809"/>
    <w:rsid w:val="00511A06"/>
    <w:rsid w:val="0052274F"/>
    <w:rsid w:val="00523C1A"/>
    <w:rsid w:val="005249EA"/>
    <w:rsid w:val="00524FD9"/>
    <w:rsid w:val="00525AEB"/>
    <w:rsid w:val="005301D5"/>
    <w:rsid w:val="005309C3"/>
    <w:rsid w:val="00531ADD"/>
    <w:rsid w:val="005347FD"/>
    <w:rsid w:val="00534BAE"/>
    <w:rsid w:val="00535136"/>
    <w:rsid w:val="00535E0E"/>
    <w:rsid w:val="00537780"/>
    <w:rsid w:val="00540696"/>
    <w:rsid w:val="00543840"/>
    <w:rsid w:val="005454D9"/>
    <w:rsid w:val="00545CE1"/>
    <w:rsid w:val="00546591"/>
    <w:rsid w:val="00547227"/>
    <w:rsid w:val="00547969"/>
    <w:rsid w:val="00551BD3"/>
    <w:rsid w:val="00555D28"/>
    <w:rsid w:val="0055604E"/>
    <w:rsid w:val="00556141"/>
    <w:rsid w:val="005603E6"/>
    <w:rsid w:val="0056243F"/>
    <w:rsid w:val="0056601C"/>
    <w:rsid w:val="005665AF"/>
    <w:rsid w:val="005673F7"/>
    <w:rsid w:val="005675A8"/>
    <w:rsid w:val="00576925"/>
    <w:rsid w:val="005771F4"/>
    <w:rsid w:val="0057721D"/>
    <w:rsid w:val="005778FF"/>
    <w:rsid w:val="00577DB6"/>
    <w:rsid w:val="00584196"/>
    <w:rsid w:val="00584BD0"/>
    <w:rsid w:val="0058721A"/>
    <w:rsid w:val="00591435"/>
    <w:rsid w:val="00595CED"/>
    <w:rsid w:val="005A0BBD"/>
    <w:rsid w:val="005A0F7D"/>
    <w:rsid w:val="005A26B4"/>
    <w:rsid w:val="005A3F5D"/>
    <w:rsid w:val="005A550D"/>
    <w:rsid w:val="005A6723"/>
    <w:rsid w:val="005A77F9"/>
    <w:rsid w:val="005B345C"/>
    <w:rsid w:val="005B5565"/>
    <w:rsid w:val="005C0561"/>
    <w:rsid w:val="005C0A27"/>
    <w:rsid w:val="005C217E"/>
    <w:rsid w:val="005C3644"/>
    <w:rsid w:val="005C5228"/>
    <w:rsid w:val="005C6301"/>
    <w:rsid w:val="005C7349"/>
    <w:rsid w:val="005C7A7F"/>
    <w:rsid w:val="005C7FC2"/>
    <w:rsid w:val="005D0050"/>
    <w:rsid w:val="005D041B"/>
    <w:rsid w:val="005D2662"/>
    <w:rsid w:val="005D3B0F"/>
    <w:rsid w:val="005D3EBA"/>
    <w:rsid w:val="005E1133"/>
    <w:rsid w:val="005E1F3D"/>
    <w:rsid w:val="005E75B3"/>
    <w:rsid w:val="005E7A2A"/>
    <w:rsid w:val="005F310E"/>
    <w:rsid w:val="005F7533"/>
    <w:rsid w:val="005F7FDC"/>
    <w:rsid w:val="00601B17"/>
    <w:rsid w:val="0060279C"/>
    <w:rsid w:val="00603321"/>
    <w:rsid w:val="00603448"/>
    <w:rsid w:val="00604234"/>
    <w:rsid w:val="00611580"/>
    <w:rsid w:val="006136A6"/>
    <w:rsid w:val="00615C78"/>
    <w:rsid w:val="00615FE7"/>
    <w:rsid w:val="0061645A"/>
    <w:rsid w:val="0061694A"/>
    <w:rsid w:val="00616AF7"/>
    <w:rsid w:val="00617568"/>
    <w:rsid w:val="00622C8A"/>
    <w:rsid w:val="0062422E"/>
    <w:rsid w:val="00625034"/>
    <w:rsid w:val="0062513D"/>
    <w:rsid w:val="006252FE"/>
    <w:rsid w:val="00625FC7"/>
    <w:rsid w:val="006274F9"/>
    <w:rsid w:val="0063188F"/>
    <w:rsid w:val="00632801"/>
    <w:rsid w:val="00633E92"/>
    <w:rsid w:val="006350B5"/>
    <w:rsid w:val="006544B3"/>
    <w:rsid w:val="00654A03"/>
    <w:rsid w:val="006569A0"/>
    <w:rsid w:val="00657767"/>
    <w:rsid w:val="00657AFA"/>
    <w:rsid w:val="00657B16"/>
    <w:rsid w:val="00660252"/>
    <w:rsid w:val="0066035A"/>
    <w:rsid w:val="00663098"/>
    <w:rsid w:val="0066491C"/>
    <w:rsid w:val="006651DB"/>
    <w:rsid w:val="00666D61"/>
    <w:rsid w:val="006720B0"/>
    <w:rsid w:val="006720B3"/>
    <w:rsid w:val="00672CF2"/>
    <w:rsid w:val="00672E04"/>
    <w:rsid w:val="006766CF"/>
    <w:rsid w:val="00677C4F"/>
    <w:rsid w:val="00680FE1"/>
    <w:rsid w:val="00681757"/>
    <w:rsid w:val="0068265A"/>
    <w:rsid w:val="00682E2D"/>
    <w:rsid w:val="00684E7F"/>
    <w:rsid w:val="0068583E"/>
    <w:rsid w:val="0068789E"/>
    <w:rsid w:val="00687A9A"/>
    <w:rsid w:val="00687E8C"/>
    <w:rsid w:val="00687F8E"/>
    <w:rsid w:val="00690DBF"/>
    <w:rsid w:val="00691544"/>
    <w:rsid w:val="0069159F"/>
    <w:rsid w:val="00693CB1"/>
    <w:rsid w:val="006A29E0"/>
    <w:rsid w:val="006A2F55"/>
    <w:rsid w:val="006A4265"/>
    <w:rsid w:val="006A6E19"/>
    <w:rsid w:val="006B2BAB"/>
    <w:rsid w:val="006B3FD1"/>
    <w:rsid w:val="006B6057"/>
    <w:rsid w:val="006C2B4A"/>
    <w:rsid w:val="006C327A"/>
    <w:rsid w:val="006C53BE"/>
    <w:rsid w:val="006D12DB"/>
    <w:rsid w:val="006D3012"/>
    <w:rsid w:val="006E12A9"/>
    <w:rsid w:val="006E2ABD"/>
    <w:rsid w:val="006E334F"/>
    <w:rsid w:val="006E3C4F"/>
    <w:rsid w:val="006E7605"/>
    <w:rsid w:val="006E7A5E"/>
    <w:rsid w:val="006F0EA6"/>
    <w:rsid w:val="006F0FD4"/>
    <w:rsid w:val="006F25E6"/>
    <w:rsid w:val="006F6362"/>
    <w:rsid w:val="007018E8"/>
    <w:rsid w:val="00705072"/>
    <w:rsid w:val="00705A3B"/>
    <w:rsid w:val="00706BC6"/>
    <w:rsid w:val="00707110"/>
    <w:rsid w:val="00716052"/>
    <w:rsid w:val="00724790"/>
    <w:rsid w:val="0072505E"/>
    <w:rsid w:val="007252D9"/>
    <w:rsid w:val="007271BF"/>
    <w:rsid w:val="00730185"/>
    <w:rsid w:val="0073107C"/>
    <w:rsid w:val="00731C1E"/>
    <w:rsid w:val="007348A2"/>
    <w:rsid w:val="0073696C"/>
    <w:rsid w:val="00736D5D"/>
    <w:rsid w:val="0074051C"/>
    <w:rsid w:val="007416C5"/>
    <w:rsid w:val="0074179D"/>
    <w:rsid w:val="0074526D"/>
    <w:rsid w:val="00746083"/>
    <w:rsid w:val="00746C97"/>
    <w:rsid w:val="00747124"/>
    <w:rsid w:val="0075573A"/>
    <w:rsid w:val="00760C83"/>
    <w:rsid w:val="0076179D"/>
    <w:rsid w:val="00762023"/>
    <w:rsid w:val="0077431B"/>
    <w:rsid w:val="00774485"/>
    <w:rsid w:val="0077595C"/>
    <w:rsid w:val="007760F2"/>
    <w:rsid w:val="007768BE"/>
    <w:rsid w:val="007772A1"/>
    <w:rsid w:val="00777D9A"/>
    <w:rsid w:val="00777E70"/>
    <w:rsid w:val="00781224"/>
    <w:rsid w:val="00781CA6"/>
    <w:rsid w:val="00784AE3"/>
    <w:rsid w:val="00785368"/>
    <w:rsid w:val="00785803"/>
    <w:rsid w:val="007860F0"/>
    <w:rsid w:val="00790560"/>
    <w:rsid w:val="00790C56"/>
    <w:rsid w:val="00791B49"/>
    <w:rsid w:val="00791F78"/>
    <w:rsid w:val="00792DA2"/>
    <w:rsid w:val="007930F0"/>
    <w:rsid w:val="00796D3C"/>
    <w:rsid w:val="007A1C28"/>
    <w:rsid w:val="007A4523"/>
    <w:rsid w:val="007B2B82"/>
    <w:rsid w:val="007B5F68"/>
    <w:rsid w:val="007B6ABB"/>
    <w:rsid w:val="007B7AA9"/>
    <w:rsid w:val="007C0CF1"/>
    <w:rsid w:val="007C1F48"/>
    <w:rsid w:val="007C269A"/>
    <w:rsid w:val="007C3AAE"/>
    <w:rsid w:val="007D02BE"/>
    <w:rsid w:val="007D69CE"/>
    <w:rsid w:val="007D6E13"/>
    <w:rsid w:val="007D6F23"/>
    <w:rsid w:val="007E182E"/>
    <w:rsid w:val="007E46DD"/>
    <w:rsid w:val="007E4A9D"/>
    <w:rsid w:val="007E5AAF"/>
    <w:rsid w:val="007E6A79"/>
    <w:rsid w:val="007F035C"/>
    <w:rsid w:val="007F0AD0"/>
    <w:rsid w:val="007F12C6"/>
    <w:rsid w:val="007F5198"/>
    <w:rsid w:val="007F5CF1"/>
    <w:rsid w:val="00802A2A"/>
    <w:rsid w:val="00803DB9"/>
    <w:rsid w:val="00805EA1"/>
    <w:rsid w:val="00810917"/>
    <w:rsid w:val="00812AC5"/>
    <w:rsid w:val="00815D48"/>
    <w:rsid w:val="008220B9"/>
    <w:rsid w:val="00824FFF"/>
    <w:rsid w:val="00825EEC"/>
    <w:rsid w:val="008307A0"/>
    <w:rsid w:val="008331D2"/>
    <w:rsid w:val="00837712"/>
    <w:rsid w:val="00844E61"/>
    <w:rsid w:val="00857B85"/>
    <w:rsid w:val="00862A45"/>
    <w:rsid w:val="00870693"/>
    <w:rsid w:val="00874A67"/>
    <w:rsid w:val="00875DC7"/>
    <w:rsid w:val="008800C6"/>
    <w:rsid w:val="00881702"/>
    <w:rsid w:val="00882EF3"/>
    <w:rsid w:val="0088514A"/>
    <w:rsid w:val="00886FE4"/>
    <w:rsid w:val="0089458E"/>
    <w:rsid w:val="00896C15"/>
    <w:rsid w:val="008A2370"/>
    <w:rsid w:val="008A2D0E"/>
    <w:rsid w:val="008A2D5F"/>
    <w:rsid w:val="008A431C"/>
    <w:rsid w:val="008A64C4"/>
    <w:rsid w:val="008C3019"/>
    <w:rsid w:val="008C40F7"/>
    <w:rsid w:val="008C5784"/>
    <w:rsid w:val="008C697A"/>
    <w:rsid w:val="008C705B"/>
    <w:rsid w:val="008D6D1A"/>
    <w:rsid w:val="008E021D"/>
    <w:rsid w:val="008E0ABC"/>
    <w:rsid w:val="008E37E9"/>
    <w:rsid w:val="008E4238"/>
    <w:rsid w:val="008E51CD"/>
    <w:rsid w:val="008E5A7B"/>
    <w:rsid w:val="008E6B74"/>
    <w:rsid w:val="008E7F63"/>
    <w:rsid w:val="008F0AB3"/>
    <w:rsid w:val="008F0F8C"/>
    <w:rsid w:val="008F1765"/>
    <w:rsid w:val="008F25D2"/>
    <w:rsid w:val="008F3972"/>
    <w:rsid w:val="008F3ADF"/>
    <w:rsid w:val="008F78EF"/>
    <w:rsid w:val="00902085"/>
    <w:rsid w:val="009028BA"/>
    <w:rsid w:val="009030E9"/>
    <w:rsid w:val="0090624B"/>
    <w:rsid w:val="00906DF6"/>
    <w:rsid w:val="0090799D"/>
    <w:rsid w:val="00907CE9"/>
    <w:rsid w:val="009102E9"/>
    <w:rsid w:val="00911D69"/>
    <w:rsid w:val="0091320B"/>
    <w:rsid w:val="00914171"/>
    <w:rsid w:val="00914A7A"/>
    <w:rsid w:val="0091782B"/>
    <w:rsid w:val="0092009A"/>
    <w:rsid w:val="009214AE"/>
    <w:rsid w:val="00922BA9"/>
    <w:rsid w:val="0092394C"/>
    <w:rsid w:val="009274A6"/>
    <w:rsid w:val="009332C9"/>
    <w:rsid w:val="00942465"/>
    <w:rsid w:val="00942E9F"/>
    <w:rsid w:val="00943F89"/>
    <w:rsid w:val="0094458E"/>
    <w:rsid w:val="00945426"/>
    <w:rsid w:val="009463EF"/>
    <w:rsid w:val="00947116"/>
    <w:rsid w:val="0095477C"/>
    <w:rsid w:val="00955248"/>
    <w:rsid w:val="00957EA5"/>
    <w:rsid w:val="00962F73"/>
    <w:rsid w:val="009666F2"/>
    <w:rsid w:val="00967C2D"/>
    <w:rsid w:val="00970C83"/>
    <w:rsid w:val="00971A1F"/>
    <w:rsid w:val="009737F3"/>
    <w:rsid w:val="00975A04"/>
    <w:rsid w:val="009807C8"/>
    <w:rsid w:val="00982E91"/>
    <w:rsid w:val="00983BF6"/>
    <w:rsid w:val="00985DF7"/>
    <w:rsid w:val="00986327"/>
    <w:rsid w:val="0098797F"/>
    <w:rsid w:val="009906DB"/>
    <w:rsid w:val="009914D3"/>
    <w:rsid w:val="009965E1"/>
    <w:rsid w:val="00996E4F"/>
    <w:rsid w:val="0099714C"/>
    <w:rsid w:val="009A2763"/>
    <w:rsid w:val="009A4716"/>
    <w:rsid w:val="009A73EF"/>
    <w:rsid w:val="009B06D8"/>
    <w:rsid w:val="009B22AF"/>
    <w:rsid w:val="009B274A"/>
    <w:rsid w:val="009B3243"/>
    <w:rsid w:val="009B3573"/>
    <w:rsid w:val="009B52DE"/>
    <w:rsid w:val="009B583F"/>
    <w:rsid w:val="009C0074"/>
    <w:rsid w:val="009C1F44"/>
    <w:rsid w:val="009C2F5B"/>
    <w:rsid w:val="009C464A"/>
    <w:rsid w:val="009C4A78"/>
    <w:rsid w:val="009C4DB4"/>
    <w:rsid w:val="009C5FF5"/>
    <w:rsid w:val="009C6862"/>
    <w:rsid w:val="009D0117"/>
    <w:rsid w:val="009D1B9E"/>
    <w:rsid w:val="009D1CD4"/>
    <w:rsid w:val="009D3D4F"/>
    <w:rsid w:val="009D68AB"/>
    <w:rsid w:val="009E1808"/>
    <w:rsid w:val="009E2A5D"/>
    <w:rsid w:val="009E7BB5"/>
    <w:rsid w:val="009F4732"/>
    <w:rsid w:val="009F5529"/>
    <w:rsid w:val="009F57E6"/>
    <w:rsid w:val="00A00948"/>
    <w:rsid w:val="00A01258"/>
    <w:rsid w:val="00A0174E"/>
    <w:rsid w:val="00A017E8"/>
    <w:rsid w:val="00A041F4"/>
    <w:rsid w:val="00A10855"/>
    <w:rsid w:val="00A151E2"/>
    <w:rsid w:val="00A1526B"/>
    <w:rsid w:val="00A16FEE"/>
    <w:rsid w:val="00A210AF"/>
    <w:rsid w:val="00A21214"/>
    <w:rsid w:val="00A213FA"/>
    <w:rsid w:val="00A219A5"/>
    <w:rsid w:val="00A232AA"/>
    <w:rsid w:val="00A24A1C"/>
    <w:rsid w:val="00A25EE4"/>
    <w:rsid w:val="00A2682F"/>
    <w:rsid w:val="00A31AD7"/>
    <w:rsid w:val="00A33BC5"/>
    <w:rsid w:val="00A41618"/>
    <w:rsid w:val="00A43483"/>
    <w:rsid w:val="00A45637"/>
    <w:rsid w:val="00A45C91"/>
    <w:rsid w:val="00A45F26"/>
    <w:rsid w:val="00A46230"/>
    <w:rsid w:val="00A475F5"/>
    <w:rsid w:val="00A476A6"/>
    <w:rsid w:val="00A47CA3"/>
    <w:rsid w:val="00A5170C"/>
    <w:rsid w:val="00A51AAD"/>
    <w:rsid w:val="00A62E16"/>
    <w:rsid w:val="00A6486F"/>
    <w:rsid w:val="00A64912"/>
    <w:rsid w:val="00A7066A"/>
    <w:rsid w:val="00A715C2"/>
    <w:rsid w:val="00A71B7A"/>
    <w:rsid w:val="00A71EB4"/>
    <w:rsid w:val="00A76393"/>
    <w:rsid w:val="00A81BF3"/>
    <w:rsid w:val="00A86090"/>
    <w:rsid w:val="00A86564"/>
    <w:rsid w:val="00A867C6"/>
    <w:rsid w:val="00A867FA"/>
    <w:rsid w:val="00A86D89"/>
    <w:rsid w:val="00A86E09"/>
    <w:rsid w:val="00A913BA"/>
    <w:rsid w:val="00A97221"/>
    <w:rsid w:val="00A977A7"/>
    <w:rsid w:val="00AA1102"/>
    <w:rsid w:val="00AA3C5B"/>
    <w:rsid w:val="00AA4879"/>
    <w:rsid w:val="00AA71E5"/>
    <w:rsid w:val="00AB1C17"/>
    <w:rsid w:val="00AB3B76"/>
    <w:rsid w:val="00AB3D0A"/>
    <w:rsid w:val="00AB668B"/>
    <w:rsid w:val="00AB69A4"/>
    <w:rsid w:val="00AB6A37"/>
    <w:rsid w:val="00AB6AE0"/>
    <w:rsid w:val="00AC4B89"/>
    <w:rsid w:val="00AC546A"/>
    <w:rsid w:val="00AC763E"/>
    <w:rsid w:val="00AD0830"/>
    <w:rsid w:val="00AD180E"/>
    <w:rsid w:val="00AD52D0"/>
    <w:rsid w:val="00AE187D"/>
    <w:rsid w:val="00AE1B43"/>
    <w:rsid w:val="00AE2851"/>
    <w:rsid w:val="00AE30D3"/>
    <w:rsid w:val="00AE5E3E"/>
    <w:rsid w:val="00AE6E81"/>
    <w:rsid w:val="00AF1666"/>
    <w:rsid w:val="00AF1DB7"/>
    <w:rsid w:val="00AF62EA"/>
    <w:rsid w:val="00AF7290"/>
    <w:rsid w:val="00AF7790"/>
    <w:rsid w:val="00B00B11"/>
    <w:rsid w:val="00B045A1"/>
    <w:rsid w:val="00B05F7B"/>
    <w:rsid w:val="00B100AB"/>
    <w:rsid w:val="00B11116"/>
    <w:rsid w:val="00B14709"/>
    <w:rsid w:val="00B20F2B"/>
    <w:rsid w:val="00B22F0D"/>
    <w:rsid w:val="00B23F22"/>
    <w:rsid w:val="00B2425D"/>
    <w:rsid w:val="00B278C6"/>
    <w:rsid w:val="00B31754"/>
    <w:rsid w:val="00B321C4"/>
    <w:rsid w:val="00B33701"/>
    <w:rsid w:val="00B342EC"/>
    <w:rsid w:val="00B3560A"/>
    <w:rsid w:val="00B36397"/>
    <w:rsid w:val="00B36584"/>
    <w:rsid w:val="00B37898"/>
    <w:rsid w:val="00B4159A"/>
    <w:rsid w:val="00B41BDA"/>
    <w:rsid w:val="00B4370E"/>
    <w:rsid w:val="00B43E0B"/>
    <w:rsid w:val="00B44184"/>
    <w:rsid w:val="00B4676E"/>
    <w:rsid w:val="00B475EC"/>
    <w:rsid w:val="00B5069B"/>
    <w:rsid w:val="00B50C5C"/>
    <w:rsid w:val="00B512CC"/>
    <w:rsid w:val="00B57252"/>
    <w:rsid w:val="00B64669"/>
    <w:rsid w:val="00B65343"/>
    <w:rsid w:val="00B655A4"/>
    <w:rsid w:val="00B65B2C"/>
    <w:rsid w:val="00B70EDB"/>
    <w:rsid w:val="00B723BC"/>
    <w:rsid w:val="00B730A9"/>
    <w:rsid w:val="00B732F8"/>
    <w:rsid w:val="00B74688"/>
    <w:rsid w:val="00B76757"/>
    <w:rsid w:val="00B80724"/>
    <w:rsid w:val="00B80C1F"/>
    <w:rsid w:val="00B814A0"/>
    <w:rsid w:val="00B85264"/>
    <w:rsid w:val="00B861A6"/>
    <w:rsid w:val="00B8664A"/>
    <w:rsid w:val="00B86CCF"/>
    <w:rsid w:val="00B87996"/>
    <w:rsid w:val="00B90CE4"/>
    <w:rsid w:val="00B9789A"/>
    <w:rsid w:val="00BA0BE3"/>
    <w:rsid w:val="00BA18E8"/>
    <w:rsid w:val="00BA1A03"/>
    <w:rsid w:val="00BB18F3"/>
    <w:rsid w:val="00BB1A76"/>
    <w:rsid w:val="00BB262E"/>
    <w:rsid w:val="00BB3935"/>
    <w:rsid w:val="00BB5205"/>
    <w:rsid w:val="00BB6A88"/>
    <w:rsid w:val="00BC0B1D"/>
    <w:rsid w:val="00BC1762"/>
    <w:rsid w:val="00BC39CF"/>
    <w:rsid w:val="00BC5BE4"/>
    <w:rsid w:val="00BC7C47"/>
    <w:rsid w:val="00BD059F"/>
    <w:rsid w:val="00BD0DA2"/>
    <w:rsid w:val="00BD360E"/>
    <w:rsid w:val="00BD4031"/>
    <w:rsid w:val="00BD4DA3"/>
    <w:rsid w:val="00BD4F7B"/>
    <w:rsid w:val="00BD5B0C"/>
    <w:rsid w:val="00BD6986"/>
    <w:rsid w:val="00BD6B7F"/>
    <w:rsid w:val="00BE0718"/>
    <w:rsid w:val="00BE32BF"/>
    <w:rsid w:val="00BE65E4"/>
    <w:rsid w:val="00C00F46"/>
    <w:rsid w:val="00C012F8"/>
    <w:rsid w:val="00C01B7B"/>
    <w:rsid w:val="00C02558"/>
    <w:rsid w:val="00C03053"/>
    <w:rsid w:val="00C03602"/>
    <w:rsid w:val="00C03780"/>
    <w:rsid w:val="00C040BB"/>
    <w:rsid w:val="00C062A1"/>
    <w:rsid w:val="00C06598"/>
    <w:rsid w:val="00C06A02"/>
    <w:rsid w:val="00C12665"/>
    <w:rsid w:val="00C143F0"/>
    <w:rsid w:val="00C14C7D"/>
    <w:rsid w:val="00C16514"/>
    <w:rsid w:val="00C1713D"/>
    <w:rsid w:val="00C1777E"/>
    <w:rsid w:val="00C21A2B"/>
    <w:rsid w:val="00C235FD"/>
    <w:rsid w:val="00C23970"/>
    <w:rsid w:val="00C366B4"/>
    <w:rsid w:val="00C4135D"/>
    <w:rsid w:val="00C447A9"/>
    <w:rsid w:val="00C451F1"/>
    <w:rsid w:val="00C51A65"/>
    <w:rsid w:val="00C5382F"/>
    <w:rsid w:val="00C53BBD"/>
    <w:rsid w:val="00C53E7E"/>
    <w:rsid w:val="00C55815"/>
    <w:rsid w:val="00C572E2"/>
    <w:rsid w:val="00C57D87"/>
    <w:rsid w:val="00C60D6F"/>
    <w:rsid w:val="00C72E00"/>
    <w:rsid w:val="00C7482C"/>
    <w:rsid w:val="00C75500"/>
    <w:rsid w:val="00C7644C"/>
    <w:rsid w:val="00C80CC0"/>
    <w:rsid w:val="00C84B84"/>
    <w:rsid w:val="00C873B1"/>
    <w:rsid w:val="00C92CDA"/>
    <w:rsid w:val="00C9592A"/>
    <w:rsid w:val="00CA2F03"/>
    <w:rsid w:val="00CA5028"/>
    <w:rsid w:val="00CB1922"/>
    <w:rsid w:val="00CB2B5E"/>
    <w:rsid w:val="00CB48D6"/>
    <w:rsid w:val="00CB7674"/>
    <w:rsid w:val="00CC068E"/>
    <w:rsid w:val="00CC0E14"/>
    <w:rsid w:val="00CC513C"/>
    <w:rsid w:val="00CC64EF"/>
    <w:rsid w:val="00CC6F24"/>
    <w:rsid w:val="00CC7721"/>
    <w:rsid w:val="00CD0880"/>
    <w:rsid w:val="00CD2147"/>
    <w:rsid w:val="00CD479E"/>
    <w:rsid w:val="00CD52FC"/>
    <w:rsid w:val="00CD599B"/>
    <w:rsid w:val="00CE6F0D"/>
    <w:rsid w:val="00CF3CDE"/>
    <w:rsid w:val="00CF4F9A"/>
    <w:rsid w:val="00CF5B40"/>
    <w:rsid w:val="00CF6D7E"/>
    <w:rsid w:val="00CF7124"/>
    <w:rsid w:val="00D00224"/>
    <w:rsid w:val="00D004D0"/>
    <w:rsid w:val="00D00D85"/>
    <w:rsid w:val="00D04D21"/>
    <w:rsid w:val="00D07593"/>
    <w:rsid w:val="00D10DFC"/>
    <w:rsid w:val="00D10FB0"/>
    <w:rsid w:val="00D13D04"/>
    <w:rsid w:val="00D14C5C"/>
    <w:rsid w:val="00D16D88"/>
    <w:rsid w:val="00D21D2A"/>
    <w:rsid w:val="00D21FEB"/>
    <w:rsid w:val="00D252F4"/>
    <w:rsid w:val="00D25E37"/>
    <w:rsid w:val="00D33910"/>
    <w:rsid w:val="00D33E2F"/>
    <w:rsid w:val="00D36718"/>
    <w:rsid w:val="00D40413"/>
    <w:rsid w:val="00D4581A"/>
    <w:rsid w:val="00D45F04"/>
    <w:rsid w:val="00D4631F"/>
    <w:rsid w:val="00D46E69"/>
    <w:rsid w:val="00D476C4"/>
    <w:rsid w:val="00D47C9B"/>
    <w:rsid w:val="00D502E4"/>
    <w:rsid w:val="00D51825"/>
    <w:rsid w:val="00D6120D"/>
    <w:rsid w:val="00D61B82"/>
    <w:rsid w:val="00D658AB"/>
    <w:rsid w:val="00D70D4F"/>
    <w:rsid w:val="00D7313B"/>
    <w:rsid w:val="00D77328"/>
    <w:rsid w:val="00D82E9B"/>
    <w:rsid w:val="00D83A88"/>
    <w:rsid w:val="00D8766D"/>
    <w:rsid w:val="00D90BE8"/>
    <w:rsid w:val="00D930D2"/>
    <w:rsid w:val="00D97E4E"/>
    <w:rsid w:val="00DA1F8D"/>
    <w:rsid w:val="00DA359E"/>
    <w:rsid w:val="00DA5614"/>
    <w:rsid w:val="00DA5B86"/>
    <w:rsid w:val="00DB1253"/>
    <w:rsid w:val="00DB27AF"/>
    <w:rsid w:val="00DB2AE3"/>
    <w:rsid w:val="00DB3509"/>
    <w:rsid w:val="00DB5AE8"/>
    <w:rsid w:val="00DB7365"/>
    <w:rsid w:val="00DC5BCC"/>
    <w:rsid w:val="00DC6A96"/>
    <w:rsid w:val="00DC6CD4"/>
    <w:rsid w:val="00DC7691"/>
    <w:rsid w:val="00DD5C6E"/>
    <w:rsid w:val="00DD6E1A"/>
    <w:rsid w:val="00DE0C4F"/>
    <w:rsid w:val="00DE1474"/>
    <w:rsid w:val="00DE2272"/>
    <w:rsid w:val="00DE6D57"/>
    <w:rsid w:val="00DE6F28"/>
    <w:rsid w:val="00DF03C2"/>
    <w:rsid w:val="00DF2816"/>
    <w:rsid w:val="00DF3A3F"/>
    <w:rsid w:val="00DF6188"/>
    <w:rsid w:val="00DF72D1"/>
    <w:rsid w:val="00E00F4F"/>
    <w:rsid w:val="00E046F8"/>
    <w:rsid w:val="00E1182A"/>
    <w:rsid w:val="00E1194D"/>
    <w:rsid w:val="00E2185C"/>
    <w:rsid w:val="00E21CB1"/>
    <w:rsid w:val="00E27CDC"/>
    <w:rsid w:val="00E27EEE"/>
    <w:rsid w:val="00E33A22"/>
    <w:rsid w:val="00E37429"/>
    <w:rsid w:val="00E40B9E"/>
    <w:rsid w:val="00E44CE3"/>
    <w:rsid w:val="00E4649F"/>
    <w:rsid w:val="00E46875"/>
    <w:rsid w:val="00E4760B"/>
    <w:rsid w:val="00E51C09"/>
    <w:rsid w:val="00E52769"/>
    <w:rsid w:val="00E541A7"/>
    <w:rsid w:val="00E543C2"/>
    <w:rsid w:val="00E5652A"/>
    <w:rsid w:val="00E617A1"/>
    <w:rsid w:val="00E617C4"/>
    <w:rsid w:val="00E70598"/>
    <w:rsid w:val="00E71ACA"/>
    <w:rsid w:val="00E725CD"/>
    <w:rsid w:val="00E745CD"/>
    <w:rsid w:val="00E76CFE"/>
    <w:rsid w:val="00E80148"/>
    <w:rsid w:val="00E8164D"/>
    <w:rsid w:val="00E82DA8"/>
    <w:rsid w:val="00E84A3E"/>
    <w:rsid w:val="00E8502A"/>
    <w:rsid w:val="00E91C0F"/>
    <w:rsid w:val="00E91F80"/>
    <w:rsid w:val="00E9207A"/>
    <w:rsid w:val="00E93C28"/>
    <w:rsid w:val="00E97BFD"/>
    <w:rsid w:val="00EA03C7"/>
    <w:rsid w:val="00EA0522"/>
    <w:rsid w:val="00EA2072"/>
    <w:rsid w:val="00EA5048"/>
    <w:rsid w:val="00EA56CF"/>
    <w:rsid w:val="00EA7752"/>
    <w:rsid w:val="00EA7DDF"/>
    <w:rsid w:val="00EB1F86"/>
    <w:rsid w:val="00EB439B"/>
    <w:rsid w:val="00EB450F"/>
    <w:rsid w:val="00EB5246"/>
    <w:rsid w:val="00EB6D1E"/>
    <w:rsid w:val="00EB7799"/>
    <w:rsid w:val="00EB7FF5"/>
    <w:rsid w:val="00EC1F25"/>
    <w:rsid w:val="00ED2AEA"/>
    <w:rsid w:val="00EE20CB"/>
    <w:rsid w:val="00EE231F"/>
    <w:rsid w:val="00EF07A0"/>
    <w:rsid w:val="00EF30E7"/>
    <w:rsid w:val="00EF523B"/>
    <w:rsid w:val="00EF6C5D"/>
    <w:rsid w:val="00EF724D"/>
    <w:rsid w:val="00F003E8"/>
    <w:rsid w:val="00F03BCE"/>
    <w:rsid w:val="00F04D0A"/>
    <w:rsid w:val="00F055E4"/>
    <w:rsid w:val="00F076AA"/>
    <w:rsid w:val="00F07D0D"/>
    <w:rsid w:val="00F107F1"/>
    <w:rsid w:val="00F1351B"/>
    <w:rsid w:val="00F13AD8"/>
    <w:rsid w:val="00F14025"/>
    <w:rsid w:val="00F17232"/>
    <w:rsid w:val="00F23384"/>
    <w:rsid w:val="00F25B97"/>
    <w:rsid w:val="00F25DF8"/>
    <w:rsid w:val="00F33E50"/>
    <w:rsid w:val="00F3435A"/>
    <w:rsid w:val="00F409FE"/>
    <w:rsid w:val="00F40CBE"/>
    <w:rsid w:val="00F52C5F"/>
    <w:rsid w:val="00F5337F"/>
    <w:rsid w:val="00F60338"/>
    <w:rsid w:val="00F619DB"/>
    <w:rsid w:val="00F62543"/>
    <w:rsid w:val="00F642A9"/>
    <w:rsid w:val="00F65748"/>
    <w:rsid w:val="00F65BA5"/>
    <w:rsid w:val="00F66EAD"/>
    <w:rsid w:val="00F6773A"/>
    <w:rsid w:val="00F70656"/>
    <w:rsid w:val="00F71345"/>
    <w:rsid w:val="00F74B28"/>
    <w:rsid w:val="00F77074"/>
    <w:rsid w:val="00F80DEC"/>
    <w:rsid w:val="00F80F3C"/>
    <w:rsid w:val="00F8115F"/>
    <w:rsid w:val="00F81AD6"/>
    <w:rsid w:val="00F862D2"/>
    <w:rsid w:val="00F9176B"/>
    <w:rsid w:val="00F95060"/>
    <w:rsid w:val="00F957A1"/>
    <w:rsid w:val="00F970D0"/>
    <w:rsid w:val="00FA1434"/>
    <w:rsid w:val="00FA1C62"/>
    <w:rsid w:val="00FA25A7"/>
    <w:rsid w:val="00FA6121"/>
    <w:rsid w:val="00FB0F16"/>
    <w:rsid w:val="00FB2529"/>
    <w:rsid w:val="00FB460D"/>
    <w:rsid w:val="00FB6B9C"/>
    <w:rsid w:val="00FB7742"/>
    <w:rsid w:val="00FC15A2"/>
    <w:rsid w:val="00FC43B1"/>
    <w:rsid w:val="00FC49FA"/>
    <w:rsid w:val="00FC4A32"/>
    <w:rsid w:val="00FC59A3"/>
    <w:rsid w:val="00FD2AFE"/>
    <w:rsid w:val="00FD53B5"/>
    <w:rsid w:val="00FD66D8"/>
    <w:rsid w:val="00FD6FC1"/>
    <w:rsid w:val="00FD789D"/>
    <w:rsid w:val="00FE3546"/>
    <w:rsid w:val="00FE75E0"/>
    <w:rsid w:val="00FF1BBD"/>
    <w:rsid w:val="7249B09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CAA57D"/>
  <w15:docId w15:val="{4BE42720-CC28-4374-A865-79C13CC8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830"/>
    <w:rPr>
      <w:rFonts w:ascii="Times New Roman" w:eastAsia="MS Mincho"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71345"/>
    <w:pPr>
      <w:tabs>
        <w:tab w:val="center" w:pos="4419"/>
        <w:tab w:val="right" w:pos="8838"/>
      </w:tabs>
    </w:pPr>
    <w:rPr>
      <w:rFonts w:ascii="Calibri" w:eastAsia="Calibri" w:hAnsi="Calibri" w:cs="Calibri"/>
      <w:sz w:val="22"/>
      <w:szCs w:val="22"/>
      <w:lang w:val="es-CO" w:eastAsia="en-US"/>
    </w:rPr>
  </w:style>
  <w:style w:type="character" w:customStyle="1" w:styleId="EncabezadoCar">
    <w:name w:val="Encabezado Car"/>
    <w:basedOn w:val="Fuentedeprrafopredeter"/>
    <w:link w:val="Encabezado"/>
    <w:uiPriority w:val="99"/>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 w:val="22"/>
      <w:szCs w:val="22"/>
      <w:lang w:val="es-CO" w:eastAsia="en-US"/>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lang w:val="es-CO" w:eastAsia="en-US"/>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9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uiPriority w:val="99"/>
    <w:rsid w:val="00F65748"/>
    <w:rPr>
      <w:rFonts w:cs="Times New Roman"/>
    </w:rPr>
  </w:style>
  <w:style w:type="paragraph" w:customStyle="1" w:styleId="Body">
    <w:name w:val="Body"/>
    <w:rsid w:val="00B43E0B"/>
    <w:rPr>
      <w:rFonts w:ascii="Helvetica" w:eastAsia="ヒラギノ角ゴ Pro W3" w:hAnsi="Helvetica"/>
      <w:color w:val="000000"/>
      <w:sz w:val="24"/>
      <w:szCs w:val="20"/>
      <w:lang w:val="en-US" w:eastAsia="es-CO"/>
    </w:rPr>
  </w:style>
  <w:style w:type="character" w:styleId="Refdecomentario">
    <w:name w:val="annotation reference"/>
    <w:basedOn w:val="Fuentedeprrafopredeter"/>
    <w:uiPriority w:val="99"/>
    <w:semiHidden/>
    <w:unhideWhenUsed/>
    <w:rsid w:val="004666D9"/>
    <w:rPr>
      <w:sz w:val="16"/>
      <w:szCs w:val="16"/>
    </w:rPr>
  </w:style>
  <w:style w:type="paragraph" w:styleId="Textocomentario">
    <w:name w:val="annotation text"/>
    <w:basedOn w:val="Normal"/>
    <w:link w:val="TextocomentarioCar"/>
    <w:uiPriority w:val="99"/>
    <w:semiHidden/>
    <w:unhideWhenUsed/>
    <w:rsid w:val="004666D9"/>
    <w:rPr>
      <w:sz w:val="20"/>
      <w:szCs w:val="20"/>
    </w:rPr>
  </w:style>
  <w:style w:type="character" w:customStyle="1" w:styleId="TextocomentarioCar">
    <w:name w:val="Texto comentario Car"/>
    <w:basedOn w:val="Fuentedeprrafopredeter"/>
    <w:link w:val="Textocomentario"/>
    <w:uiPriority w:val="99"/>
    <w:semiHidden/>
    <w:rsid w:val="004666D9"/>
    <w:rPr>
      <w:rFonts w:ascii="Times New Roman" w:eastAsia="MS Mincho"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4666D9"/>
    <w:rPr>
      <w:b/>
      <w:bCs/>
    </w:rPr>
  </w:style>
  <w:style w:type="character" w:customStyle="1" w:styleId="AsuntodelcomentarioCar">
    <w:name w:val="Asunto del comentario Car"/>
    <w:basedOn w:val="TextocomentarioCar"/>
    <w:link w:val="Asuntodelcomentario"/>
    <w:uiPriority w:val="99"/>
    <w:semiHidden/>
    <w:rsid w:val="004666D9"/>
    <w:rPr>
      <w:rFonts w:ascii="Times New Roman" w:eastAsia="MS Mincho" w:hAnsi="Times New Roman"/>
      <w:b/>
      <w:bCs/>
      <w:sz w:val="20"/>
      <w:szCs w:val="20"/>
    </w:rPr>
  </w:style>
  <w:style w:type="paragraph" w:styleId="Prrafodelista">
    <w:name w:val="List Paragraph"/>
    <w:aliases w:val="LISTA,Párrafo de lista11,EY EPM - Lista,Num Bullet 1"/>
    <w:basedOn w:val="Normal"/>
    <w:link w:val="PrrafodelistaCar"/>
    <w:uiPriority w:val="34"/>
    <w:qFormat/>
    <w:rsid w:val="00090678"/>
    <w:pPr>
      <w:ind w:left="720"/>
      <w:contextualSpacing/>
    </w:pPr>
  </w:style>
  <w:style w:type="paragraph" w:customStyle="1" w:styleId="Default">
    <w:name w:val="Default"/>
    <w:rsid w:val="00A25EE4"/>
    <w:pPr>
      <w:autoSpaceDE w:val="0"/>
      <w:autoSpaceDN w:val="0"/>
      <w:adjustRightInd w:val="0"/>
    </w:pPr>
    <w:rPr>
      <w:rFonts w:cs="Calibri"/>
      <w:color w:val="000000"/>
      <w:sz w:val="24"/>
      <w:szCs w:val="24"/>
      <w:lang w:val="es-CO"/>
    </w:rPr>
  </w:style>
  <w:style w:type="paragraph" w:styleId="Textonotapie">
    <w:name w:val="footnote text"/>
    <w:aliases w:val="ft,ft Car Car Car,ft Car,Texto nota pie2,ft1,ft Car Car Car1,Texto nota pie Car2,ft Car Car2,Footnote Text Char Car,Footnote Text Char Char,bibliografía,texto de nota al pie,Texto nota pie Car1,Texto nota pie Car Car,Texto nota pie Car11"/>
    <w:basedOn w:val="Normal"/>
    <w:link w:val="TextonotapieCar"/>
    <w:uiPriority w:val="99"/>
    <w:unhideWhenUsed/>
    <w:rsid w:val="005C7A7F"/>
    <w:rPr>
      <w:sz w:val="20"/>
      <w:szCs w:val="20"/>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texto de nota al pie Car"/>
    <w:basedOn w:val="Fuentedeprrafopredeter"/>
    <w:link w:val="Textonotapie"/>
    <w:uiPriority w:val="99"/>
    <w:rsid w:val="005C7A7F"/>
    <w:rPr>
      <w:rFonts w:ascii="Times New Roman" w:eastAsia="MS Mincho" w:hAnsi="Times New Roman"/>
      <w:sz w:val="20"/>
      <w:szCs w:val="20"/>
    </w:rPr>
  </w:style>
  <w:style w:type="character" w:styleId="Refdenotaalpie">
    <w:name w:val="footnote reference"/>
    <w:aliases w:val="Ref,de nota al pie,Texto de nota al pie,Ref. de nota al pie2,referencia nota al pie,Footnote symbol,Footnote,FC,BVI fnr,Nota de pie,Pie de pagina,Texto nota al pie,Appel note de bas de p,Ref1,16 Point,Superscript 6 Point,ftref"/>
    <w:basedOn w:val="Fuentedeprrafopredeter"/>
    <w:uiPriority w:val="99"/>
    <w:unhideWhenUsed/>
    <w:rsid w:val="005C7A7F"/>
    <w:rPr>
      <w:vertAlign w:val="superscript"/>
    </w:rPr>
  </w:style>
  <w:style w:type="character" w:customStyle="1" w:styleId="PrrafodelistaCar">
    <w:name w:val="Párrafo de lista Car"/>
    <w:aliases w:val="LISTA Car,Párrafo de lista11 Car,EY EPM - Lista Car,Num Bullet 1 Car"/>
    <w:link w:val="Prrafodelista"/>
    <w:uiPriority w:val="34"/>
    <w:locked/>
    <w:rsid w:val="00875DC7"/>
    <w:rPr>
      <w:rFonts w:ascii="Times New Roman" w:eastAsia="MS Mincho" w:hAnsi="Times New Roman"/>
      <w:sz w:val="24"/>
      <w:szCs w:val="24"/>
    </w:rPr>
  </w:style>
  <w:style w:type="paragraph" w:customStyle="1" w:styleId="unico">
    <w:name w:val="unico"/>
    <w:basedOn w:val="Normal"/>
    <w:rsid w:val="00875DC7"/>
    <w:pPr>
      <w:spacing w:before="100" w:beforeAutospacing="1" w:after="100" w:afterAutospacing="1"/>
    </w:pPr>
    <w:rPr>
      <w:rFonts w:eastAsia="Times New Roman"/>
      <w:lang w:val="es-CO" w:eastAsia="es-CO"/>
    </w:rPr>
  </w:style>
  <w:style w:type="character" w:customStyle="1" w:styleId="ms-rtefontface-13">
    <w:name w:val="ms-rtefontface-13"/>
    <w:basedOn w:val="Fuentedeprrafopredeter"/>
    <w:rsid w:val="00945426"/>
  </w:style>
  <w:style w:type="paragraph" w:styleId="NormalWeb">
    <w:name w:val="Normal (Web)"/>
    <w:basedOn w:val="Normal"/>
    <w:uiPriority w:val="99"/>
    <w:unhideWhenUsed/>
    <w:rsid w:val="00FA25A7"/>
    <w:pPr>
      <w:spacing w:before="100" w:beforeAutospacing="1" w:after="100" w:afterAutospacing="1"/>
    </w:pPr>
    <w:rPr>
      <w:rFonts w:eastAsiaTheme="minorHAnsi"/>
      <w:lang w:val="es-CO" w:eastAsia="es-CO"/>
    </w:rPr>
  </w:style>
  <w:style w:type="paragraph" w:styleId="Textoindependiente">
    <w:name w:val="Body Text"/>
    <w:basedOn w:val="Normal"/>
    <w:link w:val="TextoindependienteCar"/>
    <w:rsid w:val="000D245B"/>
    <w:pPr>
      <w:jc w:val="both"/>
    </w:pPr>
    <w:rPr>
      <w:rFonts w:ascii="Z@R4B.tmp" w:eastAsia="Z@R4B.tmp" w:hAnsi="Z@R4B.tmp" w:cs="Z@R4B.tmp"/>
      <w:szCs w:val="20"/>
      <w:lang w:val="es-CO"/>
    </w:rPr>
  </w:style>
  <w:style w:type="character" w:customStyle="1" w:styleId="TextoindependienteCar">
    <w:name w:val="Texto independiente Car"/>
    <w:basedOn w:val="Fuentedeprrafopredeter"/>
    <w:link w:val="Textoindependiente"/>
    <w:rsid w:val="000D245B"/>
    <w:rPr>
      <w:rFonts w:ascii="Z@R4B.tmp" w:eastAsia="Z@R4B.tmp" w:hAnsi="Z@R4B.tmp" w:cs="Z@R4B.tmp"/>
      <w:sz w:val="24"/>
      <w:szCs w:val="20"/>
      <w:lang w:val="es-CO"/>
    </w:rPr>
  </w:style>
  <w:style w:type="character" w:styleId="Mencinsinresolver">
    <w:name w:val="Unresolved Mention"/>
    <w:basedOn w:val="Fuentedeprrafopredeter"/>
    <w:uiPriority w:val="99"/>
    <w:semiHidden/>
    <w:unhideWhenUsed/>
    <w:rsid w:val="00C02558"/>
    <w:rPr>
      <w:color w:val="605E5C"/>
      <w:shd w:val="clear" w:color="auto" w:fill="E1DFDD"/>
    </w:rPr>
  </w:style>
  <w:style w:type="character" w:styleId="Hipervnculovisitado">
    <w:name w:val="FollowedHyperlink"/>
    <w:basedOn w:val="Fuentedeprrafopredeter"/>
    <w:uiPriority w:val="99"/>
    <w:semiHidden/>
    <w:unhideWhenUsed/>
    <w:rsid w:val="00C02558"/>
    <w:rPr>
      <w:color w:val="800080" w:themeColor="followedHyperlink"/>
      <w:u w:val="single"/>
    </w:rPr>
  </w:style>
  <w:style w:type="paragraph" w:styleId="Sinespaciado">
    <w:name w:val="No Spacing"/>
    <w:link w:val="SinespaciadoCar"/>
    <w:uiPriority w:val="1"/>
    <w:qFormat/>
    <w:rsid w:val="00796D3C"/>
    <w:rPr>
      <w:lang w:val="es-CO" w:eastAsia="en-US"/>
    </w:rPr>
  </w:style>
  <w:style w:type="character" w:customStyle="1" w:styleId="SinespaciadoCar">
    <w:name w:val="Sin espaciado Car"/>
    <w:link w:val="Sinespaciado"/>
    <w:uiPriority w:val="1"/>
    <w:rsid w:val="00796D3C"/>
    <w:rPr>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5428">
      <w:bodyDiv w:val="1"/>
      <w:marLeft w:val="0"/>
      <w:marRight w:val="0"/>
      <w:marTop w:val="0"/>
      <w:marBottom w:val="0"/>
      <w:divBdr>
        <w:top w:val="none" w:sz="0" w:space="0" w:color="auto"/>
        <w:left w:val="none" w:sz="0" w:space="0" w:color="auto"/>
        <w:bottom w:val="none" w:sz="0" w:space="0" w:color="auto"/>
        <w:right w:val="none" w:sz="0" w:space="0" w:color="auto"/>
      </w:divBdr>
    </w:div>
    <w:div w:id="617374705">
      <w:bodyDiv w:val="1"/>
      <w:marLeft w:val="0"/>
      <w:marRight w:val="0"/>
      <w:marTop w:val="0"/>
      <w:marBottom w:val="0"/>
      <w:divBdr>
        <w:top w:val="none" w:sz="0" w:space="0" w:color="auto"/>
        <w:left w:val="none" w:sz="0" w:space="0" w:color="auto"/>
        <w:bottom w:val="none" w:sz="0" w:space="0" w:color="auto"/>
        <w:right w:val="none" w:sz="0" w:space="0" w:color="auto"/>
      </w:divBdr>
      <w:divsChild>
        <w:div w:id="55711644">
          <w:marLeft w:val="0"/>
          <w:marRight w:val="0"/>
          <w:marTop w:val="0"/>
          <w:marBottom w:val="0"/>
          <w:divBdr>
            <w:top w:val="none" w:sz="0" w:space="0" w:color="auto"/>
            <w:left w:val="none" w:sz="0" w:space="0" w:color="auto"/>
            <w:bottom w:val="none" w:sz="0" w:space="0" w:color="auto"/>
            <w:right w:val="none" w:sz="0" w:space="0" w:color="auto"/>
          </w:divBdr>
        </w:div>
        <w:div w:id="1241476382">
          <w:marLeft w:val="0"/>
          <w:marRight w:val="0"/>
          <w:marTop w:val="0"/>
          <w:marBottom w:val="0"/>
          <w:divBdr>
            <w:top w:val="none" w:sz="0" w:space="0" w:color="auto"/>
            <w:left w:val="none" w:sz="0" w:space="0" w:color="auto"/>
            <w:bottom w:val="none" w:sz="0" w:space="0" w:color="auto"/>
            <w:right w:val="none" w:sz="0" w:space="0" w:color="auto"/>
          </w:divBdr>
        </w:div>
        <w:div w:id="926421654">
          <w:marLeft w:val="0"/>
          <w:marRight w:val="0"/>
          <w:marTop w:val="0"/>
          <w:marBottom w:val="0"/>
          <w:divBdr>
            <w:top w:val="none" w:sz="0" w:space="0" w:color="auto"/>
            <w:left w:val="none" w:sz="0" w:space="0" w:color="auto"/>
            <w:bottom w:val="none" w:sz="0" w:space="0" w:color="auto"/>
            <w:right w:val="none" w:sz="0" w:space="0" w:color="auto"/>
          </w:divBdr>
        </w:div>
        <w:div w:id="136266853">
          <w:marLeft w:val="0"/>
          <w:marRight w:val="0"/>
          <w:marTop w:val="0"/>
          <w:marBottom w:val="0"/>
          <w:divBdr>
            <w:top w:val="none" w:sz="0" w:space="0" w:color="auto"/>
            <w:left w:val="none" w:sz="0" w:space="0" w:color="auto"/>
            <w:bottom w:val="none" w:sz="0" w:space="0" w:color="auto"/>
            <w:right w:val="none" w:sz="0" w:space="0" w:color="auto"/>
          </w:divBdr>
          <w:divsChild>
            <w:div w:id="1418819289">
              <w:marLeft w:val="-75"/>
              <w:marRight w:val="0"/>
              <w:marTop w:val="30"/>
              <w:marBottom w:val="30"/>
              <w:divBdr>
                <w:top w:val="none" w:sz="0" w:space="0" w:color="auto"/>
                <w:left w:val="none" w:sz="0" w:space="0" w:color="auto"/>
                <w:bottom w:val="none" w:sz="0" w:space="0" w:color="auto"/>
                <w:right w:val="none" w:sz="0" w:space="0" w:color="auto"/>
              </w:divBdr>
              <w:divsChild>
                <w:div w:id="1723480372">
                  <w:marLeft w:val="0"/>
                  <w:marRight w:val="0"/>
                  <w:marTop w:val="0"/>
                  <w:marBottom w:val="0"/>
                  <w:divBdr>
                    <w:top w:val="none" w:sz="0" w:space="0" w:color="auto"/>
                    <w:left w:val="none" w:sz="0" w:space="0" w:color="auto"/>
                    <w:bottom w:val="none" w:sz="0" w:space="0" w:color="auto"/>
                    <w:right w:val="none" w:sz="0" w:space="0" w:color="auto"/>
                  </w:divBdr>
                  <w:divsChild>
                    <w:div w:id="536820526">
                      <w:marLeft w:val="0"/>
                      <w:marRight w:val="0"/>
                      <w:marTop w:val="0"/>
                      <w:marBottom w:val="0"/>
                      <w:divBdr>
                        <w:top w:val="none" w:sz="0" w:space="0" w:color="auto"/>
                        <w:left w:val="none" w:sz="0" w:space="0" w:color="auto"/>
                        <w:bottom w:val="none" w:sz="0" w:space="0" w:color="auto"/>
                        <w:right w:val="none" w:sz="0" w:space="0" w:color="auto"/>
                      </w:divBdr>
                    </w:div>
                  </w:divsChild>
                </w:div>
                <w:div w:id="724987416">
                  <w:marLeft w:val="0"/>
                  <w:marRight w:val="0"/>
                  <w:marTop w:val="0"/>
                  <w:marBottom w:val="0"/>
                  <w:divBdr>
                    <w:top w:val="none" w:sz="0" w:space="0" w:color="auto"/>
                    <w:left w:val="none" w:sz="0" w:space="0" w:color="auto"/>
                    <w:bottom w:val="none" w:sz="0" w:space="0" w:color="auto"/>
                    <w:right w:val="none" w:sz="0" w:space="0" w:color="auto"/>
                  </w:divBdr>
                  <w:divsChild>
                    <w:div w:id="242497648">
                      <w:marLeft w:val="0"/>
                      <w:marRight w:val="0"/>
                      <w:marTop w:val="0"/>
                      <w:marBottom w:val="0"/>
                      <w:divBdr>
                        <w:top w:val="none" w:sz="0" w:space="0" w:color="auto"/>
                        <w:left w:val="none" w:sz="0" w:space="0" w:color="auto"/>
                        <w:bottom w:val="none" w:sz="0" w:space="0" w:color="auto"/>
                        <w:right w:val="none" w:sz="0" w:space="0" w:color="auto"/>
                      </w:divBdr>
                    </w:div>
                  </w:divsChild>
                </w:div>
                <w:div w:id="1317760055">
                  <w:marLeft w:val="0"/>
                  <w:marRight w:val="0"/>
                  <w:marTop w:val="0"/>
                  <w:marBottom w:val="0"/>
                  <w:divBdr>
                    <w:top w:val="none" w:sz="0" w:space="0" w:color="auto"/>
                    <w:left w:val="none" w:sz="0" w:space="0" w:color="auto"/>
                    <w:bottom w:val="none" w:sz="0" w:space="0" w:color="auto"/>
                    <w:right w:val="none" w:sz="0" w:space="0" w:color="auto"/>
                  </w:divBdr>
                  <w:divsChild>
                    <w:div w:id="954991892">
                      <w:marLeft w:val="0"/>
                      <w:marRight w:val="0"/>
                      <w:marTop w:val="0"/>
                      <w:marBottom w:val="0"/>
                      <w:divBdr>
                        <w:top w:val="none" w:sz="0" w:space="0" w:color="auto"/>
                        <w:left w:val="none" w:sz="0" w:space="0" w:color="auto"/>
                        <w:bottom w:val="none" w:sz="0" w:space="0" w:color="auto"/>
                        <w:right w:val="none" w:sz="0" w:space="0" w:color="auto"/>
                      </w:divBdr>
                    </w:div>
                  </w:divsChild>
                </w:div>
                <w:div w:id="1119375403">
                  <w:marLeft w:val="0"/>
                  <w:marRight w:val="0"/>
                  <w:marTop w:val="0"/>
                  <w:marBottom w:val="0"/>
                  <w:divBdr>
                    <w:top w:val="none" w:sz="0" w:space="0" w:color="auto"/>
                    <w:left w:val="none" w:sz="0" w:space="0" w:color="auto"/>
                    <w:bottom w:val="none" w:sz="0" w:space="0" w:color="auto"/>
                    <w:right w:val="none" w:sz="0" w:space="0" w:color="auto"/>
                  </w:divBdr>
                  <w:divsChild>
                    <w:div w:id="468473880">
                      <w:marLeft w:val="0"/>
                      <w:marRight w:val="0"/>
                      <w:marTop w:val="0"/>
                      <w:marBottom w:val="0"/>
                      <w:divBdr>
                        <w:top w:val="none" w:sz="0" w:space="0" w:color="auto"/>
                        <w:left w:val="none" w:sz="0" w:space="0" w:color="auto"/>
                        <w:bottom w:val="none" w:sz="0" w:space="0" w:color="auto"/>
                        <w:right w:val="none" w:sz="0" w:space="0" w:color="auto"/>
                      </w:divBdr>
                    </w:div>
                  </w:divsChild>
                </w:div>
                <w:div w:id="581112227">
                  <w:marLeft w:val="0"/>
                  <w:marRight w:val="0"/>
                  <w:marTop w:val="0"/>
                  <w:marBottom w:val="0"/>
                  <w:divBdr>
                    <w:top w:val="none" w:sz="0" w:space="0" w:color="auto"/>
                    <w:left w:val="none" w:sz="0" w:space="0" w:color="auto"/>
                    <w:bottom w:val="none" w:sz="0" w:space="0" w:color="auto"/>
                    <w:right w:val="none" w:sz="0" w:space="0" w:color="auto"/>
                  </w:divBdr>
                  <w:divsChild>
                    <w:div w:id="290208149">
                      <w:marLeft w:val="0"/>
                      <w:marRight w:val="0"/>
                      <w:marTop w:val="0"/>
                      <w:marBottom w:val="0"/>
                      <w:divBdr>
                        <w:top w:val="none" w:sz="0" w:space="0" w:color="auto"/>
                        <w:left w:val="none" w:sz="0" w:space="0" w:color="auto"/>
                        <w:bottom w:val="none" w:sz="0" w:space="0" w:color="auto"/>
                        <w:right w:val="none" w:sz="0" w:space="0" w:color="auto"/>
                      </w:divBdr>
                    </w:div>
                  </w:divsChild>
                </w:div>
                <w:div w:id="1932465065">
                  <w:marLeft w:val="0"/>
                  <w:marRight w:val="0"/>
                  <w:marTop w:val="0"/>
                  <w:marBottom w:val="0"/>
                  <w:divBdr>
                    <w:top w:val="none" w:sz="0" w:space="0" w:color="auto"/>
                    <w:left w:val="none" w:sz="0" w:space="0" w:color="auto"/>
                    <w:bottom w:val="none" w:sz="0" w:space="0" w:color="auto"/>
                    <w:right w:val="none" w:sz="0" w:space="0" w:color="auto"/>
                  </w:divBdr>
                  <w:divsChild>
                    <w:div w:id="813058703">
                      <w:marLeft w:val="0"/>
                      <w:marRight w:val="0"/>
                      <w:marTop w:val="0"/>
                      <w:marBottom w:val="0"/>
                      <w:divBdr>
                        <w:top w:val="none" w:sz="0" w:space="0" w:color="auto"/>
                        <w:left w:val="none" w:sz="0" w:space="0" w:color="auto"/>
                        <w:bottom w:val="none" w:sz="0" w:space="0" w:color="auto"/>
                        <w:right w:val="none" w:sz="0" w:space="0" w:color="auto"/>
                      </w:divBdr>
                    </w:div>
                  </w:divsChild>
                </w:div>
                <w:div w:id="205028229">
                  <w:marLeft w:val="0"/>
                  <w:marRight w:val="0"/>
                  <w:marTop w:val="0"/>
                  <w:marBottom w:val="0"/>
                  <w:divBdr>
                    <w:top w:val="none" w:sz="0" w:space="0" w:color="auto"/>
                    <w:left w:val="none" w:sz="0" w:space="0" w:color="auto"/>
                    <w:bottom w:val="none" w:sz="0" w:space="0" w:color="auto"/>
                    <w:right w:val="none" w:sz="0" w:space="0" w:color="auto"/>
                  </w:divBdr>
                  <w:divsChild>
                    <w:div w:id="1461799014">
                      <w:marLeft w:val="0"/>
                      <w:marRight w:val="0"/>
                      <w:marTop w:val="0"/>
                      <w:marBottom w:val="0"/>
                      <w:divBdr>
                        <w:top w:val="none" w:sz="0" w:space="0" w:color="auto"/>
                        <w:left w:val="none" w:sz="0" w:space="0" w:color="auto"/>
                        <w:bottom w:val="none" w:sz="0" w:space="0" w:color="auto"/>
                        <w:right w:val="none" w:sz="0" w:space="0" w:color="auto"/>
                      </w:divBdr>
                    </w:div>
                  </w:divsChild>
                </w:div>
                <w:div w:id="1199004906">
                  <w:marLeft w:val="0"/>
                  <w:marRight w:val="0"/>
                  <w:marTop w:val="0"/>
                  <w:marBottom w:val="0"/>
                  <w:divBdr>
                    <w:top w:val="none" w:sz="0" w:space="0" w:color="auto"/>
                    <w:left w:val="none" w:sz="0" w:space="0" w:color="auto"/>
                    <w:bottom w:val="none" w:sz="0" w:space="0" w:color="auto"/>
                    <w:right w:val="none" w:sz="0" w:space="0" w:color="auto"/>
                  </w:divBdr>
                  <w:divsChild>
                    <w:div w:id="1340544490">
                      <w:marLeft w:val="0"/>
                      <w:marRight w:val="0"/>
                      <w:marTop w:val="0"/>
                      <w:marBottom w:val="0"/>
                      <w:divBdr>
                        <w:top w:val="none" w:sz="0" w:space="0" w:color="auto"/>
                        <w:left w:val="none" w:sz="0" w:space="0" w:color="auto"/>
                        <w:bottom w:val="none" w:sz="0" w:space="0" w:color="auto"/>
                        <w:right w:val="none" w:sz="0" w:space="0" w:color="auto"/>
                      </w:divBdr>
                    </w:div>
                  </w:divsChild>
                </w:div>
                <w:div w:id="1506629704">
                  <w:marLeft w:val="0"/>
                  <w:marRight w:val="0"/>
                  <w:marTop w:val="0"/>
                  <w:marBottom w:val="0"/>
                  <w:divBdr>
                    <w:top w:val="none" w:sz="0" w:space="0" w:color="auto"/>
                    <w:left w:val="none" w:sz="0" w:space="0" w:color="auto"/>
                    <w:bottom w:val="none" w:sz="0" w:space="0" w:color="auto"/>
                    <w:right w:val="none" w:sz="0" w:space="0" w:color="auto"/>
                  </w:divBdr>
                  <w:divsChild>
                    <w:div w:id="467943391">
                      <w:marLeft w:val="0"/>
                      <w:marRight w:val="0"/>
                      <w:marTop w:val="0"/>
                      <w:marBottom w:val="0"/>
                      <w:divBdr>
                        <w:top w:val="none" w:sz="0" w:space="0" w:color="auto"/>
                        <w:left w:val="none" w:sz="0" w:space="0" w:color="auto"/>
                        <w:bottom w:val="none" w:sz="0" w:space="0" w:color="auto"/>
                        <w:right w:val="none" w:sz="0" w:space="0" w:color="auto"/>
                      </w:divBdr>
                    </w:div>
                  </w:divsChild>
                </w:div>
                <w:div w:id="1631934732">
                  <w:marLeft w:val="0"/>
                  <w:marRight w:val="0"/>
                  <w:marTop w:val="0"/>
                  <w:marBottom w:val="0"/>
                  <w:divBdr>
                    <w:top w:val="none" w:sz="0" w:space="0" w:color="auto"/>
                    <w:left w:val="none" w:sz="0" w:space="0" w:color="auto"/>
                    <w:bottom w:val="none" w:sz="0" w:space="0" w:color="auto"/>
                    <w:right w:val="none" w:sz="0" w:space="0" w:color="auto"/>
                  </w:divBdr>
                  <w:divsChild>
                    <w:div w:id="1436899797">
                      <w:marLeft w:val="0"/>
                      <w:marRight w:val="0"/>
                      <w:marTop w:val="0"/>
                      <w:marBottom w:val="0"/>
                      <w:divBdr>
                        <w:top w:val="none" w:sz="0" w:space="0" w:color="auto"/>
                        <w:left w:val="none" w:sz="0" w:space="0" w:color="auto"/>
                        <w:bottom w:val="none" w:sz="0" w:space="0" w:color="auto"/>
                        <w:right w:val="none" w:sz="0" w:space="0" w:color="auto"/>
                      </w:divBdr>
                    </w:div>
                  </w:divsChild>
                </w:div>
                <w:div w:id="1908688110">
                  <w:marLeft w:val="0"/>
                  <w:marRight w:val="0"/>
                  <w:marTop w:val="0"/>
                  <w:marBottom w:val="0"/>
                  <w:divBdr>
                    <w:top w:val="none" w:sz="0" w:space="0" w:color="auto"/>
                    <w:left w:val="none" w:sz="0" w:space="0" w:color="auto"/>
                    <w:bottom w:val="none" w:sz="0" w:space="0" w:color="auto"/>
                    <w:right w:val="none" w:sz="0" w:space="0" w:color="auto"/>
                  </w:divBdr>
                  <w:divsChild>
                    <w:div w:id="845169652">
                      <w:marLeft w:val="0"/>
                      <w:marRight w:val="0"/>
                      <w:marTop w:val="0"/>
                      <w:marBottom w:val="0"/>
                      <w:divBdr>
                        <w:top w:val="none" w:sz="0" w:space="0" w:color="auto"/>
                        <w:left w:val="none" w:sz="0" w:space="0" w:color="auto"/>
                        <w:bottom w:val="none" w:sz="0" w:space="0" w:color="auto"/>
                        <w:right w:val="none" w:sz="0" w:space="0" w:color="auto"/>
                      </w:divBdr>
                    </w:div>
                  </w:divsChild>
                </w:div>
                <w:div w:id="1761372464">
                  <w:marLeft w:val="0"/>
                  <w:marRight w:val="0"/>
                  <w:marTop w:val="0"/>
                  <w:marBottom w:val="0"/>
                  <w:divBdr>
                    <w:top w:val="none" w:sz="0" w:space="0" w:color="auto"/>
                    <w:left w:val="none" w:sz="0" w:space="0" w:color="auto"/>
                    <w:bottom w:val="none" w:sz="0" w:space="0" w:color="auto"/>
                    <w:right w:val="none" w:sz="0" w:space="0" w:color="auto"/>
                  </w:divBdr>
                  <w:divsChild>
                    <w:div w:id="181238061">
                      <w:marLeft w:val="0"/>
                      <w:marRight w:val="0"/>
                      <w:marTop w:val="0"/>
                      <w:marBottom w:val="0"/>
                      <w:divBdr>
                        <w:top w:val="none" w:sz="0" w:space="0" w:color="auto"/>
                        <w:left w:val="none" w:sz="0" w:space="0" w:color="auto"/>
                        <w:bottom w:val="none" w:sz="0" w:space="0" w:color="auto"/>
                        <w:right w:val="none" w:sz="0" w:space="0" w:color="auto"/>
                      </w:divBdr>
                    </w:div>
                  </w:divsChild>
                </w:div>
                <w:div w:id="1151016686">
                  <w:marLeft w:val="0"/>
                  <w:marRight w:val="0"/>
                  <w:marTop w:val="0"/>
                  <w:marBottom w:val="0"/>
                  <w:divBdr>
                    <w:top w:val="none" w:sz="0" w:space="0" w:color="auto"/>
                    <w:left w:val="none" w:sz="0" w:space="0" w:color="auto"/>
                    <w:bottom w:val="none" w:sz="0" w:space="0" w:color="auto"/>
                    <w:right w:val="none" w:sz="0" w:space="0" w:color="auto"/>
                  </w:divBdr>
                  <w:divsChild>
                    <w:div w:id="234710475">
                      <w:marLeft w:val="0"/>
                      <w:marRight w:val="0"/>
                      <w:marTop w:val="0"/>
                      <w:marBottom w:val="0"/>
                      <w:divBdr>
                        <w:top w:val="none" w:sz="0" w:space="0" w:color="auto"/>
                        <w:left w:val="none" w:sz="0" w:space="0" w:color="auto"/>
                        <w:bottom w:val="none" w:sz="0" w:space="0" w:color="auto"/>
                        <w:right w:val="none" w:sz="0" w:space="0" w:color="auto"/>
                      </w:divBdr>
                    </w:div>
                  </w:divsChild>
                </w:div>
                <w:div w:id="2035494051">
                  <w:marLeft w:val="0"/>
                  <w:marRight w:val="0"/>
                  <w:marTop w:val="0"/>
                  <w:marBottom w:val="0"/>
                  <w:divBdr>
                    <w:top w:val="none" w:sz="0" w:space="0" w:color="auto"/>
                    <w:left w:val="none" w:sz="0" w:space="0" w:color="auto"/>
                    <w:bottom w:val="none" w:sz="0" w:space="0" w:color="auto"/>
                    <w:right w:val="none" w:sz="0" w:space="0" w:color="auto"/>
                  </w:divBdr>
                  <w:divsChild>
                    <w:div w:id="877200280">
                      <w:marLeft w:val="0"/>
                      <w:marRight w:val="0"/>
                      <w:marTop w:val="0"/>
                      <w:marBottom w:val="0"/>
                      <w:divBdr>
                        <w:top w:val="none" w:sz="0" w:space="0" w:color="auto"/>
                        <w:left w:val="none" w:sz="0" w:space="0" w:color="auto"/>
                        <w:bottom w:val="none" w:sz="0" w:space="0" w:color="auto"/>
                        <w:right w:val="none" w:sz="0" w:space="0" w:color="auto"/>
                      </w:divBdr>
                    </w:div>
                  </w:divsChild>
                </w:div>
                <w:div w:id="781455305">
                  <w:marLeft w:val="0"/>
                  <w:marRight w:val="0"/>
                  <w:marTop w:val="0"/>
                  <w:marBottom w:val="0"/>
                  <w:divBdr>
                    <w:top w:val="none" w:sz="0" w:space="0" w:color="auto"/>
                    <w:left w:val="none" w:sz="0" w:space="0" w:color="auto"/>
                    <w:bottom w:val="none" w:sz="0" w:space="0" w:color="auto"/>
                    <w:right w:val="none" w:sz="0" w:space="0" w:color="auto"/>
                  </w:divBdr>
                  <w:divsChild>
                    <w:div w:id="1196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9039">
          <w:marLeft w:val="0"/>
          <w:marRight w:val="0"/>
          <w:marTop w:val="0"/>
          <w:marBottom w:val="0"/>
          <w:divBdr>
            <w:top w:val="none" w:sz="0" w:space="0" w:color="auto"/>
            <w:left w:val="none" w:sz="0" w:space="0" w:color="auto"/>
            <w:bottom w:val="none" w:sz="0" w:space="0" w:color="auto"/>
            <w:right w:val="none" w:sz="0" w:space="0" w:color="auto"/>
          </w:divBdr>
        </w:div>
        <w:div w:id="1076706733">
          <w:marLeft w:val="0"/>
          <w:marRight w:val="0"/>
          <w:marTop w:val="0"/>
          <w:marBottom w:val="0"/>
          <w:divBdr>
            <w:top w:val="none" w:sz="0" w:space="0" w:color="auto"/>
            <w:left w:val="none" w:sz="0" w:space="0" w:color="auto"/>
            <w:bottom w:val="none" w:sz="0" w:space="0" w:color="auto"/>
            <w:right w:val="none" w:sz="0" w:space="0" w:color="auto"/>
          </w:divBdr>
        </w:div>
        <w:div w:id="930969532">
          <w:marLeft w:val="0"/>
          <w:marRight w:val="0"/>
          <w:marTop w:val="0"/>
          <w:marBottom w:val="0"/>
          <w:divBdr>
            <w:top w:val="none" w:sz="0" w:space="0" w:color="auto"/>
            <w:left w:val="none" w:sz="0" w:space="0" w:color="auto"/>
            <w:bottom w:val="none" w:sz="0" w:space="0" w:color="auto"/>
            <w:right w:val="none" w:sz="0" w:space="0" w:color="auto"/>
          </w:divBdr>
        </w:div>
        <w:div w:id="529610073">
          <w:marLeft w:val="0"/>
          <w:marRight w:val="0"/>
          <w:marTop w:val="0"/>
          <w:marBottom w:val="0"/>
          <w:divBdr>
            <w:top w:val="none" w:sz="0" w:space="0" w:color="auto"/>
            <w:left w:val="none" w:sz="0" w:space="0" w:color="auto"/>
            <w:bottom w:val="none" w:sz="0" w:space="0" w:color="auto"/>
            <w:right w:val="none" w:sz="0" w:space="0" w:color="auto"/>
          </w:divBdr>
        </w:div>
        <w:div w:id="1009453754">
          <w:marLeft w:val="0"/>
          <w:marRight w:val="0"/>
          <w:marTop w:val="0"/>
          <w:marBottom w:val="0"/>
          <w:divBdr>
            <w:top w:val="none" w:sz="0" w:space="0" w:color="auto"/>
            <w:left w:val="none" w:sz="0" w:space="0" w:color="auto"/>
            <w:bottom w:val="none" w:sz="0" w:space="0" w:color="auto"/>
            <w:right w:val="none" w:sz="0" w:space="0" w:color="auto"/>
          </w:divBdr>
        </w:div>
        <w:div w:id="228344707">
          <w:marLeft w:val="0"/>
          <w:marRight w:val="0"/>
          <w:marTop w:val="0"/>
          <w:marBottom w:val="0"/>
          <w:divBdr>
            <w:top w:val="none" w:sz="0" w:space="0" w:color="auto"/>
            <w:left w:val="none" w:sz="0" w:space="0" w:color="auto"/>
            <w:bottom w:val="none" w:sz="0" w:space="0" w:color="auto"/>
            <w:right w:val="none" w:sz="0" w:space="0" w:color="auto"/>
          </w:divBdr>
          <w:divsChild>
            <w:div w:id="1418089685">
              <w:marLeft w:val="-75"/>
              <w:marRight w:val="0"/>
              <w:marTop w:val="30"/>
              <w:marBottom w:val="30"/>
              <w:divBdr>
                <w:top w:val="none" w:sz="0" w:space="0" w:color="auto"/>
                <w:left w:val="none" w:sz="0" w:space="0" w:color="auto"/>
                <w:bottom w:val="none" w:sz="0" w:space="0" w:color="auto"/>
                <w:right w:val="none" w:sz="0" w:space="0" w:color="auto"/>
              </w:divBdr>
              <w:divsChild>
                <w:div w:id="851454857">
                  <w:marLeft w:val="0"/>
                  <w:marRight w:val="0"/>
                  <w:marTop w:val="0"/>
                  <w:marBottom w:val="0"/>
                  <w:divBdr>
                    <w:top w:val="none" w:sz="0" w:space="0" w:color="auto"/>
                    <w:left w:val="none" w:sz="0" w:space="0" w:color="auto"/>
                    <w:bottom w:val="none" w:sz="0" w:space="0" w:color="auto"/>
                    <w:right w:val="none" w:sz="0" w:space="0" w:color="auto"/>
                  </w:divBdr>
                  <w:divsChild>
                    <w:div w:id="395006396">
                      <w:marLeft w:val="0"/>
                      <w:marRight w:val="0"/>
                      <w:marTop w:val="0"/>
                      <w:marBottom w:val="0"/>
                      <w:divBdr>
                        <w:top w:val="none" w:sz="0" w:space="0" w:color="auto"/>
                        <w:left w:val="none" w:sz="0" w:space="0" w:color="auto"/>
                        <w:bottom w:val="none" w:sz="0" w:space="0" w:color="auto"/>
                        <w:right w:val="none" w:sz="0" w:space="0" w:color="auto"/>
                      </w:divBdr>
                    </w:div>
                  </w:divsChild>
                </w:div>
                <w:div w:id="1003582382">
                  <w:marLeft w:val="0"/>
                  <w:marRight w:val="0"/>
                  <w:marTop w:val="0"/>
                  <w:marBottom w:val="0"/>
                  <w:divBdr>
                    <w:top w:val="none" w:sz="0" w:space="0" w:color="auto"/>
                    <w:left w:val="none" w:sz="0" w:space="0" w:color="auto"/>
                    <w:bottom w:val="none" w:sz="0" w:space="0" w:color="auto"/>
                    <w:right w:val="none" w:sz="0" w:space="0" w:color="auto"/>
                  </w:divBdr>
                  <w:divsChild>
                    <w:div w:id="909388804">
                      <w:marLeft w:val="0"/>
                      <w:marRight w:val="0"/>
                      <w:marTop w:val="0"/>
                      <w:marBottom w:val="0"/>
                      <w:divBdr>
                        <w:top w:val="none" w:sz="0" w:space="0" w:color="auto"/>
                        <w:left w:val="none" w:sz="0" w:space="0" w:color="auto"/>
                        <w:bottom w:val="none" w:sz="0" w:space="0" w:color="auto"/>
                        <w:right w:val="none" w:sz="0" w:space="0" w:color="auto"/>
                      </w:divBdr>
                    </w:div>
                  </w:divsChild>
                </w:div>
                <w:div w:id="1785809309">
                  <w:marLeft w:val="0"/>
                  <w:marRight w:val="0"/>
                  <w:marTop w:val="0"/>
                  <w:marBottom w:val="0"/>
                  <w:divBdr>
                    <w:top w:val="none" w:sz="0" w:space="0" w:color="auto"/>
                    <w:left w:val="none" w:sz="0" w:space="0" w:color="auto"/>
                    <w:bottom w:val="none" w:sz="0" w:space="0" w:color="auto"/>
                    <w:right w:val="none" w:sz="0" w:space="0" w:color="auto"/>
                  </w:divBdr>
                  <w:divsChild>
                    <w:div w:id="2088914996">
                      <w:marLeft w:val="0"/>
                      <w:marRight w:val="0"/>
                      <w:marTop w:val="0"/>
                      <w:marBottom w:val="0"/>
                      <w:divBdr>
                        <w:top w:val="none" w:sz="0" w:space="0" w:color="auto"/>
                        <w:left w:val="none" w:sz="0" w:space="0" w:color="auto"/>
                        <w:bottom w:val="none" w:sz="0" w:space="0" w:color="auto"/>
                        <w:right w:val="none" w:sz="0" w:space="0" w:color="auto"/>
                      </w:divBdr>
                    </w:div>
                  </w:divsChild>
                </w:div>
                <w:div w:id="1246574376">
                  <w:marLeft w:val="0"/>
                  <w:marRight w:val="0"/>
                  <w:marTop w:val="0"/>
                  <w:marBottom w:val="0"/>
                  <w:divBdr>
                    <w:top w:val="none" w:sz="0" w:space="0" w:color="auto"/>
                    <w:left w:val="none" w:sz="0" w:space="0" w:color="auto"/>
                    <w:bottom w:val="none" w:sz="0" w:space="0" w:color="auto"/>
                    <w:right w:val="none" w:sz="0" w:space="0" w:color="auto"/>
                  </w:divBdr>
                  <w:divsChild>
                    <w:div w:id="446974179">
                      <w:marLeft w:val="0"/>
                      <w:marRight w:val="0"/>
                      <w:marTop w:val="0"/>
                      <w:marBottom w:val="0"/>
                      <w:divBdr>
                        <w:top w:val="none" w:sz="0" w:space="0" w:color="auto"/>
                        <w:left w:val="none" w:sz="0" w:space="0" w:color="auto"/>
                        <w:bottom w:val="none" w:sz="0" w:space="0" w:color="auto"/>
                        <w:right w:val="none" w:sz="0" w:space="0" w:color="auto"/>
                      </w:divBdr>
                    </w:div>
                  </w:divsChild>
                </w:div>
                <w:div w:id="1127821416">
                  <w:marLeft w:val="0"/>
                  <w:marRight w:val="0"/>
                  <w:marTop w:val="0"/>
                  <w:marBottom w:val="0"/>
                  <w:divBdr>
                    <w:top w:val="none" w:sz="0" w:space="0" w:color="auto"/>
                    <w:left w:val="none" w:sz="0" w:space="0" w:color="auto"/>
                    <w:bottom w:val="none" w:sz="0" w:space="0" w:color="auto"/>
                    <w:right w:val="none" w:sz="0" w:space="0" w:color="auto"/>
                  </w:divBdr>
                  <w:divsChild>
                    <w:div w:id="224728891">
                      <w:marLeft w:val="0"/>
                      <w:marRight w:val="0"/>
                      <w:marTop w:val="0"/>
                      <w:marBottom w:val="0"/>
                      <w:divBdr>
                        <w:top w:val="none" w:sz="0" w:space="0" w:color="auto"/>
                        <w:left w:val="none" w:sz="0" w:space="0" w:color="auto"/>
                        <w:bottom w:val="none" w:sz="0" w:space="0" w:color="auto"/>
                        <w:right w:val="none" w:sz="0" w:space="0" w:color="auto"/>
                      </w:divBdr>
                    </w:div>
                  </w:divsChild>
                </w:div>
                <w:div w:id="1361131095">
                  <w:marLeft w:val="0"/>
                  <w:marRight w:val="0"/>
                  <w:marTop w:val="0"/>
                  <w:marBottom w:val="0"/>
                  <w:divBdr>
                    <w:top w:val="none" w:sz="0" w:space="0" w:color="auto"/>
                    <w:left w:val="none" w:sz="0" w:space="0" w:color="auto"/>
                    <w:bottom w:val="none" w:sz="0" w:space="0" w:color="auto"/>
                    <w:right w:val="none" w:sz="0" w:space="0" w:color="auto"/>
                  </w:divBdr>
                  <w:divsChild>
                    <w:div w:id="537203802">
                      <w:marLeft w:val="0"/>
                      <w:marRight w:val="0"/>
                      <w:marTop w:val="0"/>
                      <w:marBottom w:val="0"/>
                      <w:divBdr>
                        <w:top w:val="none" w:sz="0" w:space="0" w:color="auto"/>
                        <w:left w:val="none" w:sz="0" w:space="0" w:color="auto"/>
                        <w:bottom w:val="none" w:sz="0" w:space="0" w:color="auto"/>
                        <w:right w:val="none" w:sz="0" w:space="0" w:color="auto"/>
                      </w:divBdr>
                    </w:div>
                  </w:divsChild>
                </w:div>
                <w:div w:id="1512066646">
                  <w:marLeft w:val="0"/>
                  <w:marRight w:val="0"/>
                  <w:marTop w:val="0"/>
                  <w:marBottom w:val="0"/>
                  <w:divBdr>
                    <w:top w:val="none" w:sz="0" w:space="0" w:color="auto"/>
                    <w:left w:val="none" w:sz="0" w:space="0" w:color="auto"/>
                    <w:bottom w:val="none" w:sz="0" w:space="0" w:color="auto"/>
                    <w:right w:val="none" w:sz="0" w:space="0" w:color="auto"/>
                  </w:divBdr>
                  <w:divsChild>
                    <w:div w:id="1218124621">
                      <w:marLeft w:val="0"/>
                      <w:marRight w:val="0"/>
                      <w:marTop w:val="0"/>
                      <w:marBottom w:val="0"/>
                      <w:divBdr>
                        <w:top w:val="none" w:sz="0" w:space="0" w:color="auto"/>
                        <w:left w:val="none" w:sz="0" w:space="0" w:color="auto"/>
                        <w:bottom w:val="none" w:sz="0" w:space="0" w:color="auto"/>
                        <w:right w:val="none" w:sz="0" w:space="0" w:color="auto"/>
                      </w:divBdr>
                    </w:div>
                  </w:divsChild>
                </w:div>
                <w:div w:id="439840338">
                  <w:marLeft w:val="0"/>
                  <w:marRight w:val="0"/>
                  <w:marTop w:val="0"/>
                  <w:marBottom w:val="0"/>
                  <w:divBdr>
                    <w:top w:val="none" w:sz="0" w:space="0" w:color="auto"/>
                    <w:left w:val="none" w:sz="0" w:space="0" w:color="auto"/>
                    <w:bottom w:val="none" w:sz="0" w:space="0" w:color="auto"/>
                    <w:right w:val="none" w:sz="0" w:space="0" w:color="auto"/>
                  </w:divBdr>
                  <w:divsChild>
                    <w:div w:id="1444770097">
                      <w:marLeft w:val="0"/>
                      <w:marRight w:val="0"/>
                      <w:marTop w:val="0"/>
                      <w:marBottom w:val="0"/>
                      <w:divBdr>
                        <w:top w:val="none" w:sz="0" w:space="0" w:color="auto"/>
                        <w:left w:val="none" w:sz="0" w:space="0" w:color="auto"/>
                        <w:bottom w:val="none" w:sz="0" w:space="0" w:color="auto"/>
                        <w:right w:val="none" w:sz="0" w:space="0" w:color="auto"/>
                      </w:divBdr>
                    </w:div>
                  </w:divsChild>
                </w:div>
                <w:div w:id="1349404993">
                  <w:marLeft w:val="0"/>
                  <w:marRight w:val="0"/>
                  <w:marTop w:val="0"/>
                  <w:marBottom w:val="0"/>
                  <w:divBdr>
                    <w:top w:val="none" w:sz="0" w:space="0" w:color="auto"/>
                    <w:left w:val="none" w:sz="0" w:space="0" w:color="auto"/>
                    <w:bottom w:val="none" w:sz="0" w:space="0" w:color="auto"/>
                    <w:right w:val="none" w:sz="0" w:space="0" w:color="auto"/>
                  </w:divBdr>
                  <w:divsChild>
                    <w:div w:id="1706172010">
                      <w:marLeft w:val="0"/>
                      <w:marRight w:val="0"/>
                      <w:marTop w:val="0"/>
                      <w:marBottom w:val="0"/>
                      <w:divBdr>
                        <w:top w:val="none" w:sz="0" w:space="0" w:color="auto"/>
                        <w:left w:val="none" w:sz="0" w:space="0" w:color="auto"/>
                        <w:bottom w:val="none" w:sz="0" w:space="0" w:color="auto"/>
                        <w:right w:val="none" w:sz="0" w:space="0" w:color="auto"/>
                      </w:divBdr>
                    </w:div>
                  </w:divsChild>
                </w:div>
                <w:div w:id="849874422">
                  <w:marLeft w:val="0"/>
                  <w:marRight w:val="0"/>
                  <w:marTop w:val="0"/>
                  <w:marBottom w:val="0"/>
                  <w:divBdr>
                    <w:top w:val="none" w:sz="0" w:space="0" w:color="auto"/>
                    <w:left w:val="none" w:sz="0" w:space="0" w:color="auto"/>
                    <w:bottom w:val="none" w:sz="0" w:space="0" w:color="auto"/>
                    <w:right w:val="none" w:sz="0" w:space="0" w:color="auto"/>
                  </w:divBdr>
                  <w:divsChild>
                    <w:div w:id="1504666085">
                      <w:marLeft w:val="0"/>
                      <w:marRight w:val="0"/>
                      <w:marTop w:val="0"/>
                      <w:marBottom w:val="0"/>
                      <w:divBdr>
                        <w:top w:val="none" w:sz="0" w:space="0" w:color="auto"/>
                        <w:left w:val="none" w:sz="0" w:space="0" w:color="auto"/>
                        <w:bottom w:val="none" w:sz="0" w:space="0" w:color="auto"/>
                        <w:right w:val="none" w:sz="0" w:space="0" w:color="auto"/>
                      </w:divBdr>
                    </w:div>
                  </w:divsChild>
                </w:div>
                <w:div w:id="1077508419">
                  <w:marLeft w:val="0"/>
                  <w:marRight w:val="0"/>
                  <w:marTop w:val="0"/>
                  <w:marBottom w:val="0"/>
                  <w:divBdr>
                    <w:top w:val="none" w:sz="0" w:space="0" w:color="auto"/>
                    <w:left w:val="none" w:sz="0" w:space="0" w:color="auto"/>
                    <w:bottom w:val="none" w:sz="0" w:space="0" w:color="auto"/>
                    <w:right w:val="none" w:sz="0" w:space="0" w:color="auto"/>
                  </w:divBdr>
                  <w:divsChild>
                    <w:div w:id="722828101">
                      <w:marLeft w:val="0"/>
                      <w:marRight w:val="0"/>
                      <w:marTop w:val="0"/>
                      <w:marBottom w:val="0"/>
                      <w:divBdr>
                        <w:top w:val="none" w:sz="0" w:space="0" w:color="auto"/>
                        <w:left w:val="none" w:sz="0" w:space="0" w:color="auto"/>
                        <w:bottom w:val="none" w:sz="0" w:space="0" w:color="auto"/>
                        <w:right w:val="none" w:sz="0" w:space="0" w:color="auto"/>
                      </w:divBdr>
                    </w:div>
                  </w:divsChild>
                </w:div>
                <w:div w:id="2132936966">
                  <w:marLeft w:val="0"/>
                  <w:marRight w:val="0"/>
                  <w:marTop w:val="0"/>
                  <w:marBottom w:val="0"/>
                  <w:divBdr>
                    <w:top w:val="none" w:sz="0" w:space="0" w:color="auto"/>
                    <w:left w:val="none" w:sz="0" w:space="0" w:color="auto"/>
                    <w:bottom w:val="none" w:sz="0" w:space="0" w:color="auto"/>
                    <w:right w:val="none" w:sz="0" w:space="0" w:color="auto"/>
                  </w:divBdr>
                  <w:divsChild>
                    <w:div w:id="610208018">
                      <w:marLeft w:val="0"/>
                      <w:marRight w:val="0"/>
                      <w:marTop w:val="0"/>
                      <w:marBottom w:val="0"/>
                      <w:divBdr>
                        <w:top w:val="none" w:sz="0" w:space="0" w:color="auto"/>
                        <w:left w:val="none" w:sz="0" w:space="0" w:color="auto"/>
                        <w:bottom w:val="none" w:sz="0" w:space="0" w:color="auto"/>
                        <w:right w:val="none" w:sz="0" w:space="0" w:color="auto"/>
                      </w:divBdr>
                    </w:div>
                  </w:divsChild>
                </w:div>
                <w:div w:id="941453288">
                  <w:marLeft w:val="0"/>
                  <w:marRight w:val="0"/>
                  <w:marTop w:val="0"/>
                  <w:marBottom w:val="0"/>
                  <w:divBdr>
                    <w:top w:val="none" w:sz="0" w:space="0" w:color="auto"/>
                    <w:left w:val="none" w:sz="0" w:space="0" w:color="auto"/>
                    <w:bottom w:val="none" w:sz="0" w:space="0" w:color="auto"/>
                    <w:right w:val="none" w:sz="0" w:space="0" w:color="auto"/>
                  </w:divBdr>
                  <w:divsChild>
                    <w:div w:id="6268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46771">
          <w:marLeft w:val="0"/>
          <w:marRight w:val="0"/>
          <w:marTop w:val="0"/>
          <w:marBottom w:val="0"/>
          <w:divBdr>
            <w:top w:val="none" w:sz="0" w:space="0" w:color="auto"/>
            <w:left w:val="none" w:sz="0" w:space="0" w:color="auto"/>
            <w:bottom w:val="none" w:sz="0" w:space="0" w:color="auto"/>
            <w:right w:val="none" w:sz="0" w:space="0" w:color="auto"/>
          </w:divBdr>
          <w:divsChild>
            <w:div w:id="80028796">
              <w:marLeft w:val="0"/>
              <w:marRight w:val="0"/>
              <w:marTop w:val="0"/>
              <w:marBottom w:val="0"/>
              <w:divBdr>
                <w:top w:val="none" w:sz="0" w:space="0" w:color="auto"/>
                <w:left w:val="none" w:sz="0" w:space="0" w:color="auto"/>
                <w:bottom w:val="none" w:sz="0" w:space="0" w:color="auto"/>
                <w:right w:val="none" w:sz="0" w:space="0" w:color="auto"/>
              </w:divBdr>
            </w:div>
            <w:div w:id="1231381646">
              <w:marLeft w:val="0"/>
              <w:marRight w:val="0"/>
              <w:marTop w:val="0"/>
              <w:marBottom w:val="0"/>
              <w:divBdr>
                <w:top w:val="none" w:sz="0" w:space="0" w:color="auto"/>
                <w:left w:val="none" w:sz="0" w:space="0" w:color="auto"/>
                <w:bottom w:val="none" w:sz="0" w:space="0" w:color="auto"/>
                <w:right w:val="none" w:sz="0" w:space="0" w:color="auto"/>
              </w:divBdr>
            </w:div>
            <w:div w:id="1410155663">
              <w:marLeft w:val="0"/>
              <w:marRight w:val="0"/>
              <w:marTop w:val="0"/>
              <w:marBottom w:val="0"/>
              <w:divBdr>
                <w:top w:val="none" w:sz="0" w:space="0" w:color="auto"/>
                <w:left w:val="none" w:sz="0" w:space="0" w:color="auto"/>
                <w:bottom w:val="none" w:sz="0" w:space="0" w:color="auto"/>
                <w:right w:val="none" w:sz="0" w:space="0" w:color="auto"/>
              </w:divBdr>
            </w:div>
            <w:div w:id="1318266070">
              <w:marLeft w:val="0"/>
              <w:marRight w:val="0"/>
              <w:marTop w:val="0"/>
              <w:marBottom w:val="0"/>
              <w:divBdr>
                <w:top w:val="none" w:sz="0" w:space="0" w:color="auto"/>
                <w:left w:val="none" w:sz="0" w:space="0" w:color="auto"/>
                <w:bottom w:val="none" w:sz="0" w:space="0" w:color="auto"/>
                <w:right w:val="none" w:sz="0" w:space="0" w:color="auto"/>
              </w:divBdr>
            </w:div>
            <w:div w:id="1079400001">
              <w:marLeft w:val="0"/>
              <w:marRight w:val="0"/>
              <w:marTop w:val="0"/>
              <w:marBottom w:val="0"/>
              <w:divBdr>
                <w:top w:val="none" w:sz="0" w:space="0" w:color="auto"/>
                <w:left w:val="none" w:sz="0" w:space="0" w:color="auto"/>
                <w:bottom w:val="none" w:sz="0" w:space="0" w:color="auto"/>
                <w:right w:val="none" w:sz="0" w:space="0" w:color="auto"/>
              </w:divBdr>
            </w:div>
            <w:div w:id="776875330">
              <w:marLeft w:val="0"/>
              <w:marRight w:val="0"/>
              <w:marTop w:val="0"/>
              <w:marBottom w:val="0"/>
              <w:divBdr>
                <w:top w:val="none" w:sz="0" w:space="0" w:color="auto"/>
                <w:left w:val="none" w:sz="0" w:space="0" w:color="auto"/>
                <w:bottom w:val="none" w:sz="0" w:space="0" w:color="auto"/>
                <w:right w:val="none" w:sz="0" w:space="0" w:color="auto"/>
              </w:divBdr>
            </w:div>
            <w:div w:id="1168860545">
              <w:marLeft w:val="0"/>
              <w:marRight w:val="0"/>
              <w:marTop w:val="0"/>
              <w:marBottom w:val="0"/>
              <w:divBdr>
                <w:top w:val="none" w:sz="0" w:space="0" w:color="auto"/>
                <w:left w:val="none" w:sz="0" w:space="0" w:color="auto"/>
                <w:bottom w:val="none" w:sz="0" w:space="0" w:color="auto"/>
                <w:right w:val="none" w:sz="0" w:space="0" w:color="auto"/>
              </w:divBdr>
            </w:div>
            <w:div w:id="505292946">
              <w:marLeft w:val="0"/>
              <w:marRight w:val="0"/>
              <w:marTop w:val="0"/>
              <w:marBottom w:val="0"/>
              <w:divBdr>
                <w:top w:val="none" w:sz="0" w:space="0" w:color="auto"/>
                <w:left w:val="none" w:sz="0" w:space="0" w:color="auto"/>
                <w:bottom w:val="none" w:sz="0" w:space="0" w:color="auto"/>
                <w:right w:val="none" w:sz="0" w:space="0" w:color="auto"/>
              </w:divBdr>
            </w:div>
            <w:div w:id="6754396">
              <w:marLeft w:val="0"/>
              <w:marRight w:val="0"/>
              <w:marTop w:val="0"/>
              <w:marBottom w:val="0"/>
              <w:divBdr>
                <w:top w:val="none" w:sz="0" w:space="0" w:color="auto"/>
                <w:left w:val="none" w:sz="0" w:space="0" w:color="auto"/>
                <w:bottom w:val="none" w:sz="0" w:space="0" w:color="auto"/>
                <w:right w:val="none" w:sz="0" w:space="0" w:color="auto"/>
              </w:divBdr>
            </w:div>
            <w:div w:id="437872856">
              <w:marLeft w:val="0"/>
              <w:marRight w:val="0"/>
              <w:marTop w:val="0"/>
              <w:marBottom w:val="0"/>
              <w:divBdr>
                <w:top w:val="none" w:sz="0" w:space="0" w:color="auto"/>
                <w:left w:val="none" w:sz="0" w:space="0" w:color="auto"/>
                <w:bottom w:val="none" w:sz="0" w:space="0" w:color="auto"/>
                <w:right w:val="none" w:sz="0" w:space="0" w:color="auto"/>
              </w:divBdr>
            </w:div>
            <w:div w:id="1532066374">
              <w:marLeft w:val="0"/>
              <w:marRight w:val="0"/>
              <w:marTop w:val="0"/>
              <w:marBottom w:val="0"/>
              <w:divBdr>
                <w:top w:val="none" w:sz="0" w:space="0" w:color="auto"/>
                <w:left w:val="none" w:sz="0" w:space="0" w:color="auto"/>
                <w:bottom w:val="none" w:sz="0" w:space="0" w:color="auto"/>
                <w:right w:val="none" w:sz="0" w:space="0" w:color="auto"/>
              </w:divBdr>
            </w:div>
            <w:div w:id="2047412091">
              <w:marLeft w:val="0"/>
              <w:marRight w:val="0"/>
              <w:marTop w:val="0"/>
              <w:marBottom w:val="0"/>
              <w:divBdr>
                <w:top w:val="none" w:sz="0" w:space="0" w:color="auto"/>
                <w:left w:val="none" w:sz="0" w:space="0" w:color="auto"/>
                <w:bottom w:val="none" w:sz="0" w:space="0" w:color="auto"/>
                <w:right w:val="none" w:sz="0" w:space="0" w:color="auto"/>
              </w:divBdr>
            </w:div>
            <w:div w:id="2793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9980">
      <w:bodyDiv w:val="1"/>
      <w:marLeft w:val="0"/>
      <w:marRight w:val="0"/>
      <w:marTop w:val="0"/>
      <w:marBottom w:val="0"/>
      <w:divBdr>
        <w:top w:val="none" w:sz="0" w:space="0" w:color="auto"/>
        <w:left w:val="none" w:sz="0" w:space="0" w:color="auto"/>
        <w:bottom w:val="none" w:sz="0" w:space="0" w:color="auto"/>
        <w:right w:val="none" w:sz="0" w:space="0" w:color="auto"/>
      </w:divBdr>
      <w:divsChild>
        <w:div w:id="1421096028">
          <w:marLeft w:val="0"/>
          <w:marRight w:val="0"/>
          <w:marTop w:val="0"/>
          <w:marBottom w:val="0"/>
          <w:divBdr>
            <w:top w:val="none" w:sz="0" w:space="0" w:color="auto"/>
            <w:left w:val="none" w:sz="0" w:space="0" w:color="auto"/>
            <w:bottom w:val="none" w:sz="0" w:space="0" w:color="auto"/>
            <w:right w:val="none" w:sz="0" w:space="0" w:color="auto"/>
          </w:divBdr>
        </w:div>
      </w:divsChild>
    </w:div>
    <w:div w:id="1466384938">
      <w:bodyDiv w:val="1"/>
      <w:marLeft w:val="0"/>
      <w:marRight w:val="0"/>
      <w:marTop w:val="0"/>
      <w:marBottom w:val="0"/>
      <w:divBdr>
        <w:top w:val="none" w:sz="0" w:space="0" w:color="auto"/>
        <w:left w:val="none" w:sz="0" w:space="0" w:color="auto"/>
        <w:bottom w:val="none" w:sz="0" w:space="0" w:color="auto"/>
        <w:right w:val="none" w:sz="0" w:space="0" w:color="auto"/>
      </w:divBdr>
    </w:div>
    <w:div w:id="1781483694">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 w:id="2121103413">
      <w:bodyDiv w:val="1"/>
      <w:marLeft w:val="0"/>
      <w:marRight w:val="0"/>
      <w:marTop w:val="0"/>
      <w:marBottom w:val="0"/>
      <w:divBdr>
        <w:top w:val="none" w:sz="0" w:space="0" w:color="auto"/>
        <w:left w:val="none" w:sz="0" w:space="0" w:color="auto"/>
        <w:bottom w:val="none" w:sz="0" w:space="0" w:color="auto"/>
        <w:right w:val="none" w:sz="0" w:space="0" w:color="auto"/>
      </w:divBdr>
      <w:divsChild>
        <w:div w:id="650254592">
          <w:marLeft w:val="0"/>
          <w:marRight w:val="0"/>
          <w:marTop w:val="0"/>
          <w:marBottom w:val="0"/>
          <w:divBdr>
            <w:top w:val="none" w:sz="0" w:space="0" w:color="auto"/>
            <w:left w:val="none" w:sz="0" w:space="0" w:color="auto"/>
            <w:bottom w:val="none" w:sz="0" w:space="0" w:color="auto"/>
            <w:right w:val="none" w:sz="0" w:space="0" w:color="auto"/>
          </w:divBdr>
        </w:div>
        <w:div w:id="351957140">
          <w:marLeft w:val="0"/>
          <w:marRight w:val="0"/>
          <w:marTop w:val="0"/>
          <w:marBottom w:val="0"/>
          <w:divBdr>
            <w:top w:val="none" w:sz="0" w:space="0" w:color="auto"/>
            <w:left w:val="none" w:sz="0" w:space="0" w:color="auto"/>
            <w:bottom w:val="none" w:sz="0" w:space="0" w:color="auto"/>
            <w:right w:val="none" w:sz="0" w:space="0" w:color="auto"/>
          </w:divBdr>
        </w:div>
        <w:div w:id="143204092">
          <w:marLeft w:val="0"/>
          <w:marRight w:val="0"/>
          <w:marTop w:val="0"/>
          <w:marBottom w:val="0"/>
          <w:divBdr>
            <w:top w:val="none" w:sz="0" w:space="0" w:color="auto"/>
            <w:left w:val="none" w:sz="0" w:space="0" w:color="auto"/>
            <w:bottom w:val="none" w:sz="0" w:space="0" w:color="auto"/>
            <w:right w:val="none" w:sz="0" w:space="0" w:color="auto"/>
          </w:divBdr>
        </w:div>
        <w:div w:id="1511219874">
          <w:marLeft w:val="0"/>
          <w:marRight w:val="0"/>
          <w:marTop w:val="0"/>
          <w:marBottom w:val="0"/>
          <w:divBdr>
            <w:top w:val="none" w:sz="0" w:space="0" w:color="auto"/>
            <w:left w:val="none" w:sz="0" w:space="0" w:color="auto"/>
            <w:bottom w:val="none" w:sz="0" w:space="0" w:color="auto"/>
            <w:right w:val="none" w:sz="0" w:space="0" w:color="auto"/>
          </w:divBdr>
          <w:divsChild>
            <w:div w:id="1665543557">
              <w:marLeft w:val="-75"/>
              <w:marRight w:val="0"/>
              <w:marTop w:val="30"/>
              <w:marBottom w:val="30"/>
              <w:divBdr>
                <w:top w:val="none" w:sz="0" w:space="0" w:color="auto"/>
                <w:left w:val="none" w:sz="0" w:space="0" w:color="auto"/>
                <w:bottom w:val="none" w:sz="0" w:space="0" w:color="auto"/>
                <w:right w:val="none" w:sz="0" w:space="0" w:color="auto"/>
              </w:divBdr>
              <w:divsChild>
                <w:div w:id="1375889559">
                  <w:marLeft w:val="0"/>
                  <w:marRight w:val="0"/>
                  <w:marTop w:val="0"/>
                  <w:marBottom w:val="0"/>
                  <w:divBdr>
                    <w:top w:val="none" w:sz="0" w:space="0" w:color="auto"/>
                    <w:left w:val="none" w:sz="0" w:space="0" w:color="auto"/>
                    <w:bottom w:val="none" w:sz="0" w:space="0" w:color="auto"/>
                    <w:right w:val="none" w:sz="0" w:space="0" w:color="auto"/>
                  </w:divBdr>
                  <w:divsChild>
                    <w:div w:id="1263799366">
                      <w:marLeft w:val="0"/>
                      <w:marRight w:val="0"/>
                      <w:marTop w:val="0"/>
                      <w:marBottom w:val="0"/>
                      <w:divBdr>
                        <w:top w:val="none" w:sz="0" w:space="0" w:color="auto"/>
                        <w:left w:val="none" w:sz="0" w:space="0" w:color="auto"/>
                        <w:bottom w:val="none" w:sz="0" w:space="0" w:color="auto"/>
                        <w:right w:val="none" w:sz="0" w:space="0" w:color="auto"/>
                      </w:divBdr>
                    </w:div>
                  </w:divsChild>
                </w:div>
                <w:div w:id="830830129">
                  <w:marLeft w:val="0"/>
                  <w:marRight w:val="0"/>
                  <w:marTop w:val="0"/>
                  <w:marBottom w:val="0"/>
                  <w:divBdr>
                    <w:top w:val="none" w:sz="0" w:space="0" w:color="auto"/>
                    <w:left w:val="none" w:sz="0" w:space="0" w:color="auto"/>
                    <w:bottom w:val="none" w:sz="0" w:space="0" w:color="auto"/>
                    <w:right w:val="none" w:sz="0" w:space="0" w:color="auto"/>
                  </w:divBdr>
                  <w:divsChild>
                    <w:div w:id="342585276">
                      <w:marLeft w:val="0"/>
                      <w:marRight w:val="0"/>
                      <w:marTop w:val="0"/>
                      <w:marBottom w:val="0"/>
                      <w:divBdr>
                        <w:top w:val="none" w:sz="0" w:space="0" w:color="auto"/>
                        <w:left w:val="none" w:sz="0" w:space="0" w:color="auto"/>
                        <w:bottom w:val="none" w:sz="0" w:space="0" w:color="auto"/>
                        <w:right w:val="none" w:sz="0" w:space="0" w:color="auto"/>
                      </w:divBdr>
                    </w:div>
                  </w:divsChild>
                </w:div>
                <w:div w:id="1296105917">
                  <w:marLeft w:val="0"/>
                  <w:marRight w:val="0"/>
                  <w:marTop w:val="0"/>
                  <w:marBottom w:val="0"/>
                  <w:divBdr>
                    <w:top w:val="none" w:sz="0" w:space="0" w:color="auto"/>
                    <w:left w:val="none" w:sz="0" w:space="0" w:color="auto"/>
                    <w:bottom w:val="none" w:sz="0" w:space="0" w:color="auto"/>
                    <w:right w:val="none" w:sz="0" w:space="0" w:color="auto"/>
                  </w:divBdr>
                  <w:divsChild>
                    <w:div w:id="1647199706">
                      <w:marLeft w:val="0"/>
                      <w:marRight w:val="0"/>
                      <w:marTop w:val="0"/>
                      <w:marBottom w:val="0"/>
                      <w:divBdr>
                        <w:top w:val="none" w:sz="0" w:space="0" w:color="auto"/>
                        <w:left w:val="none" w:sz="0" w:space="0" w:color="auto"/>
                        <w:bottom w:val="none" w:sz="0" w:space="0" w:color="auto"/>
                        <w:right w:val="none" w:sz="0" w:space="0" w:color="auto"/>
                      </w:divBdr>
                    </w:div>
                  </w:divsChild>
                </w:div>
                <w:div w:id="1541548700">
                  <w:marLeft w:val="0"/>
                  <w:marRight w:val="0"/>
                  <w:marTop w:val="0"/>
                  <w:marBottom w:val="0"/>
                  <w:divBdr>
                    <w:top w:val="none" w:sz="0" w:space="0" w:color="auto"/>
                    <w:left w:val="none" w:sz="0" w:space="0" w:color="auto"/>
                    <w:bottom w:val="none" w:sz="0" w:space="0" w:color="auto"/>
                    <w:right w:val="none" w:sz="0" w:space="0" w:color="auto"/>
                  </w:divBdr>
                  <w:divsChild>
                    <w:div w:id="1041705642">
                      <w:marLeft w:val="0"/>
                      <w:marRight w:val="0"/>
                      <w:marTop w:val="0"/>
                      <w:marBottom w:val="0"/>
                      <w:divBdr>
                        <w:top w:val="none" w:sz="0" w:space="0" w:color="auto"/>
                        <w:left w:val="none" w:sz="0" w:space="0" w:color="auto"/>
                        <w:bottom w:val="none" w:sz="0" w:space="0" w:color="auto"/>
                        <w:right w:val="none" w:sz="0" w:space="0" w:color="auto"/>
                      </w:divBdr>
                    </w:div>
                  </w:divsChild>
                </w:div>
                <w:div w:id="2025590060">
                  <w:marLeft w:val="0"/>
                  <w:marRight w:val="0"/>
                  <w:marTop w:val="0"/>
                  <w:marBottom w:val="0"/>
                  <w:divBdr>
                    <w:top w:val="none" w:sz="0" w:space="0" w:color="auto"/>
                    <w:left w:val="none" w:sz="0" w:space="0" w:color="auto"/>
                    <w:bottom w:val="none" w:sz="0" w:space="0" w:color="auto"/>
                    <w:right w:val="none" w:sz="0" w:space="0" w:color="auto"/>
                  </w:divBdr>
                  <w:divsChild>
                    <w:div w:id="1192958607">
                      <w:marLeft w:val="0"/>
                      <w:marRight w:val="0"/>
                      <w:marTop w:val="0"/>
                      <w:marBottom w:val="0"/>
                      <w:divBdr>
                        <w:top w:val="none" w:sz="0" w:space="0" w:color="auto"/>
                        <w:left w:val="none" w:sz="0" w:space="0" w:color="auto"/>
                        <w:bottom w:val="none" w:sz="0" w:space="0" w:color="auto"/>
                        <w:right w:val="none" w:sz="0" w:space="0" w:color="auto"/>
                      </w:divBdr>
                    </w:div>
                  </w:divsChild>
                </w:div>
                <w:div w:id="1415931615">
                  <w:marLeft w:val="0"/>
                  <w:marRight w:val="0"/>
                  <w:marTop w:val="0"/>
                  <w:marBottom w:val="0"/>
                  <w:divBdr>
                    <w:top w:val="none" w:sz="0" w:space="0" w:color="auto"/>
                    <w:left w:val="none" w:sz="0" w:space="0" w:color="auto"/>
                    <w:bottom w:val="none" w:sz="0" w:space="0" w:color="auto"/>
                    <w:right w:val="none" w:sz="0" w:space="0" w:color="auto"/>
                  </w:divBdr>
                  <w:divsChild>
                    <w:div w:id="1412508907">
                      <w:marLeft w:val="0"/>
                      <w:marRight w:val="0"/>
                      <w:marTop w:val="0"/>
                      <w:marBottom w:val="0"/>
                      <w:divBdr>
                        <w:top w:val="none" w:sz="0" w:space="0" w:color="auto"/>
                        <w:left w:val="none" w:sz="0" w:space="0" w:color="auto"/>
                        <w:bottom w:val="none" w:sz="0" w:space="0" w:color="auto"/>
                        <w:right w:val="none" w:sz="0" w:space="0" w:color="auto"/>
                      </w:divBdr>
                    </w:div>
                  </w:divsChild>
                </w:div>
                <w:div w:id="656106034">
                  <w:marLeft w:val="0"/>
                  <w:marRight w:val="0"/>
                  <w:marTop w:val="0"/>
                  <w:marBottom w:val="0"/>
                  <w:divBdr>
                    <w:top w:val="none" w:sz="0" w:space="0" w:color="auto"/>
                    <w:left w:val="none" w:sz="0" w:space="0" w:color="auto"/>
                    <w:bottom w:val="none" w:sz="0" w:space="0" w:color="auto"/>
                    <w:right w:val="none" w:sz="0" w:space="0" w:color="auto"/>
                  </w:divBdr>
                  <w:divsChild>
                    <w:div w:id="430244602">
                      <w:marLeft w:val="0"/>
                      <w:marRight w:val="0"/>
                      <w:marTop w:val="0"/>
                      <w:marBottom w:val="0"/>
                      <w:divBdr>
                        <w:top w:val="none" w:sz="0" w:space="0" w:color="auto"/>
                        <w:left w:val="none" w:sz="0" w:space="0" w:color="auto"/>
                        <w:bottom w:val="none" w:sz="0" w:space="0" w:color="auto"/>
                        <w:right w:val="none" w:sz="0" w:space="0" w:color="auto"/>
                      </w:divBdr>
                    </w:div>
                  </w:divsChild>
                </w:div>
                <w:div w:id="1102341612">
                  <w:marLeft w:val="0"/>
                  <w:marRight w:val="0"/>
                  <w:marTop w:val="0"/>
                  <w:marBottom w:val="0"/>
                  <w:divBdr>
                    <w:top w:val="none" w:sz="0" w:space="0" w:color="auto"/>
                    <w:left w:val="none" w:sz="0" w:space="0" w:color="auto"/>
                    <w:bottom w:val="none" w:sz="0" w:space="0" w:color="auto"/>
                    <w:right w:val="none" w:sz="0" w:space="0" w:color="auto"/>
                  </w:divBdr>
                  <w:divsChild>
                    <w:div w:id="1307004748">
                      <w:marLeft w:val="0"/>
                      <w:marRight w:val="0"/>
                      <w:marTop w:val="0"/>
                      <w:marBottom w:val="0"/>
                      <w:divBdr>
                        <w:top w:val="none" w:sz="0" w:space="0" w:color="auto"/>
                        <w:left w:val="none" w:sz="0" w:space="0" w:color="auto"/>
                        <w:bottom w:val="none" w:sz="0" w:space="0" w:color="auto"/>
                        <w:right w:val="none" w:sz="0" w:space="0" w:color="auto"/>
                      </w:divBdr>
                    </w:div>
                  </w:divsChild>
                </w:div>
                <w:div w:id="2058970065">
                  <w:marLeft w:val="0"/>
                  <w:marRight w:val="0"/>
                  <w:marTop w:val="0"/>
                  <w:marBottom w:val="0"/>
                  <w:divBdr>
                    <w:top w:val="none" w:sz="0" w:space="0" w:color="auto"/>
                    <w:left w:val="none" w:sz="0" w:space="0" w:color="auto"/>
                    <w:bottom w:val="none" w:sz="0" w:space="0" w:color="auto"/>
                    <w:right w:val="none" w:sz="0" w:space="0" w:color="auto"/>
                  </w:divBdr>
                  <w:divsChild>
                    <w:div w:id="999579821">
                      <w:marLeft w:val="0"/>
                      <w:marRight w:val="0"/>
                      <w:marTop w:val="0"/>
                      <w:marBottom w:val="0"/>
                      <w:divBdr>
                        <w:top w:val="none" w:sz="0" w:space="0" w:color="auto"/>
                        <w:left w:val="none" w:sz="0" w:space="0" w:color="auto"/>
                        <w:bottom w:val="none" w:sz="0" w:space="0" w:color="auto"/>
                        <w:right w:val="none" w:sz="0" w:space="0" w:color="auto"/>
                      </w:divBdr>
                    </w:div>
                  </w:divsChild>
                </w:div>
                <w:div w:id="1832066789">
                  <w:marLeft w:val="0"/>
                  <w:marRight w:val="0"/>
                  <w:marTop w:val="0"/>
                  <w:marBottom w:val="0"/>
                  <w:divBdr>
                    <w:top w:val="none" w:sz="0" w:space="0" w:color="auto"/>
                    <w:left w:val="none" w:sz="0" w:space="0" w:color="auto"/>
                    <w:bottom w:val="none" w:sz="0" w:space="0" w:color="auto"/>
                    <w:right w:val="none" w:sz="0" w:space="0" w:color="auto"/>
                  </w:divBdr>
                  <w:divsChild>
                    <w:div w:id="2093575639">
                      <w:marLeft w:val="0"/>
                      <w:marRight w:val="0"/>
                      <w:marTop w:val="0"/>
                      <w:marBottom w:val="0"/>
                      <w:divBdr>
                        <w:top w:val="none" w:sz="0" w:space="0" w:color="auto"/>
                        <w:left w:val="none" w:sz="0" w:space="0" w:color="auto"/>
                        <w:bottom w:val="none" w:sz="0" w:space="0" w:color="auto"/>
                        <w:right w:val="none" w:sz="0" w:space="0" w:color="auto"/>
                      </w:divBdr>
                    </w:div>
                  </w:divsChild>
                </w:div>
                <w:div w:id="1393382186">
                  <w:marLeft w:val="0"/>
                  <w:marRight w:val="0"/>
                  <w:marTop w:val="0"/>
                  <w:marBottom w:val="0"/>
                  <w:divBdr>
                    <w:top w:val="none" w:sz="0" w:space="0" w:color="auto"/>
                    <w:left w:val="none" w:sz="0" w:space="0" w:color="auto"/>
                    <w:bottom w:val="none" w:sz="0" w:space="0" w:color="auto"/>
                    <w:right w:val="none" w:sz="0" w:space="0" w:color="auto"/>
                  </w:divBdr>
                  <w:divsChild>
                    <w:div w:id="1449810335">
                      <w:marLeft w:val="0"/>
                      <w:marRight w:val="0"/>
                      <w:marTop w:val="0"/>
                      <w:marBottom w:val="0"/>
                      <w:divBdr>
                        <w:top w:val="none" w:sz="0" w:space="0" w:color="auto"/>
                        <w:left w:val="none" w:sz="0" w:space="0" w:color="auto"/>
                        <w:bottom w:val="none" w:sz="0" w:space="0" w:color="auto"/>
                        <w:right w:val="none" w:sz="0" w:space="0" w:color="auto"/>
                      </w:divBdr>
                    </w:div>
                  </w:divsChild>
                </w:div>
                <w:div w:id="1867018591">
                  <w:marLeft w:val="0"/>
                  <w:marRight w:val="0"/>
                  <w:marTop w:val="0"/>
                  <w:marBottom w:val="0"/>
                  <w:divBdr>
                    <w:top w:val="none" w:sz="0" w:space="0" w:color="auto"/>
                    <w:left w:val="none" w:sz="0" w:space="0" w:color="auto"/>
                    <w:bottom w:val="none" w:sz="0" w:space="0" w:color="auto"/>
                    <w:right w:val="none" w:sz="0" w:space="0" w:color="auto"/>
                  </w:divBdr>
                  <w:divsChild>
                    <w:div w:id="472868911">
                      <w:marLeft w:val="0"/>
                      <w:marRight w:val="0"/>
                      <w:marTop w:val="0"/>
                      <w:marBottom w:val="0"/>
                      <w:divBdr>
                        <w:top w:val="none" w:sz="0" w:space="0" w:color="auto"/>
                        <w:left w:val="none" w:sz="0" w:space="0" w:color="auto"/>
                        <w:bottom w:val="none" w:sz="0" w:space="0" w:color="auto"/>
                        <w:right w:val="none" w:sz="0" w:space="0" w:color="auto"/>
                      </w:divBdr>
                    </w:div>
                  </w:divsChild>
                </w:div>
                <w:div w:id="1417093397">
                  <w:marLeft w:val="0"/>
                  <w:marRight w:val="0"/>
                  <w:marTop w:val="0"/>
                  <w:marBottom w:val="0"/>
                  <w:divBdr>
                    <w:top w:val="none" w:sz="0" w:space="0" w:color="auto"/>
                    <w:left w:val="none" w:sz="0" w:space="0" w:color="auto"/>
                    <w:bottom w:val="none" w:sz="0" w:space="0" w:color="auto"/>
                    <w:right w:val="none" w:sz="0" w:space="0" w:color="auto"/>
                  </w:divBdr>
                  <w:divsChild>
                    <w:div w:id="1620449801">
                      <w:marLeft w:val="0"/>
                      <w:marRight w:val="0"/>
                      <w:marTop w:val="0"/>
                      <w:marBottom w:val="0"/>
                      <w:divBdr>
                        <w:top w:val="none" w:sz="0" w:space="0" w:color="auto"/>
                        <w:left w:val="none" w:sz="0" w:space="0" w:color="auto"/>
                        <w:bottom w:val="none" w:sz="0" w:space="0" w:color="auto"/>
                        <w:right w:val="none" w:sz="0" w:space="0" w:color="auto"/>
                      </w:divBdr>
                    </w:div>
                  </w:divsChild>
                </w:div>
                <w:div w:id="1211842957">
                  <w:marLeft w:val="0"/>
                  <w:marRight w:val="0"/>
                  <w:marTop w:val="0"/>
                  <w:marBottom w:val="0"/>
                  <w:divBdr>
                    <w:top w:val="none" w:sz="0" w:space="0" w:color="auto"/>
                    <w:left w:val="none" w:sz="0" w:space="0" w:color="auto"/>
                    <w:bottom w:val="none" w:sz="0" w:space="0" w:color="auto"/>
                    <w:right w:val="none" w:sz="0" w:space="0" w:color="auto"/>
                  </w:divBdr>
                  <w:divsChild>
                    <w:div w:id="871848431">
                      <w:marLeft w:val="0"/>
                      <w:marRight w:val="0"/>
                      <w:marTop w:val="0"/>
                      <w:marBottom w:val="0"/>
                      <w:divBdr>
                        <w:top w:val="none" w:sz="0" w:space="0" w:color="auto"/>
                        <w:left w:val="none" w:sz="0" w:space="0" w:color="auto"/>
                        <w:bottom w:val="none" w:sz="0" w:space="0" w:color="auto"/>
                        <w:right w:val="none" w:sz="0" w:space="0" w:color="auto"/>
                      </w:divBdr>
                    </w:div>
                  </w:divsChild>
                </w:div>
                <w:div w:id="799691790">
                  <w:marLeft w:val="0"/>
                  <w:marRight w:val="0"/>
                  <w:marTop w:val="0"/>
                  <w:marBottom w:val="0"/>
                  <w:divBdr>
                    <w:top w:val="none" w:sz="0" w:space="0" w:color="auto"/>
                    <w:left w:val="none" w:sz="0" w:space="0" w:color="auto"/>
                    <w:bottom w:val="none" w:sz="0" w:space="0" w:color="auto"/>
                    <w:right w:val="none" w:sz="0" w:space="0" w:color="auto"/>
                  </w:divBdr>
                  <w:divsChild>
                    <w:div w:id="14533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7786">
          <w:marLeft w:val="0"/>
          <w:marRight w:val="0"/>
          <w:marTop w:val="0"/>
          <w:marBottom w:val="0"/>
          <w:divBdr>
            <w:top w:val="none" w:sz="0" w:space="0" w:color="auto"/>
            <w:left w:val="none" w:sz="0" w:space="0" w:color="auto"/>
            <w:bottom w:val="none" w:sz="0" w:space="0" w:color="auto"/>
            <w:right w:val="none" w:sz="0" w:space="0" w:color="auto"/>
          </w:divBdr>
        </w:div>
        <w:div w:id="1459686127">
          <w:marLeft w:val="0"/>
          <w:marRight w:val="0"/>
          <w:marTop w:val="0"/>
          <w:marBottom w:val="0"/>
          <w:divBdr>
            <w:top w:val="none" w:sz="0" w:space="0" w:color="auto"/>
            <w:left w:val="none" w:sz="0" w:space="0" w:color="auto"/>
            <w:bottom w:val="none" w:sz="0" w:space="0" w:color="auto"/>
            <w:right w:val="none" w:sz="0" w:space="0" w:color="auto"/>
          </w:divBdr>
        </w:div>
        <w:div w:id="241644070">
          <w:marLeft w:val="0"/>
          <w:marRight w:val="0"/>
          <w:marTop w:val="0"/>
          <w:marBottom w:val="0"/>
          <w:divBdr>
            <w:top w:val="none" w:sz="0" w:space="0" w:color="auto"/>
            <w:left w:val="none" w:sz="0" w:space="0" w:color="auto"/>
            <w:bottom w:val="none" w:sz="0" w:space="0" w:color="auto"/>
            <w:right w:val="none" w:sz="0" w:space="0" w:color="auto"/>
          </w:divBdr>
        </w:div>
        <w:div w:id="2111781266">
          <w:marLeft w:val="0"/>
          <w:marRight w:val="0"/>
          <w:marTop w:val="0"/>
          <w:marBottom w:val="0"/>
          <w:divBdr>
            <w:top w:val="none" w:sz="0" w:space="0" w:color="auto"/>
            <w:left w:val="none" w:sz="0" w:space="0" w:color="auto"/>
            <w:bottom w:val="none" w:sz="0" w:space="0" w:color="auto"/>
            <w:right w:val="none" w:sz="0" w:space="0" w:color="auto"/>
          </w:divBdr>
        </w:div>
        <w:div w:id="500588489">
          <w:marLeft w:val="0"/>
          <w:marRight w:val="0"/>
          <w:marTop w:val="0"/>
          <w:marBottom w:val="0"/>
          <w:divBdr>
            <w:top w:val="none" w:sz="0" w:space="0" w:color="auto"/>
            <w:left w:val="none" w:sz="0" w:space="0" w:color="auto"/>
            <w:bottom w:val="none" w:sz="0" w:space="0" w:color="auto"/>
            <w:right w:val="none" w:sz="0" w:space="0" w:color="auto"/>
          </w:divBdr>
        </w:div>
        <w:div w:id="597372993">
          <w:marLeft w:val="0"/>
          <w:marRight w:val="0"/>
          <w:marTop w:val="0"/>
          <w:marBottom w:val="0"/>
          <w:divBdr>
            <w:top w:val="none" w:sz="0" w:space="0" w:color="auto"/>
            <w:left w:val="none" w:sz="0" w:space="0" w:color="auto"/>
            <w:bottom w:val="none" w:sz="0" w:space="0" w:color="auto"/>
            <w:right w:val="none" w:sz="0" w:space="0" w:color="auto"/>
          </w:divBdr>
          <w:divsChild>
            <w:div w:id="724641228">
              <w:marLeft w:val="-75"/>
              <w:marRight w:val="0"/>
              <w:marTop w:val="30"/>
              <w:marBottom w:val="30"/>
              <w:divBdr>
                <w:top w:val="none" w:sz="0" w:space="0" w:color="auto"/>
                <w:left w:val="none" w:sz="0" w:space="0" w:color="auto"/>
                <w:bottom w:val="none" w:sz="0" w:space="0" w:color="auto"/>
                <w:right w:val="none" w:sz="0" w:space="0" w:color="auto"/>
              </w:divBdr>
              <w:divsChild>
                <w:div w:id="1326081870">
                  <w:marLeft w:val="0"/>
                  <w:marRight w:val="0"/>
                  <w:marTop w:val="0"/>
                  <w:marBottom w:val="0"/>
                  <w:divBdr>
                    <w:top w:val="none" w:sz="0" w:space="0" w:color="auto"/>
                    <w:left w:val="none" w:sz="0" w:space="0" w:color="auto"/>
                    <w:bottom w:val="none" w:sz="0" w:space="0" w:color="auto"/>
                    <w:right w:val="none" w:sz="0" w:space="0" w:color="auto"/>
                  </w:divBdr>
                  <w:divsChild>
                    <w:div w:id="963117261">
                      <w:marLeft w:val="0"/>
                      <w:marRight w:val="0"/>
                      <w:marTop w:val="0"/>
                      <w:marBottom w:val="0"/>
                      <w:divBdr>
                        <w:top w:val="none" w:sz="0" w:space="0" w:color="auto"/>
                        <w:left w:val="none" w:sz="0" w:space="0" w:color="auto"/>
                        <w:bottom w:val="none" w:sz="0" w:space="0" w:color="auto"/>
                        <w:right w:val="none" w:sz="0" w:space="0" w:color="auto"/>
                      </w:divBdr>
                    </w:div>
                  </w:divsChild>
                </w:div>
                <w:div w:id="319384661">
                  <w:marLeft w:val="0"/>
                  <w:marRight w:val="0"/>
                  <w:marTop w:val="0"/>
                  <w:marBottom w:val="0"/>
                  <w:divBdr>
                    <w:top w:val="none" w:sz="0" w:space="0" w:color="auto"/>
                    <w:left w:val="none" w:sz="0" w:space="0" w:color="auto"/>
                    <w:bottom w:val="none" w:sz="0" w:space="0" w:color="auto"/>
                    <w:right w:val="none" w:sz="0" w:space="0" w:color="auto"/>
                  </w:divBdr>
                  <w:divsChild>
                    <w:div w:id="1010723277">
                      <w:marLeft w:val="0"/>
                      <w:marRight w:val="0"/>
                      <w:marTop w:val="0"/>
                      <w:marBottom w:val="0"/>
                      <w:divBdr>
                        <w:top w:val="none" w:sz="0" w:space="0" w:color="auto"/>
                        <w:left w:val="none" w:sz="0" w:space="0" w:color="auto"/>
                        <w:bottom w:val="none" w:sz="0" w:space="0" w:color="auto"/>
                        <w:right w:val="none" w:sz="0" w:space="0" w:color="auto"/>
                      </w:divBdr>
                    </w:div>
                  </w:divsChild>
                </w:div>
                <w:div w:id="1807159572">
                  <w:marLeft w:val="0"/>
                  <w:marRight w:val="0"/>
                  <w:marTop w:val="0"/>
                  <w:marBottom w:val="0"/>
                  <w:divBdr>
                    <w:top w:val="none" w:sz="0" w:space="0" w:color="auto"/>
                    <w:left w:val="none" w:sz="0" w:space="0" w:color="auto"/>
                    <w:bottom w:val="none" w:sz="0" w:space="0" w:color="auto"/>
                    <w:right w:val="none" w:sz="0" w:space="0" w:color="auto"/>
                  </w:divBdr>
                  <w:divsChild>
                    <w:div w:id="425924008">
                      <w:marLeft w:val="0"/>
                      <w:marRight w:val="0"/>
                      <w:marTop w:val="0"/>
                      <w:marBottom w:val="0"/>
                      <w:divBdr>
                        <w:top w:val="none" w:sz="0" w:space="0" w:color="auto"/>
                        <w:left w:val="none" w:sz="0" w:space="0" w:color="auto"/>
                        <w:bottom w:val="none" w:sz="0" w:space="0" w:color="auto"/>
                        <w:right w:val="none" w:sz="0" w:space="0" w:color="auto"/>
                      </w:divBdr>
                    </w:div>
                  </w:divsChild>
                </w:div>
                <w:div w:id="196823393">
                  <w:marLeft w:val="0"/>
                  <w:marRight w:val="0"/>
                  <w:marTop w:val="0"/>
                  <w:marBottom w:val="0"/>
                  <w:divBdr>
                    <w:top w:val="none" w:sz="0" w:space="0" w:color="auto"/>
                    <w:left w:val="none" w:sz="0" w:space="0" w:color="auto"/>
                    <w:bottom w:val="none" w:sz="0" w:space="0" w:color="auto"/>
                    <w:right w:val="none" w:sz="0" w:space="0" w:color="auto"/>
                  </w:divBdr>
                  <w:divsChild>
                    <w:div w:id="876508889">
                      <w:marLeft w:val="0"/>
                      <w:marRight w:val="0"/>
                      <w:marTop w:val="0"/>
                      <w:marBottom w:val="0"/>
                      <w:divBdr>
                        <w:top w:val="none" w:sz="0" w:space="0" w:color="auto"/>
                        <w:left w:val="none" w:sz="0" w:space="0" w:color="auto"/>
                        <w:bottom w:val="none" w:sz="0" w:space="0" w:color="auto"/>
                        <w:right w:val="none" w:sz="0" w:space="0" w:color="auto"/>
                      </w:divBdr>
                    </w:div>
                  </w:divsChild>
                </w:div>
                <w:div w:id="371196128">
                  <w:marLeft w:val="0"/>
                  <w:marRight w:val="0"/>
                  <w:marTop w:val="0"/>
                  <w:marBottom w:val="0"/>
                  <w:divBdr>
                    <w:top w:val="none" w:sz="0" w:space="0" w:color="auto"/>
                    <w:left w:val="none" w:sz="0" w:space="0" w:color="auto"/>
                    <w:bottom w:val="none" w:sz="0" w:space="0" w:color="auto"/>
                    <w:right w:val="none" w:sz="0" w:space="0" w:color="auto"/>
                  </w:divBdr>
                  <w:divsChild>
                    <w:div w:id="433599078">
                      <w:marLeft w:val="0"/>
                      <w:marRight w:val="0"/>
                      <w:marTop w:val="0"/>
                      <w:marBottom w:val="0"/>
                      <w:divBdr>
                        <w:top w:val="none" w:sz="0" w:space="0" w:color="auto"/>
                        <w:left w:val="none" w:sz="0" w:space="0" w:color="auto"/>
                        <w:bottom w:val="none" w:sz="0" w:space="0" w:color="auto"/>
                        <w:right w:val="none" w:sz="0" w:space="0" w:color="auto"/>
                      </w:divBdr>
                    </w:div>
                  </w:divsChild>
                </w:div>
                <w:div w:id="1747150069">
                  <w:marLeft w:val="0"/>
                  <w:marRight w:val="0"/>
                  <w:marTop w:val="0"/>
                  <w:marBottom w:val="0"/>
                  <w:divBdr>
                    <w:top w:val="none" w:sz="0" w:space="0" w:color="auto"/>
                    <w:left w:val="none" w:sz="0" w:space="0" w:color="auto"/>
                    <w:bottom w:val="none" w:sz="0" w:space="0" w:color="auto"/>
                    <w:right w:val="none" w:sz="0" w:space="0" w:color="auto"/>
                  </w:divBdr>
                  <w:divsChild>
                    <w:div w:id="263225109">
                      <w:marLeft w:val="0"/>
                      <w:marRight w:val="0"/>
                      <w:marTop w:val="0"/>
                      <w:marBottom w:val="0"/>
                      <w:divBdr>
                        <w:top w:val="none" w:sz="0" w:space="0" w:color="auto"/>
                        <w:left w:val="none" w:sz="0" w:space="0" w:color="auto"/>
                        <w:bottom w:val="none" w:sz="0" w:space="0" w:color="auto"/>
                        <w:right w:val="none" w:sz="0" w:space="0" w:color="auto"/>
                      </w:divBdr>
                    </w:div>
                  </w:divsChild>
                </w:div>
                <w:div w:id="2094348983">
                  <w:marLeft w:val="0"/>
                  <w:marRight w:val="0"/>
                  <w:marTop w:val="0"/>
                  <w:marBottom w:val="0"/>
                  <w:divBdr>
                    <w:top w:val="none" w:sz="0" w:space="0" w:color="auto"/>
                    <w:left w:val="none" w:sz="0" w:space="0" w:color="auto"/>
                    <w:bottom w:val="none" w:sz="0" w:space="0" w:color="auto"/>
                    <w:right w:val="none" w:sz="0" w:space="0" w:color="auto"/>
                  </w:divBdr>
                  <w:divsChild>
                    <w:div w:id="906720274">
                      <w:marLeft w:val="0"/>
                      <w:marRight w:val="0"/>
                      <w:marTop w:val="0"/>
                      <w:marBottom w:val="0"/>
                      <w:divBdr>
                        <w:top w:val="none" w:sz="0" w:space="0" w:color="auto"/>
                        <w:left w:val="none" w:sz="0" w:space="0" w:color="auto"/>
                        <w:bottom w:val="none" w:sz="0" w:space="0" w:color="auto"/>
                        <w:right w:val="none" w:sz="0" w:space="0" w:color="auto"/>
                      </w:divBdr>
                    </w:div>
                  </w:divsChild>
                </w:div>
                <w:div w:id="1118723577">
                  <w:marLeft w:val="0"/>
                  <w:marRight w:val="0"/>
                  <w:marTop w:val="0"/>
                  <w:marBottom w:val="0"/>
                  <w:divBdr>
                    <w:top w:val="none" w:sz="0" w:space="0" w:color="auto"/>
                    <w:left w:val="none" w:sz="0" w:space="0" w:color="auto"/>
                    <w:bottom w:val="none" w:sz="0" w:space="0" w:color="auto"/>
                    <w:right w:val="none" w:sz="0" w:space="0" w:color="auto"/>
                  </w:divBdr>
                  <w:divsChild>
                    <w:div w:id="596213544">
                      <w:marLeft w:val="0"/>
                      <w:marRight w:val="0"/>
                      <w:marTop w:val="0"/>
                      <w:marBottom w:val="0"/>
                      <w:divBdr>
                        <w:top w:val="none" w:sz="0" w:space="0" w:color="auto"/>
                        <w:left w:val="none" w:sz="0" w:space="0" w:color="auto"/>
                        <w:bottom w:val="none" w:sz="0" w:space="0" w:color="auto"/>
                        <w:right w:val="none" w:sz="0" w:space="0" w:color="auto"/>
                      </w:divBdr>
                    </w:div>
                  </w:divsChild>
                </w:div>
                <w:div w:id="470099961">
                  <w:marLeft w:val="0"/>
                  <w:marRight w:val="0"/>
                  <w:marTop w:val="0"/>
                  <w:marBottom w:val="0"/>
                  <w:divBdr>
                    <w:top w:val="none" w:sz="0" w:space="0" w:color="auto"/>
                    <w:left w:val="none" w:sz="0" w:space="0" w:color="auto"/>
                    <w:bottom w:val="none" w:sz="0" w:space="0" w:color="auto"/>
                    <w:right w:val="none" w:sz="0" w:space="0" w:color="auto"/>
                  </w:divBdr>
                  <w:divsChild>
                    <w:div w:id="989016008">
                      <w:marLeft w:val="0"/>
                      <w:marRight w:val="0"/>
                      <w:marTop w:val="0"/>
                      <w:marBottom w:val="0"/>
                      <w:divBdr>
                        <w:top w:val="none" w:sz="0" w:space="0" w:color="auto"/>
                        <w:left w:val="none" w:sz="0" w:space="0" w:color="auto"/>
                        <w:bottom w:val="none" w:sz="0" w:space="0" w:color="auto"/>
                        <w:right w:val="none" w:sz="0" w:space="0" w:color="auto"/>
                      </w:divBdr>
                    </w:div>
                  </w:divsChild>
                </w:div>
                <w:div w:id="4675148">
                  <w:marLeft w:val="0"/>
                  <w:marRight w:val="0"/>
                  <w:marTop w:val="0"/>
                  <w:marBottom w:val="0"/>
                  <w:divBdr>
                    <w:top w:val="none" w:sz="0" w:space="0" w:color="auto"/>
                    <w:left w:val="none" w:sz="0" w:space="0" w:color="auto"/>
                    <w:bottom w:val="none" w:sz="0" w:space="0" w:color="auto"/>
                    <w:right w:val="none" w:sz="0" w:space="0" w:color="auto"/>
                  </w:divBdr>
                  <w:divsChild>
                    <w:div w:id="101924948">
                      <w:marLeft w:val="0"/>
                      <w:marRight w:val="0"/>
                      <w:marTop w:val="0"/>
                      <w:marBottom w:val="0"/>
                      <w:divBdr>
                        <w:top w:val="none" w:sz="0" w:space="0" w:color="auto"/>
                        <w:left w:val="none" w:sz="0" w:space="0" w:color="auto"/>
                        <w:bottom w:val="none" w:sz="0" w:space="0" w:color="auto"/>
                        <w:right w:val="none" w:sz="0" w:space="0" w:color="auto"/>
                      </w:divBdr>
                    </w:div>
                  </w:divsChild>
                </w:div>
                <w:div w:id="492255333">
                  <w:marLeft w:val="0"/>
                  <w:marRight w:val="0"/>
                  <w:marTop w:val="0"/>
                  <w:marBottom w:val="0"/>
                  <w:divBdr>
                    <w:top w:val="none" w:sz="0" w:space="0" w:color="auto"/>
                    <w:left w:val="none" w:sz="0" w:space="0" w:color="auto"/>
                    <w:bottom w:val="none" w:sz="0" w:space="0" w:color="auto"/>
                    <w:right w:val="none" w:sz="0" w:space="0" w:color="auto"/>
                  </w:divBdr>
                  <w:divsChild>
                    <w:div w:id="1071930455">
                      <w:marLeft w:val="0"/>
                      <w:marRight w:val="0"/>
                      <w:marTop w:val="0"/>
                      <w:marBottom w:val="0"/>
                      <w:divBdr>
                        <w:top w:val="none" w:sz="0" w:space="0" w:color="auto"/>
                        <w:left w:val="none" w:sz="0" w:space="0" w:color="auto"/>
                        <w:bottom w:val="none" w:sz="0" w:space="0" w:color="auto"/>
                        <w:right w:val="none" w:sz="0" w:space="0" w:color="auto"/>
                      </w:divBdr>
                    </w:div>
                  </w:divsChild>
                </w:div>
                <w:div w:id="1199121829">
                  <w:marLeft w:val="0"/>
                  <w:marRight w:val="0"/>
                  <w:marTop w:val="0"/>
                  <w:marBottom w:val="0"/>
                  <w:divBdr>
                    <w:top w:val="none" w:sz="0" w:space="0" w:color="auto"/>
                    <w:left w:val="none" w:sz="0" w:space="0" w:color="auto"/>
                    <w:bottom w:val="none" w:sz="0" w:space="0" w:color="auto"/>
                    <w:right w:val="none" w:sz="0" w:space="0" w:color="auto"/>
                  </w:divBdr>
                  <w:divsChild>
                    <w:div w:id="331294921">
                      <w:marLeft w:val="0"/>
                      <w:marRight w:val="0"/>
                      <w:marTop w:val="0"/>
                      <w:marBottom w:val="0"/>
                      <w:divBdr>
                        <w:top w:val="none" w:sz="0" w:space="0" w:color="auto"/>
                        <w:left w:val="none" w:sz="0" w:space="0" w:color="auto"/>
                        <w:bottom w:val="none" w:sz="0" w:space="0" w:color="auto"/>
                        <w:right w:val="none" w:sz="0" w:space="0" w:color="auto"/>
                      </w:divBdr>
                    </w:div>
                  </w:divsChild>
                </w:div>
                <w:div w:id="709500159">
                  <w:marLeft w:val="0"/>
                  <w:marRight w:val="0"/>
                  <w:marTop w:val="0"/>
                  <w:marBottom w:val="0"/>
                  <w:divBdr>
                    <w:top w:val="none" w:sz="0" w:space="0" w:color="auto"/>
                    <w:left w:val="none" w:sz="0" w:space="0" w:color="auto"/>
                    <w:bottom w:val="none" w:sz="0" w:space="0" w:color="auto"/>
                    <w:right w:val="none" w:sz="0" w:space="0" w:color="auto"/>
                  </w:divBdr>
                  <w:divsChild>
                    <w:div w:id="10796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6546">
          <w:marLeft w:val="0"/>
          <w:marRight w:val="0"/>
          <w:marTop w:val="0"/>
          <w:marBottom w:val="0"/>
          <w:divBdr>
            <w:top w:val="none" w:sz="0" w:space="0" w:color="auto"/>
            <w:left w:val="none" w:sz="0" w:space="0" w:color="auto"/>
            <w:bottom w:val="none" w:sz="0" w:space="0" w:color="auto"/>
            <w:right w:val="none" w:sz="0" w:space="0" w:color="auto"/>
          </w:divBdr>
          <w:divsChild>
            <w:div w:id="1274023037">
              <w:marLeft w:val="0"/>
              <w:marRight w:val="0"/>
              <w:marTop w:val="0"/>
              <w:marBottom w:val="0"/>
              <w:divBdr>
                <w:top w:val="none" w:sz="0" w:space="0" w:color="auto"/>
                <w:left w:val="none" w:sz="0" w:space="0" w:color="auto"/>
                <w:bottom w:val="none" w:sz="0" w:space="0" w:color="auto"/>
                <w:right w:val="none" w:sz="0" w:space="0" w:color="auto"/>
              </w:divBdr>
            </w:div>
            <w:div w:id="484976034">
              <w:marLeft w:val="0"/>
              <w:marRight w:val="0"/>
              <w:marTop w:val="0"/>
              <w:marBottom w:val="0"/>
              <w:divBdr>
                <w:top w:val="none" w:sz="0" w:space="0" w:color="auto"/>
                <w:left w:val="none" w:sz="0" w:space="0" w:color="auto"/>
                <w:bottom w:val="none" w:sz="0" w:space="0" w:color="auto"/>
                <w:right w:val="none" w:sz="0" w:space="0" w:color="auto"/>
              </w:divBdr>
            </w:div>
            <w:div w:id="1453089472">
              <w:marLeft w:val="0"/>
              <w:marRight w:val="0"/>
              <w:marTop w:val="0"/>
              <w:marBottom w:val="0"/>
              <w:divBdr>
                <w:top w:val="none" w:sz="0" w:space="0" w:color="auto"/>
                <w:left w:val="none" w:sz="0" w:space="0" w:color="auto"/>
                <w:bottom w:val="none" w:sz="0" w:space="0" w:color="auto"/>
                <w:right w:val="none" w:sz="0" w:space="0" w:color="auto"/>
              </w:divBdr>
            </w:div>
            <w:div w:id="23753956">
              <w:marLeft w:val="0"/>
              <w:marRight w:val="0"/>
              <w:marTop w:val="0"/>
              <w:marBottom w:val="0"/>
              <w:divBdr>
                <w:top w:val="none" w:sz="0" w:space="0" w:color="auto"/>
                <w:left w:val="none" w:sz="0" w:space="0" w:color="auto"/>
                <w:bottom w:val="none" w:sz="0" w:space="0" w:color="auto"/>
                <w:right w:val="none" w:sz="0" w:space="0" w:color="auto"/>
              </w:divBdr>
            </w:div>
            <w:div w:id="2061436086">
              <w:marLeft w:val="0"/>
              <w:marRight w:val="0"/>
              <w:marTop w:val="0"/>
              <w:marBottom w:val="0"/>
              <w:divBdr>
                <w:top w:val="none" w:sz="0" w:space="0" w:color="auto"/>
                <w:left w:val="none" w:sz="0" w:space="0" w:color="auto"/>
                <w:bottom w:val="none" w:sz="0" w:space="0" w:color="auto"/>
                <w:right w:val="none" w:sz="0" w:space="0" w:color="auto"/>
              </w:divBdr>
            </w:div>
            <w:div w:id="2020572429">
              <w:marLeft w:val="0"/>
              <w:marRight w:val="0"/>
              <w:marTop w:val="0"/>
              <w:marBottom w:val="0"/>
              <w:divBdr>
                <w:top w:val="none" w:sz="0" w:space="0" w:color="auto"/>
                <w:left w:val="none" w:sz="0" w:space="0" w:color="auto"/>
                <w:bottom w:val="none" w:sz="0" w:space="0" w:color="auto"/>
                <w:right w:val="none" w:sz="0" w:space="0" w:color="auto"/>
              </w:divBdr>
            </w:div>
            <w:div w:id="1997684449">
              <w:marLeft w:val="0"/>
              <w:marRight w:val="0"/>
              <w:marTop w:val="0"/>
              <w:marBottom w:val="0"/>
              <w:divBdr>
                <w:top w:val="none" w:sz="0" w:space="0" w:color="auto"/>
                <w:left w:val="none" w:sz="0" w:space="0" w:color="auto"/>
                <w:bottom w:val="none" w:sz="0" w:space="0" w:color="auto"/>
                <w:right w:val="none" w:sz="0" w:space="0" w:color="auto"/>
              </w:divBdr>
            </w:div>
            <w:div w:id="283851562">
              <w:marLeft w:val="0"/>
              <w:marRight w:val="0"/>
              <w:marTop w:val="0"/>
              <w:marBottom w:val="0"/>
              <w:divBdr>
                <w:top w:val="none" w:sz="0" w:space="0" w:color="auto"/>
                <w:left w:val="none" w:sz="0" w:space="0" w:color="auto"/>
                <w:bottom w:val="none" w:sz="0" w:space="0" w:color="auto"/>
                <w:right w:val="none" w:sz="0" w:space="0" w:color="auto"/>
              </w:divBdr>
            </w:div>
            <w:div w:id="1250189953">
              <w:marLeft w:val="0"/>
              <w:marRight w:val="0"/>
              <w:marTop w:val="0"/>
              <w:marBottom w:val="0"/>
              <w:divBdr>
                <w:top w:val="none" w:sz="0" w:space="0" w:color="auto"/>
                <w:left w:val="none" w:sz="0" w:space="0" w:color="auto"/>
                <w:bottom w:val="none" w:sz="0" w:space="0" w:color="auto"/>
                <w:right w:val="none" w:sz="0" w:space="0" w:color="auto"/>
              </w:divBdr>
            </w:div>
            <w:div w:id="462775201">
              <w:marLeft w:val="0"/>
              <w:marRight w:val="0"/>
              <w:marTop w:val="0"/>
              <w:marBottom w:val="0"/>
              <w:divBdr>
                <w:top w:val="none" w:sz="0" w:space="0" w:color="auto"/>
                <w:left w:val="none" w:sz="0" w:space="0" w:color="auto"/>
                <w:bottom w:val="none" w:sz="0" w:space="0" w:color="auto"/>
                <w:right w:val="none" w:sz="0" w:space="0" w:color="auto"/>
              </w:divBdr>
            </w:div>
            <w:div w:id="1009523047">
              <w:marLeft w:val="0"/>
              <w:marRight w:val="0"/>
              <w:marTop w:val="0"/>
              <w:marBottom w:val="0"/>
              <w:divBdr>
                <w:top w:val="none" w:sz="0" w:space="0" w:color="auto"/>
                <w:left w:val="none" w:sz="0" w:space="0" w:color="auto"/>
                <w:bottom w:val="none" w:sz="0" w:space="0" w:color="auto"/>
                <w:right w:val="none" w:sz="0" w:space="0" w:color="auto"/>
              </w:divBdr>
            </w:div>
            <w:div w:id="445660610">
              <w:marLeft w:val="0"/>
              <w:marRight w:val="0"/>
              <w:marTop w:val="0"/>
              <w:marBottom w:val="0"/>
              <w:divBdr>
                <w:top w:val="none" w:sz="0" w:space="0" w:color="auto"/>
                <w:left w:val="none" w:sz="0" w:space="0" w:color="auto"/>
                <w:bottom w:val="none" w:sz="0" w:space="0" w:color="auto"/>
                <w:right w:val="none" w:sz="0" w:space="0" w:color="auto"/>
              </w:divBdr>
            </w:div>
            <w:div w:id="12492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nhacienda.gov.co/web/portal/transparencia/planeacion-presupuesto-informes-contables/fon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inhacienda.gov.co/transparencia/planeacion-presupuesto-informes-contables/fonse/2023/-/document_library/vgbp/view_file/1365701?_com_liferay_document_library_web_portlet_DLPortlet_INSTANCE_vgbp_redirect=https%3A%2F%2Fwww.minhacienda.gov.co%3A443%2Ftransparencia%2Fplaneacion-presupuesto-informes-contables%2Ffonse%2F2023%2F-%2Fdocument_library%2Fvgbp%2Fview%2F1365620%3F_com_liferay_document_library_web_portlet_DLPortlet_INSTANCE_vgbp_redirect%3Dhttps%253A%252F%252Fwww.minhacienda.gov.co%253A443%252Ftransparencia%252Fplaneacion-presupuesto-informes-contables%252Ffonse%252F2023%253Fp_p_id%253Dcom_liferay_document_library_web_portlet_DLPortlet_INSTANCE_vgbp%2526p_p_lifecycle%253D0%2526p_p_state%253Dnormal%2526p_p_mode%253Dview%26_com_liferay_document_library_web_portlet_DLPortlet_INSTANCE_vgbp_folderId%3D1365620&amp;_com_liferay_document_library_web_portlet_DLPortlet_INSTANCE_vgbp_fileEntryId=136570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funcionpublica.gov.co/eva/gestornormativo/norma.php?i=72893" TargetMode="External"/><Relationship Id="rId1" Type="http://schemas.openxmlformats.org/officeDocument/2006/relationships/hyperlink" Target="http://secretariasenado.gov.co/senado/basedoc/ley_1943_201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https://authapp.minhacienda.gov.co/img/logo-minhacienda-web.png" TargetMode="External"/></Relationships>
</file>

<file path=word/_rels/header2.xml.rels><?xml version="1.0" encoding="UTF-8" standalone="yes"?>
<Relationships xmlns="http://schemas.openxmlformats.org/package/2006/relationships"><Relationship Id="rId1" Type="http://schemas.openxmlformats.org/officeDocument/2006/relationships/image" Target="https://authapp.minhacienda.gov.co/img/logo-minhacienda-web.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E342534225C7074CA1DA83EC01C170EB" ma:contentTypeVersion="18" ma:contentTypeDescription="Crear nuevo documento." ma:contentTypeScope="" ma:versionID="baba8e119af13a83620e7d561ad6e671">
  <xsd:schema xmlns:xsd="http://www.w3.org/2001/XMLSchema" xmlns:xs="http://www.w3.org/2001/XMLSchema" xmlns:p="http://schemas.microsoft.com/office/2006/metadata/properties" xmlns:ns2="0dce4902-86c3-416f-ba2e-4d0fa4d52052" xmlns:ns3="2f4274c6-e6e8-4067-8ac1-0aeb4e4a79b8" targetNamespace="http://schemas.microsoft.com/office/2006/metadata/properties" ma:root="true" ma:fieldsID="1a0305de12487ca291665359ae8a3599" ns2:_="" ns3:_="">
    <xsd:import namespace="0dce4902-86c3-416f-ba2e-4d0fa4d52052"/>
    <xsd:import namespace="2f4274c6-e6e8-4067-8ac1-0aeb4e4a79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e4902-86c3-416f-ba2e-4d0fa4d52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4274c6-e6e8-4067-8ac1-0aeb4e4a79b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ae0e1dfe-ea4e-4977-b968-b888dce526a5}" ma:internalName="TaxCatchAll" ma:showField="CatchAllData" ma:web="2f4274c6-e6e8-4067-8ac1-0aeb4e4a7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f4274c6-e6e8-4067-8ac1-0aeb4e4a79b8" xsi:nil="true"/>
    <lcf76f155ced4ddcb4097134ff3c332f xmlns="0dce4902-86c3-416f-ba2e-4d0fa4d5205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B4EDDD-8576-4B94-96A8-8268854EDFDE}">
  <ds:schemaRefs>
    <ds:schemaRef ds:uri="http://schemas.openxmlformats.org/officeDocument/2006/bibliography"/>
  </ds:schemaRefs>
</ds:datastoreItem>
</file>

<file path=customXml/itemProps2.xml><?xml version="1.0" encoding="utf-8"?>
<ds:datastoreItem xmlns:ds="http://schemas.openxmlformats.org/officeDocument/2006/customXml" ds:itemID="{D41D1FC6-761B-453A-87FA-102A6983C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e4902-86c3-416f-ba2e-4d0fa4d52052"/>
    <ds:schemaRef ds:uri="2f4274c6-e6e8-4067-8ac1-0aeb4e4a7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EE63FF-C83A-48A6-B52D-C754D8D9CA95}">
  <ds:schemaRefs>
    <ds:schemaRef ds:uri="http://schemas.microsoft.com/office/2006/metadata/properties"/>
    <ds:schemaRef ds:uri="http://schemas.microsoft.com/office/infopath/2007/PartnerControls"/>
    <ds:schemaRef ds:uri="2f4274c6-e6e8-4067-8ac1-0aeb4e4a79b8"/>
    <ds:schemaRef ds:uri="0dce4902-86c3-416f-ba2e-4d0fa4d52052"/>
  </ds:schemaRefs>
</ds:datastoreItem>
</file>

<file path=customXml/itemProps4.xml><?xml version="1.0" encoding="utf-8"?>
<ds:datastoreItem xmlns:ds="http://schemas.openxmlformats.org/officeDocument/2006/customXml" ds:itemID="{AA0EC1F8-5AC4-4AA0-9060-E6C2558A86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4104</Words>
  <Characters>22577</Characters>
  <Application>Microsoft Office Word</Application>
  <DocSecurity>0</DocSecurity>
  <Lines>188</Lines>
  <Paragraphs>53</Paragraphs>
  <ScaleCrop>false</ScaleCrop>
  <Company>Ministerio de Hacienda y Crédito Público</Company>
  <LinksUpToDate>false</LinksUpToDate>
  <CharactersWithSpaces>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Encizar Acosta Moreno</dc:creator>
  <cp:lastModifiedBy>Derly Catherine Cifuentes Guerrero</cp:lastModifiedBy>
  <cp:revision>458</cp:revision>
  <cp:lastPrinted>2023-05-08T17:56:00Z</cp:lastPrinted>
  <dcterms:created xsi:type="dcterms:W3CDTF">2021-05-13T12:52:00Z</dcterms:created>
  <dcterms:modified xsi:type="dcterms:W3CDTF">2024-12-31T08:25:00Z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0x010100E342534225C7074CA1DA83EC01C170EB</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y fmtid="{D5CDD505-2E9C-101B-9397-08002B2CF9AE}" pid="6" name="MediaServiceImageTags">
    <vt:lpwstr/>
  </property>
</Properties>
</file>