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</w:pPr>
      <w:r>
        <w:rPr>
          <w:color w:val="666666"/>
          <w:sz w:val="15"/>
          <w:szCs w:val="15"/>
        </w:rPr>
        <w:t>00:00:00</w:t>
      </w:r>
      <w:r>
        <w:br/>
      </w:r>
      <w:r>
        <w:rPr>
          <w:i/>
          <w:iCs/>
        </w:rPr>
        <w:t xml:space="preserve">Speaker 1: </w:t>
      </w:r>
      <w:r>
        <w:t>Y si me lo permiten, pues yo diría que tenemos tres grandes objetivos que queremos darle a estas entidades. Primero, apoyar un proceso muy amplio de inclusión crediticia, la mezcla pequeña empresa o perdón, digámoslo en Colombia, el acceso a cuenta bancaria sobre toda cuenta de ahorro es muy amplio. Se calcula que el 90% de los adultos colombianos tienen una cuenta sobre una cuenta de ahorro y el sistema de pagos cada vez utiliza más por parte de toda la población a través del celular. Pero en materia de crédito, las pequeñas empresas tienen menos del 20%, tienen acceso a crédito. Entonces, para nosotros la inclusión crediticia es un objetivo esencial.</w:t>
      </w:r>
    </w:p>
    <w:p w:rsidR="00A02F19" w:rsidRDefault="00A02F19"/>
    <w:sectPr w:rsidR="00A02F19" w:rsidSect="00A02F19">
      <w:headerReference w:type="default" r:id="rId8"/>
      <w:footerReference w:type="default" r:id="rId11"/>
      <w:headerReference w:type="first" r:id="rId9"/>
      <w:footerReference w:type="first" r:id="rId12"/>
      <w:headerReference w:type="even" r:id="rId7"/>
      <w:footerReference w:type="even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D7" w:rsidRDefault="002E67D7" w:rsidP="009F2180">
      <w:pPr>
        <w:spacing w:after="0" w:line="240" w:lineRule="auto"/>
      </w:pPr>
      <w:r>
        <w:separator/>
      </w:r>
    </w:p>
  </w:endnote>
  <w:end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27" w:rsidRDefault="007F1D13">
    <w:pPr>
      <w:ind/>
    </w:pPr>
    <w:r>
      <w:t>This speech-to-text was created by www.Amberscript.com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27" w:rsidRDefault="007F1D13">
    <w:pPr>
      <w:ind/>
    </w:pPr>
    <w:r>
      <w:rPr>
        <w:b/>
        <w:bCs/>
        <w:sz w:val="28"/>
        <w:szCs w:val="28"/>
      </w:rPr>
      <w:t>transcript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80" w:rsidRDefault="009F2180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endnotes" Target="endnotes.xml"/><Relationship Id="rId14" Type="http://schemas.openxmlformats.org/officeDocument/2006/relationships/footer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2022-10-13T22:31:46Z</dcterms:created>
  <dcterms:modified xsi:type="dcterms:W3CDTF">2022-10-13T22:31:46Z</dcterms:modified>
</cp:coreProperties>
</file>